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52A">
      <w:pPr>
        <w:rPr>
          <w:rFonts w:hint="default" w:ascii="Times New Roman" w:hAnsi="Times New Roman" w:cs="Times New Roman"/>
          <w:color w:val="auto"/>
          <w:sz w:val="36"/>
          <w:szCs w:val="36"/>
        </w:rPr>
      </w:pPr>
    </w:p>
    <w:p w14:paraId="728E2677">
      <w:pPr>
        <w:pStyle w:val="30"/>
        <w:ind w:left="480"/>
        <w:rPr>
          <w:rFonts w:hint="default" w:ascii="Times New Roman" w:hAnsi="Times New Roman" w:cs="Times New Roman"/>
          <w:color w:val="auto"/>
        </w:rPr>
      </w:pPr>
    </w:p>
    <w:p w14:paraId="5377EBA1">
      <w:pPr>
        <w:rPr>
          <w:rFonts w:hint="default" w:ascii="Times New Roman" w:hAnsi="Times New Roman" w:cs="Times New Roman"/>
          <w:color w:val="auto"/>
          <w:sz w:val="36"/>
          <w:szCs w:val="36"/>
        </w:rPr>
      </w:pPr>
    </w:p>
    <w:p w14:paraId="5655212A">
      <w:pPr>
        <w:adjustRightInd w:val="0"/>
        <w:snapToGrid w:val="0"/>
        <w:jc w:val="center"/>
        <w:outlineLvl w:val="0"/>
        <w:rPr>
          <w:rFonts w:hint="default" w:ascii="Times New Roman" w:hAnsi="Times New Roman" w:cs="Times New Roman"/>
          <w:b/>
          <w:color w:val="auto"/>
          <w:sz w:val="72"/>
          <w:szCs w:val="72"/>
        </w:rPr>
      </w:pPr>
      <w:r>
        <w:rPr>
          <w:rFonts w:hint="default" w:ascii="Times New Roman" w:hAnsi="Times New Roman" w:cs="Times New Roman"/>
          <w:b/>
          <w:color w:val="auto"/>
          <w:sz w:val="72"/>
          <w:szCs w:val="72"/>
        </w:rPr>
        <w:t>建设项目环境影响报告表</w:t>
      </w:r>
    </w:p>
    <w:p w14:paraId="5A01648E">
      <w:pPr>
        <w:adjustRightInd w:val="0"/>
        <w:snapToGrid w:val="0"/>
        <w:spacing w:before="192" w:beforeLines="80"/>
        <w:jc w:val="center"/>
        <w:rPr>
          <w:rFonts w:hint="default" w:ascii="Times New Roman" w:hAnsi="Times New Roman" w:cs="Times New Roman"/>
          <w:b/>
          <w:color w:val="auto"/>
          <w:sz w:val="48"/>
          <w:szCs w:val="48"/>
        </w:rPr>
      </w:pPr>
      <w:r>
        <w:rPr>
          <w:rFonts w:hint="default" w:ascii="Times New Roman" w:hAnsi="Times New Roman" w:cs="Times New Roman"/>
          <w:b/>
          <w:color w:val="auto"/>
          <w:sz w:val="48"/>
          <w:szCs w:val="48"/>
        </w:rPr>
        <w:t>（污染影响类）</w:t>
      </w:r>
    </w:p>
    <w:p w14:paraId="5B1A8D30">
      <w:pPr>
        <w:spacing w:line="288" w:lineRule="auto"/>
        <w:jc w:val="center"/>
        <w:rPr>
          <w:rFonts w:hint="default" w:ascii="Times New Roman" w:hAnsi="Times New Roman" w:cs="Times New Roman"/>
          <w:b/>
          <w:color w:val="auto"/>
        </w:rPr>
      </w:pPr>
    </w:p>
    <w:p w14:paraId="63A0B7BD">
      <w:pPr>
        <w:jc w:val="center"/>
        <w:rPr>
          <w:rFonts w:hint="default" w:ascii="Times New Roman" w:hAnsi="Times New Roman" w:cs="Times New Roman"/>
          <w:b/>
          <w:color w:val="auto"/>
          <w:sz w:val="52"/>
          <w:szCs w:val="52"/>
        </w:rPr>
      </w:pPr>
    </w:p>
    <w:p w14:paraId="49D98450">
      <w:pPr>
        <w:ind w:firstLine="1040"/>
        <w:rPr>
          <w:rFonts w:hint="default" w:ascii="Times New Roman" w:hAnsi="Times New Roman" w:cs="Times New Roman"/>
          <w:b/>
          <w:color w:val="auto"/>
          <w:sz w:val="44"/>
          <w:szCs w:val="44"/>
        </w:rPr>
      </w:pPr>
    </w:p>
    <w:p w14:paraId="098BB544">
      <w:pPr>
        <w:ind w:firstLine="1040"/>
        <w:rPr>
          <w:rFonts w:hint="default" w:ascii="Times New Roman" w:hAnsi="Times New Roman" w:cs="Times New Roman"/>
          <w:b/>
          <w:color w:val="auto"/>
          <w:sz w:val="44"/>
          <w:szCs w:val="44"/>
        </w:rPr>
      </w:pPr>
    </w:p>
    <w:p w14:paraId="7125D70C">
      <w:pPr>
        <w:ind w:firstLine="1040"/>
        <w:rPr>
          <w:rFonts w:hint="default" w:ascii="Times New Roman" w:hAnsi="Times New Roman" w:cs="Times New Roman"/>
          <w:b/>
          <w:color w:val="auto"/>
          <w:sz w:val="44"/>
          <w:szCs w:val="44"/>
        </w:rPr>
      </w:pPr>
    </w:p>
    <w:p w14:paraId="3AACC05C">
      <w:pPr>
        <w:adjustRightInd w:val="0"/>
        <w:snapToGrid w:val="0"/>
        <w:spacing w:line="288" w:lineRule="auto"/>
        <w:ind w:firstLine="640" w:firstLineChars="200"/>
        <w:jc w:val="center"/>
        <w:rPr>
          <w:rFonts w:hint="default" w:ascii="Times New Roman" w:hAnsi="Times New Roman" w:eastAsia="宋体" w:cs="Times New Roman"/>
          <w:b w:val="0"/>
          <w:bCs/>
          <w:color w:val="auto"/>
          <w:sz w:val="32"/>
          <w:szCs w:val="32"/>
          <w:u w:val="single"/>
          <w:lang w:val="en-US" w:eastAsia="zh-CN"/>
        </w:rPr>
      </w:pPr>
      <w:bookmarkStart w:id="0" w:name="_Hlk57884087"/>
      <w:r>
        <w:rPr>
          <w:rFonts w:hint="default" w:ascii="Times New Roman" w:hAnsi="Times New Roman" w:eastAsia="宋体" w:cs="Times New Roman"/>
          <w:b w:val="0"/>
          <w:bCs/>
          <w:color w:val="auto"/>
          <w:sz w:val="32"/>
          <w:szCs w:val="32"/>
        </w:rPr>
        <w:t>项目名称：</w:t>
      </w:r>
      <w:r>
        <w:rPr>
          <w:rFonts w:hint="eastAsia" w:cs="Times New Roman"/>
          <w:b w:val="0"/>
          <w:bCs/>
          <w:color w:val="auto"/>
          <w:sz w:val="32"/>
          <w:szCs w:val="32"/>
          <w:u w:val="single"/>
          <w:lang w:eastAsia="zh-CN"/>
        </w:rPr>
        <w:t>济宁海螺一般固废综合利用和原燃材料替代技改</w:t>
      </w:r>
      <w:r>
        <w:rPr>
          <w:rFonts w:hint="eastAsia" w:cs="Times New Roman"/>
          <w:b w:val="0"/>
          <w:bCs/>
          <w:color w:val="auto"/>
          <w:sz w:val="32"/>
          <w:szCs w:val="32"/>
          <w:u w:val="single"/>
          <w:lang w:val="en-US" w:eastAsia="zh-CN"/>
        </w:rPr>
        <w:t xml:space="preserve">   </w:t>
      </w:r>
      <w:r>
        <w:rPr>
          <w:rFonts w:hint="eastAsia" w:cs="Times New Roman"/>
          <w:b w:val="0"/>
          <w:bCs/>
          <w:color w:val="auto"/>
          <w:sz w:val="32"/>
          <w:szCs w:val="32"/>
          <w:u w:val="single"/>
          <w:lang w:eastAsia="zh-CN"/>
        </w:rPr>
        <w:t>项目</w:t>
      </w:r>
      <w:r>
        <w:rPr>
          <w:rFonts w:hint="eastAsia" w:cs="Times New Roman"/>
          <w:b w:val="0"/>
          <w:bCs/>
          <w:color w:val="auto"/>
          <w:sz w:val="32"/>
          <w:szCs w:val="32"/>
          <w:u w:val="single"/>
          <w:lang w:val="en-US" w:eastAsia="zh-CN"/>
        </w:rPr>
        <w:t xml:space="preserve"> </w:t>
      </w:r>
    </w:p>
    <w:p w14:paraId="1A2BA9B1">
      <w:pPr>
        <w:adjustRightInd w:val="0"/>
        <w:spacing w:line="288" w:lineRule="auto"/>
        <w:ind w:firstLine="640" w:firstLineChars="200"/>
        <w:jc w:val="left"/>
        <w:rPr>
          <w:rFonts w:hint="default" w:ascii="Times New Roman" w:hAnsi="Times New Roman" w:eastAsia="宋体" w:cs="Times New Roman"/>
          <w:b w:val="0"/>
          <w:bCs/>
          <w:color w:val="auto"/>
          <w:sz w:val="32"/>
          <w:szCs w:val="32"/>
          <w:u w:val="single"/>
          <w:lang w:val="en-US" w:eastAsia="zh-CN"/>
        </w:rPr>
      </w:pPr>
      <w:r>
        <w:rPr>
          <w:rFonts w:hint="default" w:ascii="Times New Roman" w:hAnsi="Times New Roman" w:eastAsia="宋体" w:cs="Times New Roman"/>
          <w:b w:val="0"/>
          <w:bCs/>
          <w:color w:val="auto"/>
          <w:sz w:val="32"/>
          <w:szCs w:val="32"/>
        </w:rPr>
        <w:t>建设单位</w:t>
      </w:r>
      <w:r>
        <w:rPr>
          <w:rFonts w:hint="default" w:ascii="Times New Roman" w:hAnsi="Times New Roman" w:eastAsia="宋体" w:cs="Times New Roman"/>
          <w:b w:val="0"/>
          <w:bCs/>
          <w:color w:val="auto"/>
          <w:sz w:val="32"/>
          <w:szCs w:val="32"/>
          <w:vertAlign w:val="subscript"/>
        </w:rPr>
        <w:t>（盖章）</w:t>
      </w:r>
      <w:r>
        <w:rPr>
          <w:rFonts w:hint="default" w:ascii="Times New Roman" w:hAnsi="Times New Roman" w:eastAsia="宋体" w:cs="Times New Roman"/>
          <w:b w:val="0"/>
          <w:bCs/>
          <w:color w:val="auto"/>
          <w:sz w:val="32"/>
          <w:szCs w:val="32"/>
        </w:rPr>
        <w:t>：</w:t>
      </w:r>
      <w:r>
        <w:rPr>
          <w:rFonts w:hint="eastAsia" w:cs="Times New Roman"/>
          <w:b w:val="0"/>
          <w:bCs/>
          <w:color w:val="auto"/>
          <w:sz w:val="32"/>
          <w:szCs w:val="32"/>
          <w:u w:val="single"/>
          <w:lang w:eastAsia="zh-CN"/>
        </w:rPr>
        <w:t>济宁海螺水泥有限责任公司</w:t>
      </w:r>
      <w:r>
        <w:rPr>
          <w:rFonts w:hint="default" w:ascii="Times New Roman" w:hAnsi="Times New Roman" w:eastAsia="宋体" w:cs="Times New Roman"/>
          <w:b w:val="0"/>
          <w:bCs/>
          <w:color w:val="auto"/>
          <w:sz w:val="32"/>
          <w:szCs w:val="32"/>
          <w:u w:val="single"/>
        </w:rPr>
        <w:t xml:space="preserve"> </w:t>
      </w:r>
      <w:r>
        <w:rPr>
          <w:rFonts w:hint="default" w:ascii="Times New Roman" w:hAnsi="Times New Roman" w:eastAsia="宋体" w:cs="Times New Roman"/>
          <w:b w:val="0"/>
          <w:bCs/>
          <w:color w:val="auto"/>
          <w:sz w:val="32"/>
          <w:szCs w:val="32"/>
          <w:u w:val="single"/>
          <w:lang w:val="en-US" w:eastAsia="zh-CN"/>
        </w:rPr>
        <w:t xml:space="preserve">                </w:t>
      </w:r>
    </w:p>
    <w:p w14:paraId="715D83D2">
      <w:pPr>
        <w:adjustRightInd w:val="0"/>
        <w:snapToGrid w:val="0"/>
        <w:spacing w:line="288" w:lineRule="auto"/>
        <w:ind w:firstLine="640" w:firstLineChars="200"/>
        <w:jc w:val="left"/>
        <w:rPr>
          <w:rFonts w:hint="default" w:ascii="Times New Roman" w:hAnsi="Times New Roman" w:cs="Times New Roman"/>
          <w:b w:val="0"/>
          <w:bCs/>
          <w:color w:val="auto"/>
          <w:sz w:val="36"/>
          <w:szCs w:val="36"/>
          <w:u w:val="single"/>
        </w:rPr>
      </w:pPr>
      <w:r>
        <w:rPr>
          <w:rFonts w:hint="default" w:ascii="Times New Roman" w:hAnsi="Times New Roman" w:eastAsia="宋体" w:cs="Times New Roman"/>
          <w:b w:val="0"/>
          <w:bCs/>
          <w:color w:val="auto"/>
          <w:sz w:val="32"/>
          <w:szCs w:val="32"/>
        </w:rPr>
        <w:t>编制日期：</w:t>
      </w:r>
      <w:r>
        <w:rPr>
          <w:rFonts w:hint="default" w:ascii="Times New Roman" w:hAnsi="Times New Roman" w:eastAsia="宋体" w:cs="Times New Roman"/>
          <w:b w:val="0"/>
          <w:bCs/>
          <w:color w:val="auto"/>
          <w:sz w:val="32"/>
          <w:szCs w:val="32"/>
          <w:u w:val="single"/>
        </w:rPr>
        <w:t xml:space="preserve"> </w:t>
      </w:r>
      <w:r>
        <w:rPr>
          <w:rFonts w:hint="default" w:ascii="Times New Roman" w:hAnsi="Times New Roman" w:eastAsia="宋体" w:cs="Times New Roman"/>
          <w:b w:val="0"/>
          <w:bCs/>
          <w:color w:val="auto"/>
          <w:sz w:val="32"/>
          <w:szCs w:val="32"/>
          <w:u w:val="single"/>
          <w:lang w:val="en-US" w:eastAsia="zh-CN"/>
        </w:rPr>
        <w:t xml:space="preserve">      </w:t>
      </w:r>
      <w:r>
        <w:rPr>
          <w:rFonts w:hint="eastAsia" w:cs="Times New Roman"/>
          <w:b w:val="0"/>
          <w:bCs/>
          <w:color w:val="auto"/>
          <w:sz w:val="32"/>
          <w:szCs w:val="32"/>
          <w:u w:val="single"/>
          <w:lang w:val="en-US" w:eastAsia="zh-CN"/>
        </w:rPr>
        <w:t xml:space="preserve">  </w:t>
      </w:r>
      <w:r>
        <w:rPr>
          <w:rFonts w:hint="default" w:ascii="Times New Roman" w:hAnsi="Times New Roman" w:eastAsia="宋体" w:cs="Times New Roman"/>
          <w:b w:val="0"/>
          <w:bCs/>
          <w:color w:val="auto"/>
          <w:sz w:val="32"/>
          <w:szCs w:val="32"/>
          <w:u w:val="single"/>
          <w:lang w:val="en-US" w:eastAsia="zh-CN"/>
        </w:rPr>
        <w:t xml:space="preserve"> </w:t>
      </w:r>
      <w:r>
        <w:rPr>
          <w:rFonts w:hint="default" w:ascii="Times New Roman" w:hAnsi="Times New Roman" w:eastAsia="宋体" w:cs="Times New Roman"/>
          <w:b w:val="0"/>
          <w:bCs/>
          <w:color w:val="auto"/>
          <w:sz w:val="32"/>
          <w:szCs w:val="32"/>
          <w:u w:val="single"/>
        </w:rPr>
        <w:t>202</w:t>
      </w:r>
      <w:r>
        <w:rPr>
          <w:rFonts w:hint="eastAsia" w:cs="Times New Roman"/>
          <w:b w:val="0"/>
          <w:bCs/>
          <w:color w:val="auto"/>
          <w:sz w:val="32"/>
          <w:szCs w:val="32"/>
          <w:u w:val="single"/>
          <w:lang w:val="en-US" w:eastAsia="zh-CN"/>
        </w:rPr>
        <w:t>5</w:t>
      </w:r>
      <w:r>
        <w:rPr>
          <w:rFonts w:hint="default" w:ascii="Times New Roman" w:hAnsi="Times New Roman" w:eastAsia="宋体" w:cs="Times New Roman"/>
          <w:b w:val="0"/>
          <w:bCs/>
          <w:color w:val="auto"/>
          <w:sz w:val="32"/>
          <w:szCs w:val="32"/>
          <w:u w:val="single"/>
        </w:rPr>
        <w:t>年</w:t>
      </w:r>
      <w:r>
        <w:rPr>
          <w:rFonts w:hint="eastAsia" w:cs="Times New Roman"/>
          <w:b w:val="0"/>
          <w:bCs/>
          <w:color w:val="auto"/>
          <w:sz w:val="32"/>
          <w:szCs w:val="32"/>
          <w:u w:val="single"/>
          <w:lang w:val="en-US" w:eastAsia="zh-CN"/>
        </w:rPr>
        <w:t>12</w:t>
      </w:r>
      <w:r>
        <w:rPr>
          <w:rFonts w:hint="default" w:ascii="Times New Roman" w:hAnsi="Times New Roman" w:eastAsia="宋体" w:cs="Times New Roman"/>
          <w:b w:val="0"/>
          <w:bCs/>
          <w:color w:val="auto"/>
          <w:sz w:val="32"/>
          <w:szCs w:val="32"/>
          <w:u w:val="single"/>
          <w:lang w:val="en-US" w:eastAsia="zh-CN"/>
        </w:rPr>
        <w:t xml:space="preserve">月                      </w:t>
      </w:r>
    </w:p>
    <w:p w14:paraId="6DA6D900">
      <w:pPr>
        <w:adjustRightInd w:val="0"/>
        <w:snapToGrid w:val="0"/>
        <w:spacing w:line="288" w:lineRule="auto"/>
        <w:ind w:firstLine="1040"/>
        <w:rPr>
          <w:rFonts w:hint="default" w:ascii="Times New Roman" w:hAnsi="Times New Roman" w:cs="Times New Roman"/>
          <w:b w:val="0"/>
          <w:bCs/>
          <w:color w:val="auto"/>
          <w:sz w:val="36"/>
          <w:szCs w:val="36"/>
        </w:rPr>
      </w:pPr>
    </w:p>
    <w:p w14:paraId="26C9C9FC">
      <w:pPr>
        <w:adjustRightInd w:val="0"/>
        <w:snapToGrid w:val="0"/>
        <w:spacing w:line="288" w:lineRule="auto"/>
        <w:ind w:firstLine="1040"/>
        <w:rPr>
          <w:rFonts w:hint="default" w:ascii="Times New Roman" w:hAnsi="Times New Roman" w:cs="Times New Roman"/>
          <w:b w:val="0"/>
          <w:bCs/>
          <w:color w:val="auto"/>
          <w:sz w:val="36"/>
          <w:szCs w:val="36"/>
        </w:rPr>
      </w:pPr>
    </w:p>
    <w:p w14:paraId="14832EF7">
      <w:pPr>
        <w:adjustRightInd w:val="0"/>
        <w:snapToGrid w:val="0"/>
        <w:spacing w:line="288" w:lineRule="auto"/>
        <w:ind w:firstLine="1040"/>
        <w:rPr>
          <w:rFonts w:hint="default" w:ascii="Times New Roman" w:hAnsi="Times New Roman" w:cs="Times New Roman"/>
          <w:b w:val="0"/>
          <w:bCs/>
          <w:color w:val="auto"/>
          <w:sz w:val="36"/>
          <w:szCs w:val="36"/>
        </w:rPr>
      </w:pPr>
    </w:p>
    <w:bookmarkEnd w:id="0"/>
    <w:p w14:paraId="716446EC">
      <w:pPr>
        <w:adjustRightInd w:val="0"/>
        <w:snapToGrid w:val="0"/>
        <w:spacing w:line="288" w:lineRule="auto"/>
        <w:jc w:val="center"/>
        <w:rPr>
          <w:rFonts w:hint="default" w:ascii="Times New Roman" w:hAnsi="Times New Roman" w:cs="Times New Roman"/>
          <w:b w:val="0"/>
          <w:bCs/>
          <w:color w:val="auto"/>
          <w:sz w:val="36"/>
          <w:szCs w:val="36"/>
        </w:rPr>
      </w:pPr>
      <w:r>
        <w:rPr>
          <w:rFonts w:hint="default" w:ascii="Times New Roman" w:hAnsi="Times New Roman" w:cs="Times New Roman"/>
          <w:b w:val="0"/>
          <w:bCs/>
          <w:color w:val="auto"/>
          <w:sz w:val="36"/>
          <w:szCs w:val="36"/>
        </w:rPr>
        <w:t>中华人民共和国生态环境部制</w:t>
      </w:r>
    </w:p>
    <w:p w14:paraId="2A3320F1">
      <w:pPr>
        <w:adjustRightInd w:val="0"/>
        <w:snapToGrid w:val="0"/>
        <w:spacing w:line="288" w:lineRule="auto"/>
        <w:ind w:firstLine="1040"/>
        <w:rPr>
          <w:rFonts w:hint="default" w:ascii="Times New Roman" w:hAnsi="Times New Roman" w:cs="Times New Roman"/>
          <w:b w:val="0"/>
          <w:bCs/>
          <w:color w:val="auto"/>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74B2E49">
      <w:pPr>
        <w:pStyle w:val="3"/>
        <w:bidi w:val="0"/>
        <w:rPr>
          <w:rFonts w:hint="default" w:ascii="Times New Roman" w:hAnsi="Times New Roman" w:cs="Times New Roman"/>
          <w:color w:val="auto"/>
        </w:rPr>
      </w:pPr>
      <w:r>
        <w:rPr>
          <w:rFonts w:hint="default" w:ascii="Times New Roman" w:hAnsi="Times New Roman" w:cs="Times New Roman"/>
          <w:color w:val="auto"/>
        </w:rPr>
        <w:t>一、建设项目基本情况</w:t>
      </w:r>
    </w:p>
    <w:tbl>
      <w:tblPr>
        <w:tblStyle w:val="31"/>
        <w:tblW w:w="92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77"/>
        <w:gridCol w:w="1161"/>
        <w:gridCol w:w="1900"/>
        <w:gridCol w:w="1918"/>
        <w:gridCol w:w="3509"/>
      </w:tblGrid>
      <w:tr w14:paraId="3CFF6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7" w:hRule="atLeast"/>
          <w:jc w:val="center"/>
        </w:trPr>
        <w:tc>
          <w:tcPr>
            <w:tcW w:w="1938" w:type="dxa"/>
            <w:gridSpan w:val="2"/>
            <w:noWrap w:val="0"/>
            <w:tcMar>
              <w:top w:w="16" w:type="dxa"/>
              <w:left w:w="16" w:type="dxa"/>
              <w:right w:w="16" w:type="dxa"/>
            </w:tcMar>
            <w:vAlign w:val="center"/>
          </w:tcPr>
          <w:p w14:paraId="06E1087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建设项目名称</w:t>
            </w:r>
          </w:p>
        </w:tc>
        <w:tc>
          <w:tcPr>
            <w:tcW w:w="7327" w:type="dxa"/>
            <w:gridSpan w:val="3"/>
            <w:noWrap w:val="0"/>
            <w:vAlign w:val="center"/>
          </w:tcPr>
          <w:p w14:paraId="370802AB">
            <w:pPr>
              <w:adjustRightInd w:val="0"/>
              <w:snapToGrid w:val="0"/>
              <w:spacing w:line="240" w:lineRule="auto"/>
              <w:jc w:val="center"/>
              <w:rPr>
                <w:rFonts w:hint="default" w:ascii="Times New Roman" w:hAnsi="Times New Roman" w:eastAsia="宋体" w:cs="Times New Roman"/>
                <w:color w:val="auto"/>
                <w:szCs w:val="24"/>
                <w:lang w:eastAsia="zh-CN"/>
              </w:rPr>
            </w:pPr>
            <w:r>
              <w:rPr>
                <w:rFonts w:hint="eastAsia" w:cs="Times New Roman"/>
                <w:color w:val="auto"/>
                <w:szCs w:val="24"/>
                <w:lang w:eastAsia="zh-CN"/>
              </w:rPr>
              <w:t>济宁海螺一般固废综合利用和原燃材料替代技改项目</w:t>
            </w:r>
          </w:p>
        </w:tc>
      </w:tr>
      <w:tr w14:paraId="21DB7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38" w:type="dxa"/>
            <w:gridSpan w:val="2"/>
            <w:noWrap w:val="0"/>
            <w:tcMar>
              <w:top w:w="16" w:type="dxa"/>
              <w:left w:w="16" w:type="dxa"/>
              <w:right w:w="16" w:type="dxa"/>
            </w:tcMar>
            <w:vAlign w:val="center"/>
          </w:tcPr>
          <w:p w14:paraId="10D007DA">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项目代码</w:t>
            </w:r>
          </w:p>
        </w:tc>
        <w:tc>
          <w:tcPr>
            <w:tcW w:w="7327" w:type="dxa"/>
            <w:gridSpan w:val="3"/>
            <w:noWrap w:val="0"/>
            <w:vAlign w:val="center"/>
          </w:tcPr>
          <w:p w14:paraId="6ABB19E7">
            <w:pPr>
              <w:adjustRightInd w:val="0"/>
              <w:snapToGrid w:val="0"/>
              <w:spacing w:line="240" w:lineRule="auto"/>
              <w:jc w:val="center"/>
              <w:rPr>
                <w:rFonts w:hint="default" w:ascii="Times New Roman" w:hAnsi="Times New Roman" w:eastAsia="宋体" w:cs="Times New Roman"/>
                <w:color w:val="auto"/>
                <w:szCs w:val="24"/>
                <w:lang w:eastAsia="zh-CN"/>
              </w:rPr>
            </w:pPr>
            <w:r>
              <w:rPr>
                <w:rFonts w:hint="eastAsia" w:cs="Times New Roman"/>
                <w:color w:val="auto"/>
                <w:szCs w:val="24"/>
                <w:lang w:eastAsia="zh-CN"/>
              </w:rPr>
              <w:t>2501-370831-07-02-615902</w:t>
            </w:r>
          </w:p>
        </w:tc>
      </w:tr>
      <w:tr w14:paraId="1E8F8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38" w:type="dxa"/>
            <w:gridSpan w:val="2"/>
            <w:noWrap w:val="0"/>
            <w:tcMar>
              <w:top w:w="16" w:type="dxa"/>
              <w:left w:w="16" w:type="dxa"/>
              <w:right w:w="16" w:type="dxa"/>
            </w:tcMar>
            <w:vAlign w:val="center"/>
          </w:tcPr>
          <w:p w14:paraId="4EB35C10">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建设单位联系人</w:t>
            </w:r>
          </w:p>
        </w:tc>
        <w:tc>
          <w:tcPr>
            <w:tcW w:w="1900" w:type="dxa"/>
            <w:noWrap w:val="0"/>
            <w:vAlign w:val="center"/>
          </w:tcPr>
          <w:p w14:paraId="35D5CB1A">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李茂文</w:t>
            </w:r>
          </w:p>
        </w:tc>
        <w:tc>
          <w:tcPr>
            <w:tcW w:w="1918" w:type="dxa"/>
            <w:noWrap w:val="0"/>
            <w:vAlign w:val="center"/>
          </w:tcPr>
          <w:p w14:paraId="55E7664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eastAsia="宋体" w:cs="Times New Roman"/>
                <w:color w:val="auto"/>
                <w:sz w:val="24"/>
                <w:szCs w:val="24"/>
              </w:rPr>
              <w:t>联系方式</w:t>
            </w:r>
          </w:p>
        </w:tc>
        <w:tc>
          <w:tcPr>
            <w:tcW w:w="3509" w:type="dxa"/>
            <w:noWrap w:val="0"/>
            <w:vAlign w:val="center"/>
          </w:tcPr>
          <w:p w14:paraId="268D7541">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19806260816</w:t>
            </w:r>
          </w:p>
        </w:tc>
      </w:tr>
      <w:tr w14:paraId="73D00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38" w:type="dxa"/>
            <w:gridSpan w:val="2"/>
            <w:noWrap w:val="0"/>
            <w:tcMar>
              <w:top w:w="16" w:type="dxa"/>
              <w:left w:w="16" w:type="dxa"/>
              <w:right w:w="16" w:type="dxa"/>
            </w:tcMar>
            <w:vAlign w:val="center"/>
          </w:tcPr>
          <w:p w14:paraId="14672A26">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建设地点</w:t>
            </w:r>
          </w:p>
        </w:tc>
        <w:tc>
          <w:tcPr>
            <w:tcW w:w="7327" w:type="dxa"/>
            <w:gridSpan w:val="3"/>
            <w:noWrap w:val="0"/>
            <w:vAlign w:val="center"/>
          </w:tcPr>
          <w:p w14:paraId="142F21C4">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u w:val="none"/>
              </w:rPr>
              <w:t>山东省济宁市</w:t>
            </w:r>
            <w:r>
              <w:rPr>
                <w:rFonts w:hint="default" w:ascii="Times New Roman" w:hAnsi="Times New Roman" w:cs="Times New Roman"/>
                <w:color w:val="auto"/>
                <w:szCs w:val="24"/>
                <w:u w:val="none"/>
                <w:lang w:val="en-US" w:eastAsia="zh-CN"/>
              </w:rPr>
              <w:t>泗水</w:t>
            </w:r>
            <w:r>
              <w:rPr>
                <w:rFonts w:hint="default" w:ascii="Times New Roman" w:hAnsi="Times New Roman" w:cs="Times New Roman"/>
                <w:color w:val="auto"/>
                <w:szCs w:val="24"/>
                <w:u w:val="none"/>
                <w:lang w:eastAsia="zh-CN"/>
              </w:rPr>
              <w:t>县</w:t>
            </w:r>
            <w:r>
              <w:rPr>
                <w:rFonts w:hint="default" w:ascii="Times New Roman" w:hAnsi="Times New Roman" w:cs="Times New Roman"/>
                <w:color w:val="auto"/>
                <w:szCs w:val="24"/>
                <w:u w:val="none"/>
                <w:lang w:val="en-US" w:eastAsia="zh-CN"/>
              </w:rPr>
              <w:t>苗馆</w:t>
            </w:r>
            <w:r>
              <w:rPr>
                <w:rFonts w:hint="default" w:ascii="Times New Roman" w:hAnsi="Times New Roman" w:cs="Times New Roman"/>
                <w:color w:val="auto"/>
                <w:szCs w:val="24"/>
                <w:u w:val="none"/>
              </w:rPr>
              <w:t>镇</w:t>
            </w:r>
            <w:r>
              <w:rPr>
                <w:rFonts w:hint="default" w:ascii="Times New Roman" w:hAnsi="Times New Roman" w:cs="Times New Roman"/>
                <w:color w:val="auto"/>
                <w:szCs w:val="24"/>
                <w:u w:val="none"/>
                <w:lang w:val="en-US" w:eastAsia="zh-CN"/>
              </w:rPr>
              <w:t>济宁海螺</w:t>
            </w:r>
            <w:r>
              <w:rPr>
                <w:rFonts w:hint="default" w:ascii="Times New Roman" w:hAnsi="Times New Roman" w:cs="Times New Roman"/>
                <w:color w:val="auto"/>
                <w:szCs w:val="24"/>
                <w:lang w:val="en-US" w:eastAsia="zh-CN"/>
              </w:rPr>
              <w:t>水泥有限责任公司院内</w:t>
            </w:r>
          </w:p>
        </w:tc>
      </w:tr>
      <w:tr w14:paraId="288AB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38" w:type="dxa"/>
            <w:gridSpan w:val="2"/>
            <w:noWrap w:val="0"/>
            <w:tcMar>
              <w:top w:w="16" w:type="dxa"/>
              <w:left w:w="16" w:type="dxa"/>
              <w:right w:w="16" w:type="dxa"/>
            </w:tcMar>
            <w:vAlign w:val="center"/>
          </w:tcPr>
          <w:p w14:paraId="6DD482A0">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地理坐标</w:t>
            </w:r>
          </w:p>
        </w:tc>
        <w:tc>
          <w:tcPr>
            <w:tcW w:w="7327" w:type="dxa"/>
            <w:gridSpan w:val="3"/>
            <w:noWrap w:val="0"/>
            <w:vAlign w:val="center"/>
          </w:tcPr>
          <w:p w14:paraId="25524442">
            <w:pPr>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rPr>
              <w:t>（东经</w:t>
            </w:r>
            <w:r>
              <w:rPr>
                <w:rFonts w:hint="default" w:ascii="Times New Roman" w:hAnsi="Times New Roman" w:cs="Times New Roman"/>
                <w:color w:val="auto"/>
                <w:u w:val="single"/>
              </w:rPr>
              <w:t xml:space="preserve"> </w:t>
            </w:r>
            <w:r>
              <w:rPr>
                <w:rFonts w:hint="eastAsia" w:cs="Times New Roman"/>
                <w:color w:val="auto"/>
                <w:u w:val="single"/>
                <w:lang w:eastAsia="zh-CN"/>
              </w:rPr>
              <w:t>117 度 26 分 27.087 秒</w:t>
            </w:r>
            <w:r>
              <w:rPr>
                <w:rFonts w:hint="default" w:ascii="Times New Roman" w:hAnsi="Times New Roman" w:cs="Times New Roman"/>
                <w:color w:val="auto"/>
              </w:rPr>
              <w:t>，北纬</w:t>
            </w:r>
            <w:r>
              <w:rPr>
                <w:rFonts w:hint="default" w:ascii="Times New Roman" w:hAnsi="Times New Roman" w:cs="Times New Roman"/>
                <w:color w:val="auto"/>
                <w:u w:val="single"/>
              </w:rPr>
              <w:t xml:space="preserve"> </w:t>
            </w:r>
            <w:r>
              <w:rPr>
                <w:rFonts w:hint="eastAsia" w:cs="Times New Roman"/>
                <w:color w:val="auto"/>
                <w:u w:val="single"/>
                <w:lang w:eastAsia="zh-CN"/>
              </w:rPr>
              <w:t>35 度 36分 52.784 秒</w:t>
            </w:r>
            <w:r>
              <w:rPr>
                <w:rFonts w:hint="default" w:ascii="Times New Roman" w:hAnsi="Times New Roman" w:cs="Times New Roman"/>
                <w:color w:val="auto"/>
              </w:rPr>
              <w:t>）</w:t>
            </w:r>
          </w:p>
        </w:tc>
      </w:tr>
      <w:tr w14:paraId="17EE0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38" w:type="dxa"/>
            <w:gridSpan w:val="2"/>
            <w:noWrap w:val="0"/>
            <w:tcMar>
              <w:top w:w="16" w:type="dxa"/>
              <w:left w:w="16" w:type="dxa"/>
              <w:right w:w="16" w:type="dxa"/>
            </w:tcMar>
            <w:vAlign w:val="center"/>
          </w:tcPr>
          <w:p w14:paraId="30326E8B">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国民经济</w:t>
            </w:r>
          </w:p>
          <w:p w14:paraId="1066056E">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行业类别</w:t>
            </w:r>
          </w:p>
        </w:tc>
        <w:tc>
          <w:tcPr>
            <w:tcW w:w="1900" w:type="dxa"/>
            <w:noWrap w:val="0"/>
            <w:vAlign w:val="center"/>
          </w:tcPr>
          <w:p w14:paraId="0FC72401">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N7723固体废物治理</w:t>
            </w:r>
          </w:p>
        </w:tc>
        <w:tc>
          <w:tcPr>
            <w:tcW w:w="1918" w:type="dxa"/>
            <w:noWrap w:val="0"/>
            <w:vAlign w:val="center"/>
          </w:tcPr>
          <w:p w14:paraId="184320A2">
            <w:pPr>
              <w:adjustRightInd w:val="0"/>
              <w:snapToGrid w:val="0"/>
              <w:spacing w:line="240" w:lineRule="auto"/>
              <w:jc w:val="center"/>
              <w:rPr>
                <w:rFonts w:hint="default" w:ascii="Times New Roman" w:hAnsi="Times New Roman" w:cs="Times New Roman"/>
                <w:color w:val="auto"/>
                <w:szCs w:val="24"/>
              </w:rPr>
            </w:pPr>
            <w:bookmarkStart w:id="1" w:name="_Hlk49843745"/>
            <w:r>
              <w:rPr>
                <w:rFonts w:hint="default" w:ascii="Times New Roman" w:hAnsi="Times New Roman" w:cs="Times New Roman"/>
                <w:color w:val="auto"/>
                <w:szCs w:val="24"/>
              </w:rPr>
              <w:t>建设项目</w:t>
            </w:r>
          </w:p>
          <w:p w14:paraId="04D66176">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行业类别</w:t>
            </w:r>
            <w:bookmarkEnd w:id="1"/>
          </w:p>
        </w:tc>
        <w:tc>
          <w:tcPr>
            <w:tcW w:w="3509" w:type="dxa"/>
            <w:noWrap w:val="0"/>
            <w:vAlign w:val="center"/>
          </w:tcPr>
          <w:p w14:paraId="57139477">
            <w:pPr>
              <w:adjustRightInd w:val="0"/>
              <w:snapToGrid w:val="0"/>
              <w:spacing w:line="240" w:lineRule="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四十</w:t>
            </w:r>
            <w:r>
              <w:rPr>
                <w:rFonts w:hint="default" w:ascii="Times New Roman" w:hAnsi="Times New Roman" w:cs="Times New Roman"/>
                <w:color w:val="auto"/>
                <w:szCs w:val="24"/>
                <w:lang w:val="en-US" w:eastAsia="zh-CN"/>
              </w:rPr>
              <w:t>七</w:t>
            </w:r>
            <w:r>
              <w:rPr>
                <w:rFonts w:hint="default" w:ascii="Times New Roman" w:hAnsi="Times New Roman" w:eastAsia="宋体" w:cs="Times New Roman"/>
                <w:color w:val="auto"/>
                <w:szCs w:val="24"/>
                <w:lang w:val="en-US" w:eastAsia="zh-CN"/>
              </w:rPr>
              <w:t>、</w:t>
            </w:r>
            <w:r>
              <w:rPr>
                <w:rFonts w:hint="default" w:ascii="Times New Roman" w:hAnsi="Times New Roman" w:cs="Times New Roman"/>
                <w:color w:val="auto"/>
                <w:szCs w:val="24"/>
                <w:lang w:val="en-US" w:eastAsia="zh-CN"/>
              </w:rPr>
              <w:t>生态保护和环境治理</w:t>
            </w:r>
            <w:r>
              <w:rPr>
                <w:rFonts w:hint="default" w:ascii="Times New Roman" w:hAnsi="Times New Roman" w:eastAsia="宋体" w:cs="Times New Roman"/>
                <w:color w:val="auto"/>
                <w:szCs w:val="24"/>
                <w:lang w:val="en-US" w:eastAsia="zh-CN"/>
              </w:rPr>
              <w:t>业</w:t>
            </w:r>
          </w:p>
          <w:p w14:paraId="594019FD">
            <w:pPr>
              <w:adjustRightInd w:val="0"/>
              <w:snapToGrid w:val="0"/>
              <w:spacing w:line="240" w:lineRule="auto"/>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103</w:t>
            </w:r>
            <w:r>
              <w:rPr>
                <w:rFonts w:hint="default" w:ascii="Times New Roman" w:hAnsi="Times New Roman" w:eastAsia="宋体" w:cs="Times New Roman"/>
                <w:color w:val="auto"/>
                <w:szCs w:val="24"/>
                <w:lang w:val="en-US" w:eastAsia="zh-CN"/>
              </w:rPr>
              <w:t>、一般工业固体废物（含污水处理污泥）、建筑施工废弃物处置及综合利用</w:t>
            </w:r>
            <w:r>
              <w:rPr>
                <w:rFonts w:hint="default" w:ascii="Times New Roman" w:hAnsi="Times New Roman" w:cs="Times New Roman"/>
                <w:color w:val="auto"/>
                <w:szCs w:val="24"/>
                <w:lang w:val="en-US" w:eastAsia="zh-CN"/>
              </w:rPr>
              <w:t>-其他</w:t>
            </w:r>
          </w:p>
        </w:tc>
      </w:tr>
      <w:tr w14:paraId="4F4B3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38" w:type="dxa"/>
            <w:gridSpan w:val="2"/>
            <w:noWrap w:val="0"/>
            <w:tcMar>
              <w:top w:w="16" w:type="dxa"/>
              <w:left w:w="16" w:type="dxa"/>
              <w:right w:w="16" w:type="dxa"/>
            </w:tcMar>
            <w:vAlign w:val="center"/>
          </w:tcPr>
          <w:p w14:paraId="1C44431E">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建设性质</w:t>
            </w:r>
          </w:p>
        </w:tc>
        <w:tc>
          <w:tcPr>
            <w:tcW w:w="1900" w:type="dxa"/>
            <w:noWrap w:val="0"/>
            <w:vAlign w:val="center"/>
          </w:tcPr>
          <w:p w14:paraId="6E0DDC52">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新建（迁建）</w:t>
            </w:r>
          </w:p>
          <w:p w14:paraId="52795BB4">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改建</w:t>
            </w:r>
          </w:p>
          <w:p w14:paraId="4F158AAE">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扩建</w:t>
            </w:r>
          </w:p>
          <w:p w14:paraId="63792C80">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52"/>
            </w:r>
            <w:r>
              <w:rPr>
                <w:rFonts w:hint="default" w:ascii="Times New Roman" w:hAnsi="Times New Roman" w:cs="Times New Roman"/>
                <w:color w:val="auto"/>
                <w:szCs w:val="24"/>
              </w:rPr>
              <w:t>技术改造</w:t>
            </w:r>
          </w:p>
        </w:tc>
        <w:tc>
          <w:tcPr>
            <w:tcW w:w="1918" w:type="dxa"/>
            <w:noWrap w:val="0"/>
            <w:vAlign w:val="center"/>
          </w:tcPr>
          <w:p w14:paraId="2BC1EFA4">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建设项目</w:t>
            </w:r>
          </w:p>
          <w:p w14:paraId="39E486E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申报情形</w:t>
            </w:r>
          </w:p>
        </w:tc>
        <w:tc>
          <w:tcPr>
            <w:tcW w:w="3509" w:type="dxa"/>
            <w:noWrap w:val="0"/>
            <w:vAlign w:val="center"/>
          </w:tcPr>
          <w:p w14:paraId="23AF2C1A">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52"/>
            </w:r>
            <w:r>
              <w:rPr>
                <w:rFonts w:hint="default" w:ascii="Times New Roman" w:hAnsi="Times New Roman" w:cs="Times New Roman"/>
                <w:color w:val="auto"/>
                <w:szCs w:val="24"/>
              </w:rPr>
              <w:t xml:space="preserve">首次申报项目             </w:t>
            </w:r>
          </w:p>
          <w:p w14:paraId="632D7AD6">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不予批准后再次申报项目</w:t>
            </w:r>
          </w:p>
          <w:p w14:paraId="1A723A1E">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 xml:space="preserve">超五年重新审核项目     </w:t>
            </w:r>
          </w:p>
          <w:p w14:paraId="0E450DE2">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重大变动重新报批项目</w:t>
            </w:r>
          </w:p>
        </w:tc>
      </w:tr>
      <w:tr w14:paraId="251BF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38" w:type="dxa"/>
            <w:gridSpan w:val="2"/>
            <w:noWrap w:val="0"/>
            <w:tcMar>
              <w:top w:w="16" w:type="dxa"/>
              <w:left w:w="16" w:type="dxa"/>
              <w:right w:w="16" w:type="dxa"/>
            </w:tcMar>
            <w:vAlign w:val="center"/>
          </w:tcPr>
          <w:p w14:paraId="14E4330C">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项目审批（核准/</w:t>
            </w:r>
          </w:p>
          <w:p w14:paraId="4B3EBE9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备案）部门</w:t>
            </w:r>
          </w:p>
          <w:p w14:paraId="4A9A2215">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（选填）</w:t>
            </w:r>
          </w:p>
        </w:tc>
        <w:tc>
          <w:tcPr>
            <w:tcW w:w="1900" w:type="dxa"/>
            <w:noWrap w:val="0"/>
            <w:vAlign w:val="center"/>
          </w:tcPr>
          <w:p w14:paraId="25FEEB66">
            <w:pPr>
              <w:adjustRightInd w:val="0"/>
              <w:snapToGrid w:val="0"/>
              <w:spacing w:line="240" w:lineRule="auto"/>
              <w:jc w:val="center"/>
              <w:rPr>
                <w:rFonts w:hint="default" w:ascii="Times New Roman" w:hAnsi="Times New Roman" w:eastAsia="宋体" w:cs="Times New Roman"/>
                <w:color w:val="auto"/>
                <w:szCs w:val="24"/>
                <w:lang w:eastAsia="zh-CN"/>
              </w:rPr>
            </w:pPr>
            <w:r>
              <w:rPr>
                <w:rFonts w:hint="default" w:ascii="Times New Roman" w:hAnsi="Times New Roman" w:cs="Times New Roman"/>
                <w:color w:val="auto"/>
                <w:szCs w:val="24"/>
                <w:lang w:val="en-US" w:eastAsia="zh-CN"/>
              </w:rPr>
              <w:t>泗水</w:t>
            </w:r>
            <w:r>
              <w:rPr>
                <w:rFonts w:hint="default" w:ascii="Times New Roman" w:hAnsi="Times New Roman" w:eastAsia="宋体" w:cs="Times New Roman"/>
                <w:color w:val="auto"/>
                <w:szCs w:val="24"/>
                <w:lang w:eastAsia="zh-CN"/>
              </w:rPr>
              <w:t>县行政审批服务局</w:t>
            </w:r>
          </w:p>
        </w:tc>
        <w:tc>
          <w:tcPr>
            <w:tcW w:w="1918" w:type="dxa"/>
            <w:noWrap w:val="0"/>
            <w:vAlign w:val="center"/>
          </w:tcPr>
          <w:p w14:paraId="19E5E965">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项目审批（核准/</w:t>
            </w:r>
          </w:p>
          <w:p w14:paraId="082096CB">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备案）文号（选填）</w:t>
            </w:r>
          </w:p>
        </w:tc>
        <w:tc>
          <w:tcPr>
            <w:tcW w:w="3509" w:type="dxa"/>
            <w:noWrap w:val="0"/>
            <w:vAlign w:val="center"/>
          </w:tcPr>
          <w:p w14:paraId="49FB535E">
            <w:pPr>
              <w:adjustRightInd w:val="0"/>
              <w:snapToGrid w:val="0"/>
              <w:spacing w:line="240" w:lineRule="auto"/>
              <w:jc w:val="center"/>
              <w:rPr>
                <w:rFonts w:hint="default" w:ascii="Times New Roman" w:hAnsi="Times New Roman" w:eastAsia="宋体" w:cs="Times New Roman"/>
                <w:color w:val="auto"/>
                <w:szCs w:val="24"/>
                <w:lang w:eastAsia="zh-CN"/>
              </w:rPr>
            </w:pPr>
            <w:r>
              <w:rPr>
                <w:rFonts w:hint="eastAsia" w:cs="Times New Roman"/>
                <w:color w:val="auto"/>
                <w:szCs w:val="24"/>
                <w:lang w:eastAsia="zh-CN"/>
              </w:rPr>
              <w:t>2501-370831-07-02-615902</w:t>
            </w:r>
          </w:p>
        </w:tc>
      </w:tr>
      <w:tr w14:paraId="7B9EB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38" w:type="dxa"/>
            <w:gridSpan w:val="2"/>
            <w:noWrap w:val="0"/>
            <w:tcMar>
              <w:top w:w="16" w:type="dxa"/>
              <w:left w:w="16" w:type="dxa"/>
              <w:right w:w="16" w:type="dxa"/>
            </w:tcMar>
            <w:vAlign w:val="center"/>
          </w:tcPr>
          <w:p w14:paraId="0423D8A5">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总投资（万元）</w:t>
            </w:r>
          </w:p>
        </w:tc>
        <w:tc>
          <w:tcPr>
            <w:tcW w:w="1900" w:type="dxa"/>
            <w:noWrap w:val="0"/>
            <w:vAlign w:val="center"/>
          </w:tcPr>
          <w:p w14:paraId="46C87F77">
            <w:pPr>
              <w:adjustRightInd w:val="0"/>
              <w:snapToGrid w:val="0"/>
              <w:spacing w:line="240" w:lineRule="auto"/>
              <w:jc w:val="center"/>
              <w:rPr>
                <w:rFonts w:hint="default" w:ascii="Times New Roman" w:hAnsi="Times New Roman" w:cs="Times New Roman"/>
                <w:color w:val="auto"/>
                <w:szCs w:val="24"/>
                <w:lang w:val="en-US"/>
              </w:rPr>
            </w:pPr>
            <w:r>
              <w:rPr>
                <w:rFonts w:hint="eastAsia" w:cs="Times New Roman"/>
                <w:color w:val="auto"/>
                <w:szCs w:val="24"/>
                <w:lang w:val="en-US" w:eastAsia="zh-CN"/>
              </w:rPr>
              <w:t>170</w:t>
            </w:r>
          </w:p>
        </w:tc>
        <w:tc>
          <w:tcPr>
            <w:tcW w:w="1918" w:type="dxa"/>
            <w:noWrap w:val="0"/>
            <w:tcMar>
              <w:top w:w="16" w:type="dxa"/>
              <w:left w:w="16" w:type="dxa"/>
              <w:right w:w="16" w:type="dxa"/>
            </w:tcMar>
            <w:vAlign w:val="center"/>
          </w:tcPr>
          <w:p w14:paraId="3C88901A">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环保投资（万元）</w:t>
            </w:r>
          </w:p>
        </w:tc>
        <w:tc>
          <w:tcPr>
            <w:tcW w:w="3509" w:type="dxa"/>
            <w:noWrap w:val="0"/>
            <w:vAlign w:val="center"/>
          </w:tcPr>
          <w:p w14:paraId="15B91686">
            <w:pPr>
              <w:adjustRightInd w:val="0"/>
              <w:snapToGrid w:val="0"/>
              <w:spacing w:line="240" w:lineRule="auto"/>
              <w:jc w:val="center"/>
              <w:rPr>
                <w:rFonts w:hint="default" w:ascii="Times New Roman" w:hAnsi="Times New Roman" w:cs="Times New Roman"/>
                <w:color w:val="auto"/>
                <w:szCs w:val="24"/>
                <w:lang w:val="en-US"/>
              </w:rPr>
            </w:pPr>
            <w:r>
              <w:rPr>
                <w:rFonts w:hint="eastAsia" w:cs="Times New Roman"/>
                <w:color w:val="auto"/>
                <w:szCs w:val="24"/>
                <w:lang w:val="en-US" w:eastAsia="zh-CN"/>
              </w:rPr>
              <w:t>0</w:t>
            </w:r>
          </w:p>
        </w:tc>
      </w:tr>
      <w:tr w14:paraId="6F46A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38" w:type="dxa"/>
            <w:gridSpan w:val="2"/>
            <w:noWrap w:val="0"/>
            <w:tcMar>
              <w:top w:w="16" w:type="dxa"/>
              <w:left w:w="16" w:type="dxa"/>
              <w:right w:w="16" w:type="dxa"/>
            </w:tcMar>
            <w:vAlign w:val="center"/>
          </w:tcPr>
          <w:p w14:paraId="2E479E94">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环保投资占比（%）</w:t>
            </w:r>
          </w:p>
        </w:tc>
        <w:tc>
          <w:tcPr>
            <w:tcW w:w="1900" w:type="dxa"/>
            <w:noWrap w:val="0"/>
            <w:vAlign w:val="center"/>
          </w:tcPr>
          <w:p w14:paraId="762BA186">
            <w:pPr>
              <w:adjustRightInd w:val="0"/>
              <w:snapToGrid w:val="0"/>
              <w:spacing w:line="240" w:lineRule="auto"/>
              <w:jc w:val="center"/>
              <w:rPr>
                <w:rFonts w:hint="default" w:ascii="Times New Roman" w:hAnsi="Times New Roman" w:cs="Times New Roman"/>
                <w:color w:val="auto"/>
                <w:szCs w:val="24"/>
              </w:rPr>
            </w:pPr>
            <w:r>
              <w:rPr>
                <w:rFonts w:hint="eastAsia" w:cs="Times New Roman"/>
                <w:color w:val="auto"/>
                <w:szCs w:val="24"/>
                <w:lang w:val="en-US" w:eastAsia="zh-CN"/>
              </w:rPr>
              <w:t>0</w:t>
            </w:r>
          </w:p>
        </w:tc>
        <w:tc>
          <w:tcPr>
            <w:tcW w:w="1918" w:type="dxa"/>
            <w:noWrap w:val="0"/>
            <w:tcMar>
              <w:top w:w="16" w:type="dxa"/>
              <w:left w:w="16" w:type="dxa"/>
              <w:right w:w="16" w:type="dxa"/>
            </w:tcMar>
            <w:vAlign w:val="center"/>
          </w:tcPr>
          <w:p w14:paraId="0D4E368C">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施工工期</w:t>
            </w:r>
          </w:p>
        </w:tc>
        <w:tc>
          <w:tcPr>
            <w:tcW w:w="3509" w:type="dxa"/>
            <w:noWrap w:val="0"/>
            <w:vAlign w:val="center"/>
          </w:tcPr>
          <w:p w14:paraId="41D295F4">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1个月</w:t>
            </w:r>
          </w:p>
        </w:tc>
      </w:tr>
      <w:tr w14:paraId="1A188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38" w:type="dxa"/>
            <w:gridSpan w:val="2"/>
            <w:noWrap w:val="0"/>
            <w:tcMar>
              <w:top w:w="16" w:type="dxa"/>
              <w:left w:w="16" w:type="dxa"/>
              <w:right w:w="16" w:type="dxa"/>
            </w:tcMar>
            <w:vAlign w:val="center"/>
          </w:tcPr>
          <w:p w14:paraId="4EF945B9">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是否开工建设</w:t>
            </w:r>
          </w:p>
        </w:tc>
        <w:tc>
          <w:tcPr>
            <w:tcW w:w="1900" w:type="dxa"/>
            <w:noWrap w:val="0"/>
            <w:vAlign w:val="center"/>
          </w:tcPr>
          <w:p w14:paraId="123422F8">
            <w:pPr>
              <w:adjustRightInd w:val="0"/>
              <w:snapToGrid w:val="0"/>
              <w:spacing w:line="240" w:lineRule="auto"/>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52"/>
            </w:r>
            <w:r>
              <w:rPr>
                <w:rFonts w:hint="default" w:ascii="Times New Roman" w:hAnsi="Times New Roman" w:cs="Times New Roman"/>
                <w:color w:val="auto"/>
                <w:szCs w:val="24"/>
              </w:rPr>
              <w:t>否</w:t>
            </w:r>
          </w:p>
          <w:p w14:paraId="1388E7A5">
            <w:pPr>
              <w:pStyle w:val="3"/>
              <w:spacing w:line="240" w:lineRule="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val="0"/>
                <w:bCs/>
                <w:color w:val="auto"/>
                <w:sz w:val="24"/>
                <w:szCs w:val="24"/>
              </w:rPr>
              <w:sym w:font="Wingdings 2" w:char="00A3"/>
            </w:r>
            <w:r>
              <w:rPr>
                <w:rFonts w:hint="default" w:ascii="Times New Roman" w:hAnsi="Times New Roman" w:eastAsia="宋体" w:cs="Times New Roman"/>
                <w:b w:val="0"/>
                <w:bCs/>
                <w:color w:val="auto"/>
                <w:sz w:val="24"/>
                <w:szCs w:val="24"/>
              </w:rPr>
              <w:t>是：</w:t>
            </w:r>
            <w:r>
              <w:rPr>
                <w:rFonts w:hint="default" w:ascii="Times New Roman" w:hAnsi="Times New Roman" w:eastAsia="宋体" w:cs="Times New Roman"/>
                <w:b w:val="0"/>
                <w:bCs/>
                <w:color w:val="auto"/>
                <w:sz w:val="24"/>
                <w:szCs w:val="24"/>
                <w:u w:val="single"/>
              </w:rPr>
              <w:t xml:space="preserve">             </w:t>
            </w:r>
          </w:p>
        </w:tc>
        <w:tc>
          <w:tcPr>
            <w:tcW w:w="1918" w:type="dxa"/>
            <w:noWrap w:val="0"/>
            <w:tcMar>
              <w:top w:w="16" w:type="dxa"/>
              <w:left w:w="16" w:type="dxa"/>
              <w:right w:w="16" w:type="dxa"/>
            </w:tcMar>
            <w:vAlign w:val="center"/>
          </w:tcPr>
          <w:p w14:paraId="53127907">
            <w:pPr>
              <w:adjustRightInd w:val="0"/>
              <w:snapToGrid w:val="0"/>
              <w:spacing w:line="240" w:lineRule="auto"/>
              <w:jc w:val="center"/>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用地（用海）</w:t>
            </w:r>
          </w:p>
          <w:p w14:paraId="5075C316">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pacing w:val="-6"/>
                <w:szCs w:val="24"/>
              </w:rPr>
              <w:t>面积（m</w:t>
            </w:r>
            <w:r>
              <w:rPr>
                <w:rFonts w:hint="default" w:ascii="Times New Roman" w:hAnsi="Times New Roman" w:cs="Times New Roman"/>
                <w:color w:val="auto"/>
                <w:spacing w:val="-6"/>
                <w:szCs w:val="24"/>
                <w:vertAlign w:val="superscript"/>
              </w:rPr>
              <w:t>2</w:t>
            </w:r>
            <w:r>
              <w:rPr>
                <w:rFonts w:hint="default" w:ascii="Times New Roman" w:hAnsi="Times New Roman" w:cs="Times New Roman"/>
                <w:color w:val="auto"/>
                <w:spacing w:val="-6"/>
                <w:szCs w:val="24"/>
              </w:rPr>
              <w:t>）</w:t>
            </w:r>
          </w:p>
        </w:tc>
        <w:tc>
          <w:tcPr>
            <w:tcW w:w="3509" w:type="dxa"/>
            <w:noWrap w:val="0"/>
            <w:vAlign w:val="center"/>
          </w:tcPr>
          <w:p w14:paraId="49A7416A">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不新增占地</w:t>
            </w:r>
          </w:p>
        </w:tc>
      </w:tr>
      <w:tr w14:paraId="2ED7C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14:paraId="300207C1">
            <w:pPr>
              <w:autoSpaceDE w:val="0"/>
              <w:autoSpaceDN w:val="0"/>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专项评价设置情况</w:t>
            </w:r>
          </w:p>
        </w:tc>
        <w:tc>
          <w:tcPr>
            <w:tcW w:w="8488" w:type="dxa"/>
            <w:gridSpan w:val="4"/>
            <w:noWrap w:val="0"/>
            <w:vAlign w:val="center"/>
          </w:tcPr>
          <w:p w14:paraId="187F0548">
            <w:pPr>
              <w:bidi w:val="0"/>
              <w:ind w:firstLine="48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根据建设项目环境影响报告表编制技术指南（污染影响类）（试行）相关要求，对照表1专题评价设置原则，本项目专题评价设置情况见下表</w:t>
            </w:r>
            <w:r>
              <w:rPr>
                <w:rFonts w:hint="default" w:ascii="Times New Roman" w:hAnsi="Times New Roman" w:cs="Times New Roman"/>
                <w:color w:val="auto"/>
                <w:lang w:eastAsia="zh-CN"/>
              </w:rPr>
              <w:t>。</w:t>
            </w:r>
          </w:p>
          <w:p w14:paraId="3FAECC1D">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rPr>
              <w:t>表</w:t>
            </w:r>
            <w:r>
              <w:rPr>
                <w:rFonts w:hint="default" w:ascii="Times New Roman" w:hAnsi="Times New Roman" w:eastAsia="宋体" w:cs="Times New Roman"/>
                <w:b/>
                <w:bCs w:val="0"/>
                <w:color w:val="auto"/>
                <w:lang w:val="en-US" w:eastAsia="zh-CN"/>
              </w:rPr>
              <w:t>1</w:t>
            </w:r>
            <w:r>
              <w:rPr>
                <w:rFonts w:hint="default" w:ascii="Times New Roman" w:hAnsi="Times New Roman" w:eastAsia="宋体" w:cs="Times New Roman"/>
                <w:b/>
                <w:bCs w:val="0"/>
                <w:color w:val="auto"/>
              </w:rPr>
              <w:t>-1</w:t>
            </w:r>
            <w:r>
              <w:rPr>
                <w:rFonts w:hint="default"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rPr>
              <w:t>项目</w:t>
            </w:r>
            <w:r>
              <w:rPr>
                <w:rFonts w:hint="default" w:ascii="Times New Roman" w:hAnsi="Times New Roman" w:eastAsia="宋体" w:cs="Times New Roman"/>
                <w:b/>
                <w:bCs w:val="0"/>
                <w:color w:val="auto"/>
                <w:lang w:val="en-US" w:eastAsia="zh-CN"/>
              </w:rPr>
              <w:t>专题</w:t>
            </w:r>
            <w:r>
              <w:rPr>
                <w:rFonts w:hint="default" w:ascii="Times New Roman" w:hAnsi="Times New Roman" w:eastAsia="宋体" w:cs="Times New Roman"/>
                <w:b/>
                <w:bCs w:val="0"/>
                <w:color w:val="auto"/>
              </w:rPr>
              <w:t>评价</w:t>
            </w:r>
            <w:r>
              <w:rPr>
                <w:rFonts w:hint="default" w:ascii="Times New Roman" w:hAnsi="Times New Roman" w:eastAsia="宋体" w:cs="Times New Roman"/>
                <w:b/>
                <w:bCs w:val="0"/>
                <w:color w:val="auto"/>
                <w:lang w:val="en-US" w:eastAsia="zh-CN"/>
              </w:rPr>
              <w:t>设置情况一览表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3605"/>
              <w:gridCol w:w="2360"/>
              <w:gridCol w:w="1232"/>
            </w:tblGrid>
            <w:tr w14:paraId="1965E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13ABDD36">
                  <w:pPr>
                    <w:pStyle w:val="46"/>
                    <w:spacing w:line="24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专项评价类别</w:t>
                  </w:r>
                </w:p>
              </w:tc>
              <w:tc>
                <w:tcPr>
                  <w:tcW w:w="2186" w:type="pct"/>
                  <w:tcBorders>
                    <w:tl2br w:val="nil"/>
                    <w:tr2bl w:val="nil"/>
                  </w:tcBorders>
                  <w:noWrap w:val="0"/>
                  <w:vAlign w:val="center"/>
                </w:tcPr>
                <w:p w14:paraId="57B273BD">
                  <w:pPr>
                    <w:pStyle w:val="46"/>
                    <w:spacing w:line="24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设置原则</w:t>
                  </w:r>
                </w:p>
              </w:tc>
              <w:tc>
                <w:tcPr>
                  <w:tcW w:w="1431" w:type="pct"/>
                  <w:tcBorders>
                    <w:tl2br w:val="nil"/>
                    <w:tr2bl w:val="nil"/>
                  </w:tcBorders>
                  <w:noWrap w:val="0"/>
                  <w:vAlign w:val="center"/>
                </w:tcPr>
                <w:p w14:paraId="44494D26">
                  <w:pPr>
                    <w:pStyle w:val="46"/>
                    <w:spacing w:line="24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本项目情况</w:t>
                  </w:r>
                </w:p>
              </w:tc>
              <w:tc>
                <w:tcPr>
                  <w:tcW w:w="747" w:type="pct"/>
                  <w:tcBorders>
                    <w:tl2br w:val="nil"/>
                    <w:tr2bl w:val="nil"/>
                  </w:tcBorders>
                  <w:noWrap w:val="0"/>
                  <w:vAlign w:val="center"/>
                </w:tcPr>
                <w:p w14:paraId="774196A7">
                  <w:pPr>
                    <w:pStyle w:val="46"/>
                    <w:spacing w:line="24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是否设置专项评价</w:t>
                  </w:r>
                </w:p>
              </w:tc>
            </w:tr>
            <w:tr w14:paraId="09E9B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2EE35F94">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大气</w:t>
                  </w:r>
                </w:p>
              </w:tc>
              <w:tc>
                <w:tcPr>
                  <w:tcW w:w="2186" w:type="pct"/>
                  <w:tcBorders>
                    <w:tl2br w:val="nil"/>
                    <w:tr2bl w:val="nil"/>
                  </w:tcBorders>
                  <w:noWrap w:val="0"/>
                  <w:vAlign w:val="center"/>
                </w:tcPr>
                <w:p w14:paraId="66CDCEE4">
                  <w:pPr>
                    <w:pStyle w:val="46"/>
                    <w:spacing w:line="24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排放废气含有毒有害污染物</w:t>
                  </w:r>
                  <w:r>
                    <w:rPr>
                      <w:rFonts w:hint="default" w:ascii="Times New Roman" w:hAnsi="Times New Roman" w:cs="Times New Roman"/>
                      <w:b w:val="0"/>
                      <w:bCs w:val="0"/>
                      <w:color w:val="auto"/>
                      <w:sz w:val="21"/>
                      <w:szCs w:val="21"/>
                      <w:vertAlign w:val="superscript"/>
                      <w:lang w:val="en-US" w:eastAsia="zh-CN"/>
                    </w:rPr>
                    <w:t>1</w:t>
                  </w:r>
                  <w:r>
                    <w:rPr>
                      <w:rFonts w:hint="default" w:ascii="Times New Roman" w:hAnsi="Times New Roman" w:cs="Times New Roman"/>
                      <w:b w:val="0"/>
                      <w:bCs w:val="0"/>
                      <w:color w:val="auto"/>
                      <w:sz w:val="21"/>
                      <w:szCs w:val="21"/>
                    </w:rPr>
                    <w:t>、二噁英、苯并[a]芘、氰化物、氯气且厂界外500m范围内有环境空气保护目标</w:t>
                  </w:r>
                  <w:r>
                    <w:rPr>
                      <w:rFonts w:hint="default" w:ascii="Times New Roman" w:hAnsi="Times New Roman" w:cs="Times New Roman"/>
                      <w:b w:val="0"/>
                      <w:bCs w:val="0"/>
                      <w:color w:val="auto"/>
                      <w:sz w:val="21"/>
                      <w:szCs w:val="21"/>
                      <w:vertAlign w:val="superscript"/>
                      <w:lang w:val="en-US" w:eastAsia="zh-CN"/>
                    </w:rPr>
                    <w:t>2</w:t>
                  </w:r>
                  <w:r>
                    <w:rPr>
                      <w:rFonts w:hint="default" w:ascii="Times New Roman" w:hAnsi="Times New Roman" w:cs="Times New Roman"/>
                      <w:b w:val="0"/>
                      <w:bCs w:val="0"/>
                      <w:color w:val="auto"/>
                      <w:sz w:val="21"/>
                      <w:szCs w:val="21"/>
                    </w:rPr>
                    <w:t>的建设项目</w:t>
                  </w:r>
                </w:p>
              </w:tc>
              <w:tc>
                <w:tcPr>
                  <w:tcW w:w="1431" w:type="pct"/>
                  <w:tcBorders>
                    <w:tl2br w:val="nil"/>
                    <w:tr2bl w:val="nil"/>
                  </w:tcBorders>
                  <w:noWrap w:val="0"/>
                  <w:vAlign w:val="center"/>
                </w:tcPr>
                <w:p w14:paraId="46A7F7B9">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项目涉及二噁英排放，且项目厂界500m范围有环境空气保护目标</w:t>
                  </w:r>
                </w:p>
              </w:tc>
              <w:tc>
                <w:tcPr>
                  <w:tcW w:w="747" w:type="pct"/>
                  <w:tcBorders>
                    <w:tl2br w:val="nil"/>
                    <w:tr2bl w:val="nil"/>
                  </w:tcBorders>
                  <w:noWrap w:val="0"/>
                  <w:vAlign w:val="center"/>
                </w:tcPr>
                <w:p w14:paraId="4003CFD1">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是</w:t>
                  </w:r>
                </w:p>
              </w:tc>
            </w:tr>
            <w:tr w14:paraId="3B1F4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1BDC88C1">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地表水</w:t>
                  </w:r>
                </w:p>
              </w:tc>
              <w:tc>
                <w:tcPr>
                  <w:tcW w:w="2186" w:type="pct"/>
                  <w:tcBorders>
                    <w:tl2br w:val="nil"/>
                    <w:tr2bl w:val="nil"/>
                  </w:tcBorders>
                  <w:noWrap w:val="0"/>
                  <w:vAlign w:val="center"/>
                </w:tcPr>
                <w:p w14:paraId="49B4AFD8">
                  <w:pPr>
                    <w:pStyle w:val="46"/>
                    <w:spacing w:line="24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新增工业废水直排建设项目（槽罐车外送污水处理厂的除外）；新增废水直排的污水集中处理厂</w:t>
                  </w:r>
                </w:p>
              </w:tc>
              <w:tc>
                <w:tcPr>
                  <w:tcW w:w="1431" w:type="pct"/>
                  <w:tcBorders>
                    <w:tl2br w:val="nil"/>
                    <w:tr2bl w:val="nil"/>
                  </w:tcBorders>
                  <w:noWrap w:val="0"/>
                  <w:vAlign w:val="center"/>
                </w:tcPr>
                <w:p w14:paraId="707366C5">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项目无</w:t>
                  </w:r>
                  <w:r>
                    <w:rPr>
                      <w:rFonts w:hint="eastAsia" w:cs="Times New Roman"/>
                      <w:b w:val="0"/>
                      <w:bCs w:val="0"/>
                      <w:color w:val="auto"/>
                      <w:sz w:val="21"/>
                      <w:szCs w:val="21"/>
                      <w:lang w:val="en-US" w:eastAsia="zh-CN"/>
                    </w:rPr>
                    <w:t>新增</w:t>
                  </w:r>
                  <w:r>
                    <w:rPr>
                      <w:rFonts w:hint="default" w:ascii="Times New Roman" w:hAnsi="Times New Roman" w:cs="Times New Roman"/>
                      <w:b w:val="0"/>
                      <w:bCs w:val="0"/>
                      <w:color w:val="auto"/>
                      <w:sz w:val="21"/>
                      <w:szCs w:val="21"/>
                      <w:lang w:val="en-US" w:eastAsia="zh-CN"/>
                    </w:rPr>
                    <w:t>废水产生</w:t>
                  </w:r>
                </w:p>
              </w:tc>
              <w:tc>
                <w:tcPr>
                  <w:tcW w:w="747" w:type="pct"/>
                  <w:tcBorders>
                    <w:tl2br w:val="nil"/>
                    <w:tr2bl w:val="nil"/>
                  </w:tcBorders>
                  <w:noWrap w:val="0"/>
                  <w:vAlign w:val="center"/>
                </w:tcPr>
                <w:p w14:paraId="645EB336">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否</w:t>
                  </w:r>
                </w:p>
              </w:tc>
            </w:tr>
            <w:tr w14:paraId="7F4F1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54518892">
                  <w:pPr>
                    <w:pStyle w:val="46"/>
                    <w:spacing w:line="240" w:lineRule="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环境风险</w:t>
                  </w:r>
                </w:p>
              </w:tc>
              <w:tc>
                <w:tcPr>
                  <w:tcW w:w="2186" w:type="pct"/>
                  <w:tcBorders>
                    <w:tl2br w:val="nil"/>
                    <w:tr2bl w:val="nil"/>
                  </w:tcBorders>
                  <w:noWrap w:val="0"/>
                  <w:vAlign w:val="center"/>
                </w:tcPr>
                <w:p w14:paraId="623BF259">
                  <w:pPr>
                    <w:pStyle w:val="46"/>
                    <w:spacing w:line="24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有毒有害和易燃易爆危险物质存储量超过临界量</w:t>
                  </w:r>
                  <w:r>
                    <w:rPr>
                      <w:rFonts w:hint="default" w:ascii="Times New Roman" w:hAnsi="Times New Roman" w:cs="Times New Roman"/>
                      <w:b w:val="0"/>
                      <w:bCs w:val="0"/>
                      <w:color w:val="auto"/>
                      <w:sz w:val="21"/>
                      <w:szCs w:val="21"/>
                      <w:vertAlign w:val="superscript"/>
                    </w:rPr>
                    <w:t>3</w:t>
                  </w:r>
                  <w:r>
                    <w:rPr>
                      <w:rFonts w:hint="default" w:ascii="Times New Roman" w:hAnsi="Times New Roman" w:cs="Times New Roman"/>
                      <w:b w:val="0"/>
                      <w:bCs w:val="0"/>
                      <w:color w:val="auto"/>
                      <w:sz w:val="21"/>
                      <w:szCs w:val="21"/>
                    </w:rPr>
                    <w:t>的建设项目</w:t>
                  </w:r>
                </w:p>
              </w:tc>
              <w:tc>
                <w:tcPr>
                  <w:tcW w:w="1431" w:type="pct"/>
                  <w:tcBorders>
                    <w:tl2br w:val="nil"/>
                    <w:tr2bl w:val="nil"/>
                  </w:tcBorders>
                  <w:noWrap w:val="0"/>
                  <w:vAlign w:val="center"/>
                </w:tcPr>
                <w:p w14:paraId="6F6E9662">
                  <w:pPr>
                    <w:pStyle w:val="46"/>
                    <w:spacing w:line="240" w:lineRule="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w:t>
                  </w:r>
                  <w:r>
                    <w:rPr>
                      <w:rFonts w:hint="eastAsia" w:cs="Times New Roman"/>
                      <w:b w:val="0"/>
                      <w:bCs w:val="0"/>
                      <w:color w:val="auto"/>
                      <w:sz w:val="21"/>
                      <w:szCs w:val="21"/>
                      <w:lang w:val="en-US" w:eastAsia="zh-CN"/>
                    </w:rPr>
                    <w:t>涉及有毒有害和易燃易爆危险物质未超过临界量</w:t>
                  </w:r>
                </w:p>
              </w:tc>
              <w:tc>
                <w:tcPr>
                  <w:tcW w:w="747" w:type="pct"/>
                  <w:tcBorders>
                    <w:tl2br w:val="nil"/>
                    <w:tr2bl w:val="nil"/>
                  </w:tcBorders>
                  <w:noWrap w:val="0"/>
                  <w:vAlign w:val="center"/>
                </w:tcPr>
                <w:p w14:paraId="167805EC">
                  <w:pPr>
                    <w:pStyle w:val="46"/>
                    <w:spacing w:line="240" w:lineRule="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否</w:t>
                  </w:r>
                </w:p>
              </w:tc>
            </w:tr>
            <w:tr w14:paraId="6F43D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34" w:type="pct"/>
                  <w:tcBorders>
                    <w:tl2br w:val="nil"/>
                    <w:tr2bl w:val="nil"/>
                  </w:tcBorders>
                  <w:noWrap w:val="0"/>
                  <w:vAlign w:val="center"/>
                </w:tcPr>
                <w:p w14:paraId="193873A2">
                  <w:pPr>
                    <w:pStyle w:val="46"/>
                    <w:spacing w:line="240" w:lineRule="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生态</w:t>
                  </w:r>
                </w:p>
              </w:tc>
              <w:tc>
                <w:tcPr>
                  <w:tcW w:w="2186" w:type="pct"/>
                  <w:tcBorders>
                    <w:tl2br w:val="nil"/>
                    <w:tr2bl w:val="nil"/>
                  </w:tcBorders>
                  <w:noWrap w:val="0"/>
                  <w:vAlign w:val="center"/>
                </w:tcPr>
                <w:p w14:paraId="1E067A93">
                  <w:pPr>
                    <w:pStyle w:val="46"/>
                    <w:spacing w:line="240" w:lineRule="auto"/>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取水口下游500米范围内有重要水生生物的自然产卵场、索饵场、越冬场和洄游通道的新增河道取水的污染类建设项目</w:t>
                  </w:r>
                </w:p>
              </w:tc>
              <w:tc>
                <w:tcPr>
                  <w:tcW w:w="1431" w:type="pct"/>
                  <w:tcBorders>
                    <w:tl2br w:val="nil"/>
                    <w:tr2bl w:val="nil"/>
                  </w:tcBorders>
                  <w:noWrap w:val="0"/>
                  <w:vAlign w:val="center"/>
                </w:tcPr>
                <w:p w14:paraId="26F76531">
                  <w:pPr>
                    <w:pStyle w:val="46"/>
                    <w:spacing w:line="240" w:lineRule="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sz w:val="21"/>
                      <w:szCs w:val="21"/>
                      <w:lang w:val="en-US" w:eastAsia="zh-CN"/>
                    </w:rPr>
                    <w:t>本项目不涉及</w:t>
                  </w:r>
                </w:p>
              </w:tc>
              <w:tc>
                <w:tcPr>
                  <w:tcW w:w="747" w:type="pct"/>
                  <w:tcBorders>
                    <w:tl2br w:val="nil"/>
                    <w:tr2bl w:val="nil"/>
                  </w:tcBorders>
                  <w:noWrap w:val="0"/>
                  <w:vAlign w:val="center"/>
                </w:tcPr>
                <w:p w14:paraId="79842B59">
                  <w:pPr>
                    <w:pStyle w:val="46"/>
                    <w:spacing w:line="240" w:lineRule="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sz w:val="21"/>
                      <w:szCs w:val="21"/>
                      <w:lang w:val="en-US" w:eastAsia="zh-CN"/>
                    </w:rPr>
                    <w:t>否</w:t>
                  </w:r>
                </w:p>
              </w:tc>
            </w:tr>
            <w:tr w14:paraId="28F47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4"/>
                  <w:tcBorders>
                    <w:tl2br w:val="nil"/>
                    <w:tr2bl w:val="nil"/>
                  </w:tcBorders>
                  <w:noWrap w:val="0"/>
                  <w:vAlign w:val="center"/>
                </w:tcPr>
                <w:p w14:paraId="36ACF8DD">
                  <w:pPr>
                    <w:pStyle w:val="46"/>
                    <w:spacing w:line="240" w:lineRule="auto"/>
                    <w:jc w:val="left"/>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注：1、废气中有毒有害污染物指纳入《有毒有害大气污染物名录》的污染物（不包括无排放标准的污染物）。</w:t>
                  </w:r>
                </w:p>
                <w:p w14:paraId="0B89D2FE">
                  <w:pPr>
                    <w:pStyle w:val="46"/>
                    <w:spacing w:line="240" w:lineRule="auto"/>
                    <w:jc w:val="left"/>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2、环境空气保护目标指自然保护区、风景名胜区、居住区、文化区和农村地区中人群较集中的区域。</w:t>
                  </w:r>
                </w:p>
                <w:p w14:paraId="77A0E3F0">
                  <w:pPr>
                    <w:pStyle w:val="46"/>
                    <w:spacing w:line="240" w:lineRule="auto"/>
                    <w:jc w:val="left"/>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3、临界量及其计算方法可参考《建设项目环境风险评价技术导则》（HJ169）附录B、附录C</w:t>
                  </w:r>
                </w:p>
              </w:tc>
            </w:tr>
          </w:tbl>
          <w:p w14:paraId="4517ED8D">
            <w:pPr>
              <w:autoSpaceDE w:val="0"/>
              <w:autoSpaceDN w:val="0"/>
              <w:adjustRightInd w:val="0"/>
              <w:snapToGrid w:val="0"/>
              <w:ind w:firstLine="480" w:firstLineChars="200"/>
              <w:jc w:val="left"/>
              <w:rPr>
                <w:rFonts w:hint="default" w:ascii="Times New Roman" w:hAnsi="Times New Roman" w:cs="Times New Roman"/>
                <w:color w:val="auto"/>
                <w:kern w:val="0"/>
                <w:szCs w:val="24"/>
              </w:rPr>
            </w:pPr>
            <w:r>
              <w:rPr>
                <w:rFonts w:hint="default" w:ascii="Times New Roman" w:hAnsi="Times New Roman" w:cs="Times New Roman"/>
                <w:color w:val="auto"/>
                <w:kern w:val="0"/>
                <w:szCs w:val="24"/>
                <w:lang w:val="en-US" w:eastAsia="zh-CN"/>
              </w:rPr>
              <w:t>综上，本项目设置大气专项评价。</w:t>
            </w:r>
          </w:p>
        </w:tc>
      </w:tr>
      <w:tr w14:paraId="1AFA5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77" w:type="dxa"/>
            <w:noWrap w:val="0"/>
            <w:vAlign w:val="center"/>
          </w:tcPr>
          <w:p w14:paraId="53248B33">
            <w:pPr>
              <w:autoSpaceDE w:val="0"/>
              <w:autoSpaceDN w:val="0"/>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szCs w:val="24"/>
              </w:rPr>
              <w:t>规划情况</w:t>
            </w:r>
          </w:p>
        </w:tc>
        <w:tc>
          <w:tcPr>
            <w:tcW w:w="8488" w:type="dxa"/>
            <w:gridSpan w:val="4"/>
            <w:noWrap w:val="0"/>
            <w:vAlign w:val="center"/>
          </w:tcPr>
          <w:p w14:paraId="3C5F2CF2">
            <w:pPr>
              <w:pStyle w:val="25"/>
              <w:keepNext w:val="0"/>
              <w:keepLines w:val="0"/>
              <w:pageBreakBefore w:val="0"/>
              <w:kinsoku/>
              <w:wordWrap/>
              <w:overflowPunct/>
              <w:topLinePunct w:val="0"/>
              <w:bidi w:val="0"/>
              <w:snapToGrid/>
              <w:spacing w:before="0" w:beforeAutospacing="0" w:after="0" w:afterAutospacing="0" w:line="360" w:lineRule="auto"/>
              <w:textAlignment w:val="auto"/>
              <w:rPr>
                <w:rFonts w:ascii="Times New Roman" w:hAnsi="Times New Roman"/>
                <w:color w:val="auto"/>
                <w:szCs w:val="24"/>
              </w:rPr>
            </w:pPr>
            <w:r>
              <w:rPr>
                <w:rFonts w:ascii="Times New Roman" w:hAnsi="Times New Roman"/>
                <w:color w:val="auto"/>
                <w:szCs w:val="24"/>
              </w:rPr>
              <w:t>规划名称：《</w:t>
            </w:r>
            <w:r>
              <w:rPr>
                <w:rFonts w:hint="eastAsia" w:ascii="Times New Roman" w:hAnsi="Times New Roman"/>
                <w:color w:val="auto"/>
                <w:szCs w:val="24"/>
                <w:lang w:val="en-US" w:eastAsia="zh-CN"/>
              </w:rPr>
              <w:t>泗水县苗馆镇国土空间规划（2021-2035年）</w:t>
            </w:r>
            <w:r>
              <w:rPr>
                <w:rFonts w:ascii="Times New Roman" w:hAnsi="Times New Roman"/>
                <w:color w:val="auto"/>
                <w:szCs w:val="24"/>
              </w:rPr>
              <w:t>》</w:t>
            </w:r>
          </w:p>
          <w:p w14:paraId="25255CF3">
            <w:pPr>
              <w:pStyle w:val="25"/>
              <w:keepNext w:val="0"/>
              <w:keepLines w:val="0"/>
              <w:pageBreakBefore w:val="0"/>
              <w:kinsoku/>
              <w:wordWrap/>
              <w:overflowPunct/>
              <w:topLinePunct w:val="0"/>
              <w:bidi w:val="0"/>
              <w:snapToGrid/>
              <w:spacing w:before="0" w:beforeAutospacing="0" w:after="0" w:afterAutospacing="0" w:line="360" w:lineRule="auto"/>
              <w:textAlignment w:val="auto"/>
              <w:rPr>
                <w:rFonts w:ascii="Times New Roman" w:hAnsi="Times New Roman"/>
                <w:color w:val="auto"/>
                <w:szCs w:val="24"/>
              </w:rPr>
            </w:pPr>
            <w:r>
              <w:rPr>
                <w:rStyle w:val="37"/>
                <w:rFonts w:ascii="Times New Roman" w:hAnsi="Times New Roman"/>
                <w:b w:val="0"/>
                <w:bCs w:val="0"/>
                <w:color w:val="auto"/>
                <w:szCs w:val="24"/>
              </w:rPr>
              <w:t>规划审批机关：</w:t>
            </w:r>
            <w:r>
              <w:rPr>
                <w:rStyle w:val="37"/>
                <w:rFonts w:hint="eastAsia" w:ascii="Times New Roman" w:hAnsi="Times New Roman"/>
                <w:b w:val="0"/>
                <w:bCs w:val="0"/>
                <w:color w:val="auto"/>
                <w:szCs w:val="24"/>
              </w:rPr>
              <w:t>泗水县人民政府</w:t>
            </w:r>
          </w:p>
          <w:p w14:paraId="62C4AD58">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color w:val="auto"/>
                <w:kern w:val="0"/>
                <w:szCs w:val="24"/>
                <w:lang w:eastAsia="zh-CN"/>
              </w:rPr>
            </w:pPr>
            <w:r>
              <w:rPr>
                <w:rStyle w:val="37"/>
                <w:rFonts w:ascii="Times New Roman" w:hAnsi="Times New Roman"/>
                <w:b w:val="0"/>
                <w:bCs w:val="0"/>
                <w:color w:val="auto"/>
                <w:szCs w:val="24"/>
              </w:rPr>
              <w:t>批复文件名称</w:t>
            </w:r>
            <w:r>
              <w:rPr>
                <w:rStyle w:val="37"/>
                <w:rFonts w:hint="eastAsia" w:ascii="Times New Roman" w:hAnsi="Times New Roman"/>
                <w:b w:val="0"/>
                <w:bCs w:val="0"/>
                <w:color w:val="auto"/>
                <w:szCs w:val="24"/>
                <w:lang w:val="en-US" w:eastAsia="zh-CN"/>
              </w:rPr>
              <w:t>及文号</w:t>
            </w:r>
            <w:r>
              <w:rPr>
                <w:rStyle w:val="37"/>
                <w:rFonts w:ascii="Times New Roman" w:hAnsi="Times New Roman"/>
                <w:b w:val="0"/>
                <w:bCs w:val="0"/>
                <w:color w:val="auto"/>
                <w:szCs w:val="24"/>
              </w:rPr>
              <w:t>：《</w:t>
            </w:r>
            <w:r>
              <w:rPr>
                <w:rStyle w:val="37"/>
                <w:rFonts w:hint="eastAsia" w:ascii="Times New Roman" w:hAnsi="Times New Roman"/>
                <w:b w:val="0"/>
                <w:bCs w:val="0"/>
                <w:color w:val="auto"/>
                <w:szCs w:val="24"/>
              </w:rPr>
              <w:t>泗水县人民政府</w:t>
            </w:r>
            <w:r>
              <w:rPr>
                <w:rStyle w:val="37"/>
                <w:rFonts w:hint="eastAsia" w:ascii="Times New Roman" w:hAnsi="Times New Roman"/>
                <w:b w:val="0"/>
                <w:bCs w:val="0"/>
                <w:color w:val="auto"/>
                <w:szCs w:val="24"/>
                <w:lang w:eastAsia="zh-CN"/>
              </w:rPr>
              <w:t>关于</w:t>
            </w:r>
            <w:r>
              <w:rPr>
                <w:rStyle w:val="37"/>
                <w:rFonts w:hint="eastAsia" w:ascii="Times New Roman" w:hAnsi="Times New Roman"/>
                <w:b w:val="0"/>
                <w:bCs w:val="0"/>
                <w:color w:val="auto"/>
                <w:szCs w:val="24"/>
                <w:lang w:val="en-US" w:eastAsia="zh-CN"/>
              </w:rPr>
              <w:t>苗馆镇</w:t>
            </w:r>
            <w:r>
              <w:rPr>
                <w:rStyle w:val="37"/>
                <w:rFonts w:hint="eastAsia" w:ascii="Times New Roman" w:hAnsi="Times New Roman"/>
                <w:b w:val="0"/>
                <w:bCs w:val="0"/>
                <w:color w:val="auto"/>
                <w:szCs w:val="24"/>
                <w:lang w:eastAsia="zh-CN"/>
              </w:rPr>
              <w:t>国土空间总体规划</w:t>
            </w:r>
            <w:r>
              <w:rPr>
                <w:rStyle w:val="37"/>
                <w:rFonts w:ascii="Times New Roman" w:hAnsi="Times New Roman"/>
                <w:b w:val="0"/>
                <w:bCs w:val="0"/>
                <w:color w:val="auto"/>
                <w:szCs w:val="24"/>
              </w:rPr>
              <w:t>（2021-2035年）的批复》</w:t>
            </w:r>
            <w:r>
              <w:rPr>
                <w:rStyle w:val="37"/>
                <w:rFonts w:hint="eastAsia" w:ascii="Times New Roman" w:hAnsi="Times New Roman"/>
                <w:b w:val="0"/>
                <w:bCs w:val="0"/>
                <w:color w:val="auto"/>
                <w:szCs w:val="24"/>
                <w:lang w:eastAsia="zh-CN"/>
              </w:rPr>
              <w:t>（泗政字〔2024〕156号）</w:t>
            </w:r>
          </w:p>
        </w:tc>
      </w:tr>
      <w:tr w14:paraId="1AEEF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7" w:type="dxa"/>
            <w:noWrap w:val="0"/>
            <w:vAlign w:val="center"/>
          </w:tcPr>
          <w:p w14:paraId="46053A99">
            <w:pPr>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szCs w:val="24"/>
              </w:rPr>
              <w:t>规划环境影响评价情况</w:t>
            </w:r>
          </w:p>
        </w:tc>
        <w:tc>
          <w:tcPr>
            <w:tcW w:w="8488" w:type="dxa"/>
            <w:gridSpan w:val="4"/>
            <w:noWrap w:val="0"/>
            <w:vAlign w:val="center"/>
          </w:tcPr>
          <w:p w14:paraId="2F613968">
            <w:pPr>
              <w:bidi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无</w:t>
            </w:r>
          </w:p>
        </w:tc>
      </w:tr>
      <w:tr w14:paraId="7A238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14:paraId="0C6799AC">
            <w:pPr>
              <w:autoSpaceDE w:val="0"/>
              <w:autoSpaceDN w:val="0"/>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规划及规划环境影响评价符合性分析</w:t>
            </w:r>
          </w:p>
        </w:tc>
        <w:tc>
          <w:tcPr>
            <w:tcW w:w="8488" w:type="dxa"/>
            <w:gridSpan w:val="4"/>
            <w:noWrap w:val="0"/>
            <w:vAlign w:val="center"/>
          </w:tcPr>
          <w:p w14:paraId="31442210">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Cs w:val="24"/>
                <w:lang w:val="en-US" w:eastAsia="zh-CN"/>
              </w:rPr>
            </w:pPr>
            <w:r>
              <w:rPr>
                <w:rFonts w:hint="eastAsia" w:hAnsi="宋体"/>
                <w:color w:val="auto"/>
                <w:kern w:val="0"/>
                <w:sz w:val="24"/>
                <w:lang w:val="en-US" w:eastAsia="zh-CN"/>
              </w:rPr>
              <w:t>项目位于山东省济宁市泗水县苗馆镇济宁海螺水泥有限责任公司院内</w:t>
            </w:r>
            <w:r>
              <w:rPr>
                <w:rFonts w:hint="eastAsia"/>
                <w:color w:val="auto"/>
                <w:sz w:val="24"/>
                <w:szCs w:val="24"/>
                <w:lang w:val="en-US" w:eastAsia="zh-CN"/>
              </w:rPr>
              <w:t>，根据《泗水县苗馆镇国土空间规划（2021-2035年）》国土空间控制线规划图（附图5）、城镇开发边界范围国土空间规划分区图（附图6），项目所在地位于城镇开发边界范围内</w:t>
            </w:r>
            <w:r>
              <w:rPr>
                <w:rFonts w:hint="eastAsia"/>
                <w:color w:val="auto"/>
                <w:kern w:val="0"/>
                <w:sz w:val="24"/>
                <w:lang w:eastAsia="zh-CN"/>
              </w:rPr>
              <w:t>，</w:t>
            </w:r>
            <w:r>
              <w:rPr>
                <w:rFonts w:hint="eastAsia"/>
                <w:color w:val="auto"/>
                <w:sz w:val="24"/>
                <w:szCs w:val="24"/>
                <w:lang w:val="en-US" w:eastAsia="zh-CN"/>
              </w:rPr>
              <w:t>不涉及永久基本农田和生态保护红线，用地为工业用地，根据建设方提供的国有土地使用证，现状用地性质为工业用地，项目符合《</w:t>
            </w:r>
            <w:r>
              <w:rPr>
                <w:rFonts w:hint="eastAsia" w:ascii="Times New Roman" w:hAnsi="Times New Roman"/>
                <w:color w:val="auto"/>
                <w:szCs w:val="24"/>
                <w:lang w:val="en-US" w:eastAsia="zh-CN"/>
              </w:rPr>
              <w:t>泗水县苗馆镇国土空间规划（2021-2035年）</w:t>
            </w:r>
            <w:r>
              <w:rPr>
                <w:rFonts w:hint="eastAsia"/>
                <w:color w:val="auto"/>
                <w:sz w:val="24"/>
                <w:szCs w:val="24"/>
                <w:lang w:val="en-US" w:eastAsia="zh-CN"/>
              </w:rPr>
              <w:t>》。</w:t>
            </w:r>
          </w:p>
        </w:tc>
      </w:tr>
      <w:tr w14:paraId="34136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77" w:type="dxa"/>
            <w:noWrap w:val="0"/>
            <w:vAlign w:val="center"/>
          </w:tcPr>
          <w:p w14:paraId="19DFAAA4">
            <w:pPr>
              <w:autoSpaceDE w:val="0"/>
              <w:autoSpaceDN w:val="0"/>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其他符合性分析</w:t>
            </w:r>
          </w:p>
        </w:tc>
        <w:tc>
          <w:tcPr>
            <w:tcW w:w="8488" w:type="dxa"/>
            <w:gridSpan w:val="4"/>
            <w:noWrap w:val="0"/>
            <w:vAlign w:val="center"/>
          </w:tcPr>
          <w:p w14:paraId="1B1072C7">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1、产业政策符合性分析</w:t>
            </w:r>
          </w:p>
          <w:p w14:paraId="5C1AF9B1">
            <w:pPr>
              <w:bidi w:val="0"/>
              <w:ind w:firstLine="480" w:firstLineChars="200"/>
              <w:rPr>
                <w:rFonts w:hint="default" w:ascii="Times New Roman" w:hAnsi="Times New Roman" w:cs="Times New Roman"/>
                <w:color w:val="auto"/>
                <w:kern w:val="0"/>
              </w:rPr>
            </w:pPr>
            <w:r>
              <w:rPr>
                <w:rFonts w:hint="default" w:ascii="Times New Roman" w:hAnsi="Times New Roman" w:cs="Times New Roman"/>
                <w:color w:val="auto"/>
              </w:rPr>
              <w:t>根据《产业结构调整指导目录（20</w:t>
            </w:r>
            <w:r>
              <w:rPr>
                <w:rFonts w:hint="default" w:ascii="Times New Roman" w:hAnsi="Times New Roman" w:cs="Times New Roman"/>
                <w:color w:val="auto"/>
                <w:lang w:val="en-US" w:eastAsia="zh-CN"/>
              </w:rPr>
              <w:t>24</w:t>
            </w:r>
            <w:r>
              <w:rPr>
                <w:rFonts w:hint="default" w:ascii="Times New Roman" w:hAnsi="Times New Roman" w:cs="Times New Roman"/>
                <w:color w:val="auto"/>
              </w:rPr>
              <w:t>年本）》（国家发展和改革委员会令第29号）中的规定，</w:t>
            </w:r>
            <w:r>
              <w:rPr>
                <w:rFonts w:hint="eastAsia" w:cs="Times New Roman"/>
                <w:color w:val="auto"/>
                <w:lang w:val="en-US" w:eastAsia="zh-CN"/>
              </w:rPr>
              <w:t>项目</w:t>
            </w:r>
            <w:r>
              <w:rPr>
                <w:rFonts w:hint="default" w:ascii="Times New Roman" w:hAnsi="Times New Roman" w:cs="Times New Roman"/>
                <w:color w:val="auto"/>
              </w:rPr>
              <w:t>属于</w:t>
            </w:r>
            <w:r>
              <w:rPr>
                <w:spacing w:val="-3"/>
              </w:rPr>
              <w:t>“第一类</w:t>
            </w:r>
            <w:r>
              <w:rPr>
                <w:spacing w:val="-26"/>
              </w:rPr>
              <w:t xml:space="preserve"> </w:t>
            </w:r>
            <w:r>
              <w:rPr>
                <w:spacing w:val="-3"/>
              </w:rPr>
              <w:t>鼓励类</w:t>
            </w:r>
            <w:r>
              <w:rPr>
                <w:spacing w:val="-28"/>
              </w:rPr>
              <w:t xml:space="preserve"> </w:t>
            </w:r>
            <w:r>
              <w:rPr>
                <w:spacing w:val="-3"/>
              </w:rPr>
              <w:t xml:space="preserve">十二、建材 </w:t>
            </w:r>
            <w:r>
              <w:rPr>
                <w:rFonts w:ascii="Times New Roman" w:hAnsi="Times New Roman" w:eastAsia="Times New Roman" w:cs="Times New Roman"/>
                <w:spacing w:val="-3"/>
              </w:rPr>
              <w:t>1.</w:t>
            </w:r>
            <w:r>
              <w:rPr>
                <w:rFonts w:ascii="Times New Roman" w:hAnsi="Times New Roman" w:eastAsia="Times New Roman" w:cs="Times New Roman"/>
                <w:spacing w:val="34"/>
                <w:w w:val="101"/>
              </w:rPr>
              <w:t xml:space="preserve"> </w:t>
            </w:r>
            <w:r>
              <w:rPr>
                <w:spacing w:val="-3"/>
              </w:rPr>
              <w:t>水泥原燃材料替代及协同</w:t>
            </w:r>
            <w:r>
              <w:rPr>
                <w:spacing w:val="-2"/>
              </w:rPr>
              <w:t xml:space="preserve">处置技术”，“第一类 鼓励类 四十二、环境保护与资源节约综合利用 </w:t>
            </w:r>
            <w:r>
              <w:rPr>
                <w:rFonts w:ascii="Times New Roman" w:hAnsi="Times New Roman" w:eastAsia="Times New Roman" w:cs="Times New Roman"/>
                <w:spacing w:val="-2"/>
              </w:rPr>
              <w:t>1.</w:t>
            </w:r>
            <w:r>
              <w:rPr>
                <w:spacing w:val="-2"/>
              </w:rPr>
              <w:t>不低于</w:t>
            </w:r>
            <w:r>
              <w:rPr>
                <w:spacing w:val="-54"/>
              </w:rPr>
              <w:t xml:space="preserve"> </w:t>
            </w:r>
            <w:r>
              <w:rPr>
                <w:rFonts w:ascii="Times New Roman" w:hAnsi="Times New Roman" w:eastAsia="Times New Roman" w:cs="Times New Roman"/>
                <w:spacing w:val="-2"/>
              </w:rPr>
              <w:t xml:space="preserve">20 </w:t>
            </w:r>
            <w:r>
              <w:rPr>
                <w:spacing w:val="-2"/>
              </w:rPr>
              <w:t>万块</w:t>
            </w:r>
            <w:r>
              <w:rPr>
                <w:rFonts w:ascii="Times New Roman" w:hAnsi="Times New Roman" w:eastAsia="Times New Roman" w:cs="Times New Roman"/>
                <w:spacing w:val="-2"/>
              </w:rPr>
              <w:t>/</w:t>
            </w:r>
            <w:r>
              <w:rPr>
                <w:spacing w:val="-2"/>
              </w:rPr>
              <w:t>日（含）新型烧结砖瓦生产线或新型干法水</w:t>
            </w:r>
            <w:r>
              <w:rPr>
                <w:spacing w:val="-3"/>
              </w:rPr>
              <w:t>泥窑无害化协同处置废弃物</w:t>
            </w:r>
            <w:r>
              <w:rPr>
                <w:spacing w:val="-27"/>
              </w:rPr>
              <w:t xml:space="preserve"> </w:t>
            </w:r>
            <w:r>
              <w:rPr>
                <w:spacing w:val="-3"/>
              </w:rPr>
              <w:t>”</w:t>
            </w:r>
            <w:r>
              <w:rPr>
                <w:rFonts w:hint="default" w:ascii="Times New Roman" w:hAnsi="Times New Roman" w:cs="Times New Roman"/>
                <w:color w:val="auto"/>
                <w:kern w:val="0"/>
              </w:rPr>
              <w:t>。本项目已取得山东省建设项目备案证明，项目代码为</w:t>
            </w:r>
            <w:r>
              <w:rPr>
                <w:rFonts w:hint="eastAsia" w:cs="Times New Roman"/>
                <w:color w:val="auto"/>
                <w:szCs w:val="24"/>
                <w:lang w:eastAsia="zh-CN"/>
              </w:rPr>
              <w:t>2501-370831-07-02-615902</w:t>
            </w:r>
            <w:r>
              <w:rPr>
                <w:rFonts w:hint="default" w:ascii="Times New Roman" w:hAnsi="Times New Roman" w:cs="Times New Roman"/>
                <w:color w:val="auto"/>
                <w:kern w:val="0"/>
              </w:rPr>
              <w:t>，因此本项目符合产业政策要求。</w:t>
            </w:r>
          </w:p>
          <w:p w14:paraId="0955774A">
            <w:pPr>
              <w:autoSpaceDE w:val="0"/>
              <w:autoSpaceDN w:val="0"/>
              <w:adjustRightInd w:val="0"/>
              <w:snapToGrid w:val="0"/>
              <w:ind w:firstLine="480" w:firstLineChars="200"/>
              <w:rPr>
                <w:rFonts w:hint="default" w:ascii="Times New Roman" w:hAnsi="Times New Roman" w:cs="Times New Roman"/>
                <w:color w:val="auto"/>
                <w:kern w:val="0"/>
              </w:rPr>
            </w:pPr>
            <w:r>
              <w:rPr>
                <w:rFonts w:hint="default" w:ascii="Times New Roman" w:hAnsi="Times New Roman" w:cs="Times New Roman"/>
                <w:color w:val="auto"/>
                <w:kern w:val="0"/>
              </w:rPr>
              <w:t>项目生产过程中未使用国家明令禁止的淘汰类和限制类的工艺和设备，符合国家的产业政策。</w:t>
            </w:r>
          </w:p>
          <w:p w14:paraId="633E4C80">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w:t>
            </w:r>
            <w:r>
              <w:rPr>
                <w:rFonts w:hint="default" w:ascii="Times New Roman" w:hAnsi="Times New Roman" w:eastAsia="宋体" w:cs="Times New Roman"/>
                <w:b/>
                <w:bCs w:val="0"/>
                <w:color w:val="auto"/>
                <w:lang w:val="en-US" w:eastAsia="zh-CN"/>
              </w:rPr>
              <w:t>选址</w:t>
            </w:r>
            <w:r>
              <w:rPr>
                <w:rFonts w:hint="eastAsia" w:ascii="Times New Roman" w:hAnsi="Times New Roman" w:eastAsia="宋体" w:cs="Times New Roman"/>
                <w:b/>
                <w:bCs w:val="0"/>
                <w:color w:val="auto"/>
                <w:lang w:val="en-US" w:eastAsia="zh-CN"/>
              </w:rPr>
              <w:t>合理性</w:t>
            </w:r>
            <w:r>
              <w:rPr>
                <w:rFonts w:hint="default" w:ascii="Times New Roman" w:hAnsi="Times New Roman" w:eastAsia="宋体" w:cs="Times New Roman"/>
                <w:b/>
                <w:bCs w:val="0"/>
                <w:color w:val="auto"/>
              </w:rPr>
              <w:t>分析</w:t>
            </w:r>
          </w:p>
          <w:p w14:paraId="33ECDF43">
            <w:pPr>
              <w:pStyle w:val="135"/>
              <w:pageBreakBefore w:val="0"/>
              <w:widowControl w:val="0"/>
              <w:kinsoku/>
              <w:wordWrap/>
              <w:overflowPunct/>
              <w:topLinePunct w:val="0"/>
              <w:bidi w:val="0"/>
              <w:adjustRightInd w:val="0"/>
              <w:snapToGrid/>
              <w:spacing w:line="360" w:lineRule="auto"/>
              <w:ind w:firstLine="480"/>
              <w:textAlignment w:val="auto"/>
              <w:rPr>
                <w:color w:val="auto"/>
                <w:sz w:val="24"/>
                <w:szCs w:val="24"/>
              </w:rPr>
            </w:pPr>
            <w:r>
              <w:rPr>
                <w:color w:val="auto"/>
                <w:sz w:val="24"/>
                <w:szCs w:val="24"/>
              </w:rPr>
              <w:t>本项目位于</w:t>
            </w:r>
            <w:r>
              <w:rPr>
                <w:rFonts w:hint="eastAsia" w:hAnsi="宋体"/>
                <w:color w:val="auto"/>
                <w:kern w:val="0"/>
                <w:sz w:val="24"/>
                <w:lang w:val="en-US" w:eastAsia="zh-CN"/>
              </w:rPr>
              <w:t>山东省济宁市泗水县苗馆镇济宁海螺水泥有限责任公司院内</w:t>
            </w:r>
            <w:r>
              <w:rPr>
                <w:color w:val="auto"/>
                <w:sz w:val="24"/>
              </w:rPr>
              <w:t>，</w:t>
            </w:r>
            <w:r>
              <w:rPr>
                <w:rFonts w:hint="eastAsia"/>
                <w:color w:val="auto"/>
                <w:sz w:val="24"/>
                <w:lang w:val="en-US" w:eastAsia="zh-CN"/>
              </w:rPr>
              <w:t>不新增用地，</w:t>
            </w:r>
            <w:r>
              <w:rPr>
                <w:rFonts w:hint="eastAsia"/>
                <w:color w:val="auto"/>
                <w:sz w:val="24"/>
              </w:rPr>
              <w:t>根据《泗水县苗馆镇国土空间规划（2021-2035年）》</w:t>
            </w:r>
            <w:r>
              <w:rPr>
                <w:rFonts w:hint="eastAsia"/>
                <w:color w:val="auto"/>
                <w:sz w:val="24"/>
                <w:lang w:val="en-US" w:eastAsia="zh-CN"/>
              </w:rPr>
              <w:t>和项目建设方</w:t>
            </w:r>
            <w:r>
              <w:rPr>
                <w:rFonts w:hint="eastAsia"/>
                <w:color w:val="auto"/>
                <w:sz w:val="24"/>
                <w:szCs w:val="24"/>
                <w:lang w:val="en-US" w:eastAsia="zh-CN"/>
              </w:rPr>
              <w:t>提供的国有土地使用权证</w:t>
            </w:r>
            <w:r>
              <w:rPr>
                <w:rFonts w:hint="eastAsia"/>
                <w:color w:val="auto"/>
                <w:sz w:val="24"/>
              </w:rPr>
              <w:t>，项目所在地</w:t>
            </w:r>
            <w:r>
              <w:rPr>
                <w:rFonts w:hint="eastAsia"/>
                <w:color w:val="auto"/>
                <w:sz w:val="24"/>
                <w:lang w:val="en-US" w:eastAsia="zh-CN"/>
              </w:rPr>
              <w:t>位于城镇开发边界内，</w:t>
            </w:r>
            <w:r>
              <w:rPr>
                <w:rFonts w:hint="eastAsia"/>
                <w:color w:val="auto"/>
                <w:sz w:val="24"/>
              </w:rPr>
              <w:t>不占用基本农田，不涉及生态保护红线，用地性质为工业用地，项目选址符合所在地规划要求。</w:t>
            </w:r>
          </w:p>
          <w:p w14:paraId="3924D430">
            <w:pPr>
              <w:pStyle w:val="135"/>
              <w:pageBreakBefore w:val="0"/>
              <w:widowControl w:val="0"/>
              <w:kinsoku/>
              <w:wordWrap/>
              <w:overflowPunct/>
              <w:topLinePunct w:val="0"/>
              <w:bidi w:val="0"/>
              <w:adjustRightInd w:val="0"/>
              <w:snapToGrid/>
              <w:spacing w:line="360" w:lineRule="auto"/>
              <w:ind w:firstLine="480"/>
              <w:jc w:val="both"/>
              <w:textAlignment w:val="auto"/>
              <w:rPr>
                <w:color w:val="auto"/>
                <w:sz w:val="24"/>
                <w:szCs w:val="24"/>
              </w:rPr>
            </w:pPr>
            <w:r>
              <w:rPr>
                <w:color w:val="auto"/>
                <w:sz w:val="24"/>
                <w:szCs w:val="24"/>
              </w:rPr>
              <w:t>本项目</w:t>
            </w:r>
            <w:r>
              <w:rPr>
                <w:rFonts w:hint="eastAsia"/>
                <w:color w:val="auto"/>
                <w:sz w:val="24"/>
                <w:szCs w:val="24"/>
                <w:lang w:val="en-US" w:eastAsia="zh-CN"/>
              </w:rPr>
              <w:t>不新增用地，</w:t>
            </w:r>
            <w:r>
              <w:rPr>
                <w:color w:val="auto"/>
                <w:sz w:val="24"/>
                <w:szCs w:val="24"/>
              </w:rPr>
              <w:t>不占用基本农田，根据</w:t>
            </w:r>
            <w:r>
              <w:rPr>
                <w:rFonts w:hint="eastAsia"/>
                <w:color w:val="auto"/>
                <w:sz w:val="24"/>
                <w:szCs w:val="24"/>
              </w:rPr>
              <w:t>《自然资源要素支撑产业高质量发展指导目录（2024年本）》</w:t>
            </w:r>
            <w:r>
              <w:rPr>
                <w:color w:val="auto"/>
                <w:sz w:val="24"/>
                <w:szCs w:val="24"/>
              </w:rPr>
              <w:t>中规定，项目不属于该目录中</w:t>
            </w:r>
            <w:r>
              <w:rPr>
                <w:rFonts w:hint="eastAsia"/>
                <w:color w:val="auto"/>
                <w:sz w:val="24"/>
                <w:szCs w:val="24"/>
              </w:rPr>
              <w:t>规定的鼓励、限制和禁止类项目</w:t>
            </w:r>
            <w:r>
              <w:rPr>
                <w:color w:val="auto"/>
                <w:sz w:val="24"/>
                <w:szCs w:val="24"/>
              </w:rPr>
              <w:t>，符合国家用地要求。</w:t>
            </w:r>
          </w:p>
          <w:p w14:paraId="181F8172">
            <w:pPr>
              <w:pStyle w:val="30"/>
              <w:pageBreakBefore w:val="0"/>
              <w:widowControl w:val="0"/>
              <w:kinsoku/>
              <w:wordWrap/>
              <w:overflowPunct/>
              <w:topLinePunct w:val="0"/>
              <w:bidi w:val="0"/>
              <w:snapToGrid/>
              <w:spacing w:after="0" w:line="360" w:lineRule="auto"/>
              <w:ind w:left="0" w:leftChars="0" w:firstLine="480"/>
              <w:textAlignment w:val="auto"/>
              <w:rPr>
                <w:rFonts w:ascii="宋体" w:hAnsi="宋体" w:cs="宋体"/>
                <w:bCs/>
                <w:color w:val="auto"/>
                <w:sz w:val="24"/>
                <w:szCs w:val="24"/>
              </w:rPr>
            </w:pPr>
            <w:r>
              <w:rPr>
                <w:color w:val="auto"/>
                <w:sz w:val="24"/>
                <w:szCs w:val="24"/>
              </w:rPr>
              <w:t>项目</w:t>
            </w:r>
            <w:r>
              <w:rPr>
                <w:rFonts w:hint="eastAsia"/>
                <w:color w:val="auto"/>
                <w:sz w:val="24"/>
                <w:szCs w:val="24"/>
                <w:lang w:val="en-US" w:eastAsia="zh-CN"/>
              </w:rPr>
              <w:t>厂区四周均为农田、林地，距离厂区最近的环境保护目标为东南侧190米的石龙岗村。</w:t>
            </w:r>
            <w:r>
              <w:rPr>
                <w:color w:val="auto"/>
                <w:sz w:val="24"/>
                <w:szCs w:val="24"/>
              </w:rPr>
              <w:t>项目</w:t>
            </w:r>
            <w:r>
              <w:rPr>
                <w:rFonts w:hint="eastAsia"/>
                <w:color w:val="auto"/>
                <w:sz w:val="24"/>
                <w:szCs w:val="24"/>
              </w:rPr>
              <w:t>周边无</w:t>
            </w:r>
            <w:r>
              <w:rPr>
                <w:color w:val="auto"/>
                <w:sz w:val="24"/>
                <w:szCs w:val="24"/>
              </w:rPr>
              <w:t>风景名胜区、自然保护区、文物保护单位、饮用水源地</w:t>
            </w:r>
            <w:r>
              <w:rPr>
                <w:rFonts w:hint="eastAsia"/>
                <w:color w:val="auto"/>
                <w:sz w:val="24"/>
                <w:szCs w:val="24"/>
                <w:lang w:val="en-US" w:eastAsia="zh-CN"/>
              </w:rPr>
              <w:t>保护区</w:t>
            </w:r>
            <w:r>
              <w:rPr>
                <w:color w:val="auto"/>
                <w:sz w:val="24"/>
                <w:szCs w:val="24"/>
              </w:rPr>
              <w:t>等</w:t>
            </w:r>
            <w:r>
              <w:rPr>
                <w:rFonts w:hint="eastAsia"/>
                <w:color w:val="auto"/>
                <w:sz w:val="24"/>
                <w:szCs w:val="24"/>
                <w:lang w:val="en-US" w:eastAsia="zh-CN"/>
              </w:rPr>
              <w:t>特殊</w:t>
            </w:r>
            <w:r>
              <w:rPr>
                <w:color w:val="auto"/>
                <w:sz w:val="24"/>
                <w:szCs w:val="24"/>
              </w:rPr>
              <w:t>环境敏感保护目标</w:t>
            </w:r>
            <w:r>
              <w:rPr>
                <w:rFonts w:hint="eastAsia"/>
                <w:color w:val="auto"/>
                <w:sz w:val="24"/>
                <w:szCs w:val="24"/>
              </w:rPr>
              <w:t>。</w:t>
            </w:r>
            <w:r>
              <w:rPr>
                <w:color w:val="auto"/>
                <w:sz w:val="24"/>
                <w:szCs w:val="24"/>
              </w:rPr>
              <w:t>项目区域具有水、电及交通便利等有利条件。</w:t>
            </w:r>
          </w:p>
          <w:p w14:paraId="07606595">
            <w:pPr>
              <w:pStyle w:val="30"/>
              <w:pageBreakBefore w:val="0"/>
              <w:widowControl w:val="0"/>
              <w:kinsoku/>
              <w:wordWrap/>
              <w:overflowPunct/>
              <w:topLinePunct w:val="0"/>
              <w:bidi w:val="0"/>
              <w:snapToGrid/>
              <w:spacing w:after="0" w:line="360" w:lineRule="auto"/>
              <w:ind w:left="0" w:leftChars="0" w:firstLine="480"/>
              <w:textAlignment w:val="auto"/>
              <w:rPr>
                <w:rFonts w:hint="default" w:ascii="Times New Roman" w:hAnsi="Times New Roman" w:cs="Times New Roman"/>
                <w:color w:val="auto"/>
                <w:sz w:val="24"/>
                <w:szCs w:val="24"/>
                <w:lang w:eastAsia="zh-CN"/>
              </w:rPr>
            </w:pPr>
            <w:r>
              <w:rPr>
                <w:rFonts w:hint="eastAsia" w:ascii="Times New Roman" w:hAnsi="Times New Roman" w:eastAsia="宋体" w:cs="Times New Roman"/>
                <w:color w:val="auto"/>
                <w:sz w:val="24"/>
                <w:szCs w:val="24"/>
              </w:rPr>
              <w:t>综上所述，项目选址基本合理可行。</w:t>
            </w:r>
          </w:p>
          <w:p w14:paraId="1439B855">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lang w:val="en-US" w:eastAsia="zh-CN"/>
              </w:rPr>
              <w:t>3</w:t>
            </w:r>
            <w:r>
              <w:rPr>
                <w:rFonts w:hint="default" w:ascii="Times New Roman" w:hAnsi="Times New Roman" w:eastAsia="宋体" w:cs="Times New Roman"/>
                <w:b/>
                <w:bCs w:val="0"/>
                <w:color w:val="auto"/>
              </w:rPr>
              <w:t>、生态环境分区管控符合性分析</w:t>
            </w:r>
          </w:p>
          <w:p w14:paraId="5A2A69FB">
            <w:pPr>
              <w:pStyle w:val="87"/>
              <w:ind w:firstLine="48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1</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生态保护红线</w:t>
            </w:r>
          </w:p>
          <w:p w14:paraId="6FA6C32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auto"/>
                <w:szCs w:val="24"/>
              </w:rPr>
            </w:pPr>
            <w:r>
              <w:rPr>
                <w:rFonts w:hint="eastAsia" w:ascii="Times New Roman" w:hAnsi="Times New Roman" w:eastAsia="宋体" w:cs="Times New Roman"/>
                <w:color w:val="000000"/>
                <w:kern w:val="0"/>
                <w:sz w:val="24"/>
              </w:rPr>
              <w:t>根据《</w:t>
            </w:r>
            <w:r>
              <w:rPr>
                <w:rFonts w:hint="eastAsia" w:ascii="Times New Roman" w:hAnsi="Times New Roman"/>
                <w:color w:val="auto"/>
                <w:szCs w:val="24"/>
                <w:lang w:val="en-US" w:eastAsia="zh-CN"/>
              </w:rPr>
              <w:t>泗水县苗馆镇国土空间规划（2021-2035年）</w:t>
            </w:r>
            <w:r>
              <w:rPr>
                <w:rFonts w:hint="eastAsia"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lang w:eastAsia="zh-CN"/>
              </w:rPr>
              <w:t>中的县域国土空间控制线规划图（</w:t>
            </w:r>
            <w:r>
              <w:rPr>
                <w:rFonts w:hint="eastAsia" w:ascii="Times New Roman" w:hAnsi="Times New Roman" w:eastAsia="宋体" w:cs="Times New Roman"/>
                <w:color w:val="000000"/>
                <w:kern w:val="0"/>
                <w:sz w:val="24"/>
                <w:lang w:val="en-US" w:eastAsia="zh-CN"/>
              </w:rPr>
              <w:t>附图5</w:t>
            </w:r>
            <w:r>
              <w:rPr>
                <w:rFonts w:hint="eastAsia" w:ascii="Times New Roman" w:hAnsi="Times New Roman" w:eastAsia="宋体" w:cs="Times New Roman"/>
                <w:color w:val="000000"/>
                <w:kern w:val="0"/>
                <w:sz w:val="24"/>
                <w:lang w:eastAsia="zh-CN"/>
              </w:rPr>
              <w:t>）</w:t>
            </w:r>
            <w:r>
              <w:rPr>
                <w:rFonts w:hint="eastAsia" w:ascii="Times New Roman" w:hAnsi="Times New Roman" w:eastAsia="宋体" w:cs="Times New Roman"/>
                <w:color w:val="000000"/>
                <w:kern w:val="0"/>
                <w:sz w:val="24"/>
              </w:rPr>
              <w:t>，</w:t>
            </w:r>
            <w:r>
              <w:rPr>
                <w:rFonts w:hint="eastAsia" w:cs="Times New Roman"/>
                <w:color w:val="000000"/>
                <w:kern w:val="0"/>
                <w:sz w:val="24"/>
                <w:lang w:val="en-US" w:eastAsia="zh-CN"/>
              </w:rPr>
              <w:t>项目所在地</w:t>
            </w:r>
            <w:r>
              <w:rPr>
                <w:rFonts w:hint="eastAsia" w:ascii="Times New Roman" w:hAnsi="Times New Roman" w:eastAsia="宋体" w:cs="Times New Roman"/>
                <w:color w:val="000000"/>
                <w:kern w:val="0"/>
                <w:sz w:val="24"/>
                <w:lang w:val="en-US" w:eastAsia="zh-CN"/>
              </w:rPr>
              <w:t>位于</w:t>
            </w:r>
            <w:r>
              <w:rPr>
                <w:rFonts w:hint="eastAsia" w:cs="Times New Roman"/>
                <w:color w:val="000000"/>
                <w:kern w:val="0"/>
                <w:sz w:val="24"/>
                <w:lang w:val="en-US" w:eastAsia="zh-CN"/>
              </w:rPr>
              <w:t>城镇开发边界内</w:t>
            </w:r>
            <w:r>
              <w:rPr>
                <w:rFonts w:hint="eastAsia" w:ascii="Times New Roman" w:hAnsi="Times New Roman" w:eastAsia="宋体" w:cs="Times New Roman"/>
                <w:color w:val="000000"/>
                <w:kern w:val="0"/>
                <w:sz w:val="24"/>
                <w:lang w:val="en-US" w:eastAsia="zh-CN"/>
              </w:rPr>
              <w:t>，不涉及生态保护红线。</w:t>
            </w:r>
          </w:p>
          <w:p w14:paraId="2C25A167">
            <w:pPr>
              <w:pStyle w:val="87"/>
              <w:spacing w:line="360" w:lineRule="auto"/>
              <w:ind w:firstLine="480"/>
              <w:rPr>
                <w:rFonts w:hint="default" w:ascii="Times New Roman" w:hAnsi="Times New Roman" w:eastAsia="宋体" w:cs="Times New Roman"/>
                <w:color w:val="auto"/>
                <w:kern w:val="0"/>
                <w:sz w:val="24"/>
              </w:rPr>
            </w:pPr>
            <w:r>
              <w:rPr>
                <w:rFonts w:hint="default" w:ascii="Times New Roman" w:hAnsi="Times New Roman" w:cs="Times New Roman"/>
                <w:color w:val="auto"/>
                <w:sz w:val="24"/>
                <w:szCs w:val="24"/>
                <w:lang w:val="en-US" w:eastAsia="zh-CN"/>
              </w:rPr>
              <w:t>根据</w:t>
            </w:r>
            <w:r>
              <w:rPr>
                <w:rFonts w:hint="default" w:ascii="Times New Roman" w:hAnsi="Times New Roman" w:cs="Times New Roman"/>
                <w:b w:val="0"/>
                <w:bCs w:val="0"/>
                <w:color w:val="auto"/>
                <w:sz w:val="24"/>
                <w:szCs w:val="24"/>
                <w:highlight w:val="none"/>
                <w:lang w:val="en-US" w:eastAsia="zh-CN"/>
              </w:rPr>
              <w:t>《济宁市生态环境委员会办公室关于发布2023年生态环境分区管控动态更新成果的通知》（济环委办[2024]5号）中的济宁市生态空间图（附图7），项目所在地不涉及一般生态空间。</w:t>
            </w:r>
          </w:p>
          <w:p w14:paraId="1270C496">
            <w:pPr>
              <w:pStyle w:val="87"/>
              <w:ind w:firstLine="480"/>
              <w:rPr>
                <w:rFonts w:hint="default" w:ascii="Times New Roman" w:hAnsi="Times New Roman" w:cs="Times New Roman"/>
                <w:color w:val="auto"/>
                <w:szCs w:val="24"/>
              </w:rPr>
            </w:pPr>
            <w:r>
              <w:rPr>
                <w:rFonts w:hint="default" w:ascii="Times New Roman" w:hAnsi="Times New Roman" w:cs="Times New Roman"/>
                <w:color w:val="auto"/>
                <w:szCs w:val="24"/>
              </w:rPr>
              <w:t>（</w:t>
            </w:r>
            <w:r>
              <w:rPr>
                <w:rFonts w:hint="default" w:ascii="Times New Roman" w:hAnsi="Times New Roman" w:cs="Times New Roman"/>
                <w:color w:val="auto"/>
                <w:szCs w:val="24"/>
                <w:lang w:val="en-US" w:eastAsia="zh-CN"/>
              </w:rPr>
              <w:t>2</w:t>
            </w:r>
            <w:r>
              <w:rPr>
                <w:rFonts w:hint="default" w:ascii="Times New Roman" w:hAnsi="Times New Roman" w:cs="Times New Roman"/>
                <w:color w:val="auto"/>
                <w:szCs w:val="24"/>
              </w:rPr>
              <w:t>）环境质量底线</w:t>
            </w:r>
          </w:p>
          <w:p w14:paraId="2BDBA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kern w:val="0"/>
                <w:sz w:val="24"/>
              </w:rPr>
            </w:pPr>
            <w:r>
              <w:rPr>
                <w:rFonts w:hint="eastAsia"/>
                <w:color w:val="000000"/>
                <w:kern w:val="0"/>
                <w:sz w:val="24"/>
              </w:rPr>
              <w:t>项目所在区域环境空气质量目标为《环境空气质量标准》（GB3095-2012）二级标准，水环境质量目标为《地表水环境质量标准》（GB3838-2002）Ⅲ类标准，声环境质量目标为《声环境质量标准》（GB3096-2008）</w:t>
            </w:r>
            <w:r>
              <w:rPr>
                <w:rFonts w:hint="eastAsia"/>
                <w:color w:val="000000"/>
                <w:kern w:val="0"/>
                <w:sz w:val="24"/>
                <w:lang w:val="en-US" w:eastAsia="zh-CN"/>
              </w:rPr>
              <w:t>2</w:t>
            </w:r>
            <w:r>
              <w:rPr>
                <w:rFonts w:hint="eastAsia"/>
                <w:color w:val="000000"/>
                <w:kern w:val="0"/>
                <w:sz w:val="24"/>
              </w:rPr>
              <w:t>类标准。</w:t>
            </w:r>
          </w:p>
          <w:p w14:paraId="265FB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①与大气环境质量底线的相符性分析</w:t>
            </w:r>
          </w:p>
          <w:p w14:paraId="5A5D9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本项目所在区域为环境空气功能区二类区，执行二级标准。</w:t>
            </w:r>
            <w:r>
              <w:rPr>
                <w:color w:val="000000"/>
                <w:sz w:val="24"/>
              </w:rPr>
              <w:t>根据</w:t>
            </w:r>
            <w:r>
              <w:rPr>
                <w:rFonts w:hint="eastAsia"/>
                <w:color w:val="000000"/>
                <w:sz w:val="24"/>
                <w:lang w:val="en-US" w:eastAsia="zh-CN"/>
              </w:rPr>
              <w:t>泗水</w:t>
            </w:r>
            <w:r>
              <w:rPr>
                <w:rFonts w:hint="eastAsia"/>
                <w:color w:val="000000"/>
                <w:sz w:val="24"/>
              </w:rPr>
              <w:t>县</w:t>
            </w:r>
            <w:r>
              <w:rPr>
                <w:color w:val="000000"/>
                <w:sz w:val="24"/>
              </w:rPr>
              <w:t>202</w:t>
            </w:r>
            <w:r>
              <w:rPr>
                <w:rFonts w:hint="eastAsia"/>
                <w:color w:val="000000"/>
                <w:sz w:val="24"/>
                <w:lang w:val="en-US" w:eastAsia="zh-CN"/>
              </w:rPr>
              <w:t>4</w:t>
            </w:r>
            <w:r>
              <w:rPr>
                <w:color w:val="000000"/>
                <w:sz w:val="24"/>
              </w:rPr>
              <w:t>年度环境空气质量状况监测结果，</w:t>
            </w:r>
            <w:r>
              <w:rPr>
                <w:bCs/>
                <w:color w:val="000000"/>
                <w:sz w:val="24"/>
                <w:szCs w:val="20"/>
              </w:rPr>
              <w:t>PM</w:t>
            </w:r>
            <w:r>
              <w:rPr>
                <w:bCs/>
                <w:color w:val="000000"/>
                <w:sz w:val="24"/>
                <w:szCs w:val="20"/>
                <w:vertAlign w:val="subscript"/>
              </w:rPr>
              <w:t>2.5</w:t>
            </w:r>
            <w:r>
              <w:rPr>
                <w:color w:val="000000"/>
                <w:sz w:val="24"/>
              </w:rPr>
              <w:t>不能满足《环境空气质量标准》（GB3095-2012）二级标准要求</w:t>
            </w:r>
            <w:r>
              <w:rPr>
                <w:rFonts w:hint="eastAsia"/>
                <w:color w:val="000000"/>
                <w:sz w:val="24"/>
              </w:rPr>
              <w:t>，项目所在区域属于环境空气质量不达标区。</w:t>
            </w:r>
          </w:p>
          <w:p w14:paraId="1D9A6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color w:val="000000"/>
                <w:sz w:val="24"/>
              </w:rPr>
              <w:t>目前</w:t>
            </w:r>
            <w:r>
              <w:rPr>
                <w:rFonts w:hint="eastAsia"/>
                <w:color w:val="000000"/>
                <w:sz w:val="24"/>
                <w:lang w:val="en-US" w:eastAsia="zh-CN"/>
              </w:rPr>
              <w:t>泗水</w:t>
            </w:r>
            <w:r>
              <w:rPr>
                <w:color w:val="000000"/>
                <w:sz w:val="24"/>
              </w:rPr>
              <w:t>县人民政府正积极落实《济宁市深入打好蓝天保卫战行动计划（2021-2025）》、</w:t>
            </w:r>
            <w:r>
              <w:rPr>
                <w:rFonts w:hint="default" w:ascii="Times New Roman" w:hAnsi="Times New Roman" w:eastAsia="宋体" w:cs="Times New Roman"/>
                <w:color w:val="000000"/>
                <w:sz w:val="24"/>
                <w:szCs w:val="24"/>
                <w:lang w:val="en-US" w:eastAsia="zh-CN"/>
              </w:rPr>
              <w:t>《济宁市空气质量持续改善暨第三轮“四减四增”行动实施方案》（济政字〔2024〕47号）等文件要求，通过淘汰低效落后产能</w:t>
            </w:r>
            <w:r>
              <w:rPr>
                <w:rFonts w:hint="eastAsia" w:cs="Times New Roman"/>
                <w:color w:val="000000"/>
                <w:sz w:val="24"/>
                <w:szCs w:val="24"/>
                <w:lang w:val="en-US" w:eastAsia="zh-CN"/>
              </w:rPr>
              <w:t>、压减煤炭消费量、优化货物运输方式、实施VOCs全过程污染防治、强化工业源NOx深度治理、推动移动源污染管控、严格扬尘污染管控、化秸秆禁烧管控、完善环境监管信息化系统、加大政策支持力度、加强大气环境监管一系列措施，</w:t>
            </w:r>
            <w:r>
              <w:rPr>
                <w:rFonts w:hint="default" w:ascii="Times New Roman" w:hAnsi="Times New Roman" w:eastAsia="宋体" w:cs="Times New Roman"/>
                <w:color w:val="000000"/>
                <w:sz w:val="24"/>
                <w:szCs w:val="24"/>
                <w:lang w:val="en-US" w:eastAsia="zh-CN"/>
              </w:rPr>
              <w:t>项目所在区域大气环境质量将会逐步得到改善</w:t>
            </w:r>
            <w:r>
              <w:rPr>
                <w:rFonts w:hint="eastAsia"/>
                <w:color w:val="000000"/>
                <w:sz w:val="24"/>
              </w:rPr>
              <w:t>。</w:t>
            </w:r>
          </w:p>
          <w:p w14:paraId="1977F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本项目大气污染物</w:t>
            </w:r>
            <w:r>
              <w:rPr>
                <w:rFonts w:hint="eastAsia"/>
                <w:color w:val="000000"/>
                <w:sz w:val="24"/>
                <w:lang w:val="en-US" w:eastAsia="zh-CN"/>
              </w:rPr>
              <w:t>能够达标排放</w:t>
            </w:r>
            <w:r>
              <w:rPr>
                <w:rFonts w:hint="eastAsia"/>
                <w:color w:val="000000"/>
                <w:sz w:val="24"/>
              </w:rPr>
              <w:t>，经预测，对周边大气环境影响较小</w:t>
            </w:r>
            <w:r>
              <w:rPr>
                <w:rFonts w:hint="eastAsia"/>
                <w:color w:val="000000"/>
                <w:sz w:val="24"/>
                <w:lang w:eastAsia="zh-CN"/>
              </w:rPr>
              <w:t>，</w:t>
            </w:r>
            <w:r>
              <w:rPr>
                <w:rFonts w:hint="eastAsia"/>
                <w:color w:val="000000"/>
                <w:sz w:val="24"/>
              </w:rPr>
              <w:t>不会对该区域环境空气质量产生不良影响，</w:t>
            </w:r>
            <w:r>
              <w:rPr>
                <w:color w:val="000000"/>
                <w:sz w:val="24"/>
              </w:rPr>
              <w:t>符合环境空气质量底线管控要求</w:t>
            </w:r>
            <w:r>
              <w:rPr>
                <w:rFonts w:hint="eastAsia"/>
                <w:color w:val="000000"/>
                <w:sz w:val="24"/>
              </w:rPr>
              <w:t>。</w:t>
            </w:r>
          </w:p>
          <w:p w14:paraId="1F755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②与水环境质量底线的相符性分析</w:t>
            </w:r>
          </w:p>
          <w:p w14:paraId="3BC6D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项目附近功能地表水体为</w:t>
            </w:r>
            <w:r>
              <w:rPr>
                <w:rFonts w:hint="eastAsia"/>
                <w:color w:val="000000"/>
                <w:sz w:val="24"/>
                <w:lang w:val="en-US" w:eastAsia="zh-CN"/>
              </w:rPr>
              <w:t>泗</w:t>
            </w:r>
            <w:r>
              <w:rPr>
                <w:rFonts w:hint="eastAsia"/>
                <w:color w:val="000000"/>
                <w:sz w:val="24"/>
              </w:rPr>
              <w:t>河，</w:t>
            </w:r>
            <w:r>
              <w:rPr>
                <w:rFonts w:hint="eastAsia"/>
                <w:color w:val="000000"/>
                <w:sz w:val="24"/>
                <w:lang w:val="en-US" w:eastAsia="zh-CN"/>
              </w:rPr>
              <w:t>根据</w:t>
            </w:r>
            <w:r>
              <w:rPr>
                <w:rFonts w:hint="eastAsia" w:ascii="Times New Roman" w:hAnsi="Times New Roman" w:eastAsia="宋体" w:cs="Times New Roman"/>
                <w:color w:val="000000"/>
                <w:sz w:val="24"/>
                <w:szCs w:val="24"/>
                <w:lang w:val="en-US" w:eastAsia="zh-CN"/>
              </w:rPr>
              <w:t>山东省生态环境厅网站202</w:t>
            </w:r>
            <w:r>
              <w:rPr>
                <w:rFonts w:hint="eastAsia" w:cs="Times New Roman"/>
                <w:color w:val="000000"/>
                <w:sz w:val="24"/>
                <w:szCs w:val="24"/>
                <w:lang w:val="en-US" w:eastAsia="zh-CN"/>
              </w:rPr>
              <w:t>5</w:t>
            </w:r>
            <w:r>
              <w:rPr>
                <w:rFonts w:hint="eastAsia" w:ascii="Times New Roman" w:hAnsi="Times New Roman" w:eastAsia="宋体" w:cs="Times New Roman"/>
                <w:color w:val="000000"/>
                <w:sz w:val="24"/>
                <w:szCs w:val="24"/>
                <w:lang w:val="en-US" w:eastAsia="zh-CN"/>
              </w:rPr>
              <w:t>年09月发布的“省控重点河流水质状况”，</w:t>
            </w:r>
            <w:r>
              <w:rPr>
                <w:rFonts w:hint="eastAsia"/>
                <w:sz w:val="24"/>
                <w:szCs w:val="32"/>
                <w:lang w:val="en-US" w:eastAsia="zh-CN"/>
              </w:rPr>
              <w:t>泗河</w:t>
            </w:r>
            <w:r>
              <w:rPr>
                <w:rFonts w:hint="eastAsia"/>
                <w:sz w:val="24"/>
                <w:szCs w:val="32"/>
              </w:rPr>
              <w:t>故县坝断面水质为Ⅲ类，满足《地表水环境质量标准》（GB3838-2002）Ⅲ类标准要求。</w:t>
            </w:r>
          </w:p>
          <w:p w14:paraId="06658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本项目采用“雨污分流”，</w:t>
            </w:r>
            <w:r>
              <w:rPr>
                <w:rFonts w:hint="eastAsia"/>
                <w:color w:val="000000"/>
                <w:sz w:val="24"/>
                <w:lang w:val="en-US" w:eastAsia="zh-CN"/>
              </w:rPr>
              <w:t>生活污水和生产废水经厂区污水处理站处理后后用于厂区绿化和洒水降尘，不外排。</w:t>
            </w:r>
            <w:r>
              <w:rPr>
                <w:rFonts w:hint="eastAsia"/>
                <w:color w:val="000000"/>
                <w:sz w:val="24"/>
              </w:rPr>
              <w:t>不会对周边地表水环境产生影响。</w:t>
            </w:r>
          </w:p>
          <w:p w14:paraId="517AC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③声环境质量底线符合性分析</w:t>
            </w:r>
          </w:p>
          <w:p w14:paraId="45294C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本项目所在区域声环境执行《声环境质量标准》（GB3096-2008）</w:t>
            </w:r>
            <w:r>
              <w:rPr>
                <w:rFonts w:hint="eastAsia"/>
                <w:color w:val="000000"/>
                <w:sz w:val="24"/>
                <w:lang w:val="en-US" w:eastAsia="zh-CN"/>
              </w:rPr>
              <w:t>2</w:t>
            </w:r>
            <w:r>
              <w:rPr>
                <w:rFonts w:hint="eastAsia"/>
                <w:color w:val="000000"/>
                <w:sz w:val="24"/>
              </w:rPr>
              <w:t>类标准，项目通过采取隔声、减震、合理布局等措施后，预测项目厂界噪声能够满足《工业企业厂界环境噪声排放标准》（GB12348-2008）</w:t>
            </w:r>
            <w:r>
              <w:rPr>
                <w:rFonts w:hint="eastAsia"/>
                <w:color w:val="000000"/>
                <w:sz w:val="24"/>
                <w:lang w:val="en-US" w:eastAsia="zh-CN"/>
              </w:rPr>
              <w:t>2</w:t>
            </w:r>
            <w:r>
              <w:rPr>
                <w:rFonts w:hint="eastAsia"/>
                <w:color w:val="000000"/>
                <w:sz w:val="24"/>
              </w:rPr>
              <w:t>类标准要求，对周围的声环境影响较小。</w:t>
            </w:r>
          </w:p>
          <w:p w14:paraId="65F48BAE">
            <w:pPr>
              <w:pStyle w:val="87"/>
              <w:ind w:firstLine="480"/>
              <w:rPr>
                <w:rFonts w:hint="default" w:ascii="Times New Roman" w:hAnsi="Times New Roman" w:cs="Times New Roman"/>
                <w:color w:val="auto"/>
                <w:szCs w:val="24"/>
              </w:rPr>
            </w:pPr>
            <w:r>
              <w:rPr>
                <w:rFonts w:hint="eastAsia"/>
                <w:color w:val="000000"/>
                <w:sz w:val="24"/>
              </w:rPr>
              <w:t>因此，本项目建设不会对区域环境质量造成明显负面影响，符合环境质量底线约束要求。</w:t>
            </w:r>
          </w:p>
          <w:p w14:paraId="529639F8">
            <w:pPr>
              <w:pStyle w:val="87"/>
              <w:spacing w:line="360" w:lineRule="auto"/>
              <w:ind w:firstLine="48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Cs w:val="24"/>
              </w:rPr>
              <w:t>资源利用上线</w:t>
            </w:r>
          </w:p>
          <w:p w14:paraId="45E8E698">
            <w:pPr>
              <w:pStyle w:val="87"/>
              <w:spacing w:line="360" w:lineRule="auto"/>
              <w:ind w:firstLine="480"/>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Cs w:val="24"/>
                <w:lang w:val="en-US" w:eastAsia="zh-CN"/>
              </w:rPr>
              <w:t>本</w:t>
            </w:r>
            <w:r>
              <w:rPr>
                <w:rFonts w:hint="default" w:ascii="Times New Roman" w:hAnsi="Times New Roman" w:cs="Times New Roman"/>
                <w:color w:val="auto"/>
                <w:szCs w:val="24"/>
                <w:lang w:val="en-US" w:eastAsia="zh-CN"/>
              </w:rPr>
              <w:t>项目</w:t>
            </w:r>
            <w:r>
              <w:rPr>
                <w:rFonts w:hint="eastAsia" w:ascii="Times New Roman" w:hAnsi="Times New Roman" w:cs="Times New Roman"/>
                <w:color w:val="auto"/>
                <w:szCs w:val="24"/>
                <w:lang w:val="en-US" w:eastAsia="zh-CN"/>
              </w:rPr>
              <w:t>利用一般固废进行燃料替代，能够消减</w:t>
            </w:r>
            <w:r>
              <w:rPr>
                <w:rFonts w:hint="default" w:ascii="Times New Roman" w:hAnsi="Times New Roman" w:cs="Times New Roman"/>
                <w:color w:val="auto"/>
                <w:sz w:val="24"/>
                <w:szCs w:val="24"/>
                <w:lang w:val="en-US" w:eastAsia="zh-CN"/>
              </w:rPr>
              <w:t>煤炭使用量。</w:t>
            </w:r>
            <w:r>
              <w:rPr>
                <w:rFonts w:hint="default" w:ascii="Times New Roman" w:hAnsi="Times New Roman" w:cs="Times New Roman"/>
                <w:color w:val="auto"/>
                <w:sz w:val="24"/>
                <w:szCs w:val="24"/>
              </w:rPr>
              <w:t>项目周围配套设施较为完善，公共设施方便，项目资源消耗量相对于区域资源利用总量较少，符合资源利用上线要求</w:t>
            </w:r>
            <w:r>
              <w:rPr>
                <w:rFonts w:hint="default" w:ascii="Times New Roman" w:hAnsi="Times New Roman" w:cs="Times New Roman"/>
                <w:color w:val="auto"/>
                <w:sz w:val="24"/>
                <w:szCs w:val="24"/>
                <w:lang w:eastAsia="zh-CN"/>
              </w:rPr>
              <w:t>。</w:t>
            </w:r>
          </w:p>
          <w:p w14:paraId="19F71A1F">
            <w:pPr>
              <w:pStyle w:val="87"/>
              <w:ind w:firstLine="480"/>
              <w:rPr>
                <w:rFonts w:hint="default" w:ascii="Times New Roman" w:hAnsi="Times New Roman" w:cs="Times New Roman"/>
                <w:color w:val="auto"/>
                <w:szCs w:val="24"/>
              </w:rPr>
            </w:pPr>
            <w:r>
              <w:rPr>
                <w:rFonts w:hint="default" w:ascii="Times New Roman" w:hAnsi="Times New Roman" w:cs="Times New Roman"/>
                <w:color w:val="auto"/>
                <w:szCs w:val="24"/>
              </w:rPr>
              <w:t>（4）环境准入清单</w:t>
            </w:r>
          </w:p>
          <w:p w14:paraId="22ADE547">
            <w:pPr>
              <w:pStyle w:val="87"/>
              <w:ind w:firstLine="48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pacing w:val="-6"/>
                <w:kern w:val="0"/>
                <w:sz w:val="24"/>
              </w:rPr>
              <w:t>根据</w:t>
            </w:r>
            <w:r>
              <w:rPr>
                <w:rFonts w:hint="default" w:ascii="Times New Roman" w:hAnsi="Times New Roman" w:cs="Times New Roman"/>
                <w:color w:val="auto"/>
                <w:sz w:val="24"/>
              </w:rPr>
              <w:t>《济宁市生态环境委员会办公室关于发布2023年生态环境分区管控动态更新成果的通知》（济环委办[2</w:t>
            </w:r>
            <w:r>
              <w:rPr>
                <w:rFonts w:hint="default" w:ascii="Times New Roman" w:hAnsi="Times New Roman" w:cs="Times New Roman"/>
                <w:color w:val="000000"/>
                <w:sz w:val="24"/>
              </w:rPr>
              <w:t>024]5号）</w:t>
            </w:r>
            <w:r>
              <w:rPr>
                <w:rFonts w:hint="default" w:ascii="Times New Roman" w:hAnsi="Times New Roman" w:cs="Times New Roman"/>
                <w:color w:val="000000"/>
                <w:sz w:val="24"/>
                <w:lang w:val="en-US" w:eastAsia="zh-CN"/>
              </w:rPr>
              <w:t>及山东省生态环境分区管控信息平台查询结果</w:t>
            </w:r>
            <w:r>
              <w:rPr>
                <w:rFonts w:hint="default" w:ascii="Times New Roman" w:hAnsi="Times New Roman" w:cs="Times New Roman"/>
                <w:color w:val="000000"/>
                <w:sz w:val="24"/>
              </w:rPr>
              <w:t>（附图</w:t>
            </w:r>
            <w:r>
              <w:rPr>
                <w:rFonts w:hint="eastAsia" w:ascii="Times New Roman" w:hAnsi="Times New Roman" w:cs="Times New Roman"/>
                <w:color w:val="000000"/>
                <w:sz w:val="24"/>
                <w:lang w:val="en-US" w:eastAsia="zh-CN"/>
              </w:rPr>
              <w:t>8</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项目位于</w:t>
            </w:r>
            <w:r>
              <w:rPr>
                <w:rFonts w:hint="eastAsia" w:ascii="Times New Roman" w:hAnsi="Times New Roman" w:cs="Times New Roman"/>
                <w:color w:val="000000"/>
                <w:sz w:val="24"/>
                <w:lang w:val="en-US" w:eastAsia="zh-CN"/>
              </w:rPr>
              <w:t>优先保护</w:t>
            </w:r>
            <w:r>
              <w:rPr>
                <w:rFonts w:hint="default" w:ascii="Times New Roman" w:hAnsi="Times New Roman" w:cs="Times New Roman"/>
                <w:color w:val="000000"/>
                <w:sz w:val="24"/>
                <w:lang w:val="en-US" w:eastAsia="zh-CN"/>
              </w:rPr>
              <w:t>单元—</w:t>
            </w:r>
            <w:r>
              <w:rPr>
                <w:rFonts w:hint="eastAsia" w:ascii="Times New Roman" w:hAnsi="Times New Roman" w:cs="Times New Roman"/>
                <w:color w:val="000000"/>
                <w:sz w:val="24"/>
                <w:lang w:val="en-US" w:eastAsia="zh-CN"/>
              </w:rPr>
              <w:t>苗馆镇</w:t>
            </w:r>
            <w:r>
              <w:rPr>
                <w:rFonts w:hint="default" w:ascii="Times New Roman" w:hAnsi="Times New Roman" w:cs="Times New Roman"/>
                <w:color w:val="000000"/>
                <w:sz w:val="24"/>
              </w:rPr>
              <w:t>。本项目与</w:t>
            </w:r>
            <w:r>
              <w:rPr>
                <w:rFonts w:hint="eastAsia" w:ascii="Times New Roman" w:hAnsi="Times New Roman" w:cs="Times New Roman"/>
                <w:color w:val="000000"/>
                <w:sz w:val="24"/>
                <w:lang w:val="en-US" w:eastAsia="zh-CN"/>
              </w:rPr>
              <w:t>苗馆镇</w:t>
            </w:r>
            <w:r>
              <w:rPr>
                <w:rFonts w:hint="default" w:ascii="Times New Roman" w:hAnsi="Times New Roman" w:cs="Times New Roman"/>
                <w:color w:val="000000"/>
                <w:sz w:val="24"/>
              </w:rPr>
              <w:t>生态环境准入清单要求符合性分析见表1-</w:t>
            </w:r>
            <w:r>
              <w:rPr>
                <w:rFonts w:hint="eastAsia" w:ascii="Times New Roman" w:hAnsi="Times New Roman" w:cs="Times New Roman"/>
                <w:color w:val="000000"/>
                <w:sz w:val="24"/>
                <w:lang w:val="en-US" w:eastAsia="zh-CN"/>
              </w:rPr>
              <w:t>2。</w:t>
            </w:r>
          </w:p>
          <w:p w14:paraId="69E9FF61">
            <w:pPr>
              <w:pStyle w:val="45"/>
              <w:bidi w:val="0"/>
              <w:rPr>
                <w:rFonts w:hint="default" w:ascii="Times New Roman" w:hAnsi="Times New Roman" w:eastAsia="宋体" w:cs="Times New Roman"/>
                <w:b/>
                <w:bCs w:val="0"/>
                <w:color w:val="auto"/>
                <w:szCs w:val="24"/>
              </w:rPr>
            </w:pPr>
            <w:r>
              <w:rPr>
                <w:rFonts w:hint="default" w:ascii="Times New Roman" w:hAnsi="Times New Roman" w:eastAsia="宋体" w:cs="Times New Roman"/>
                <w:b/>
                <w:bCs w:val="0"/>
                <w:color w:val="auto"/>
              </w:rPr>
              <w:t>表1-</w:t>
            </w:r>
            <w:r>
              <w:rPr>
                <w:rFonts w:hint="default"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 xml:space="preserve"> 与</w:t>
            </w:r>
            <w:r>
              <w:rPr>
                <w:rFonts w:hint="eastAsia" w:ascii="Times New Roman" w:hAnsi="Times New Roman" w:eastAsia="宋体" w:cs="Times New Roman"/>
                <w:b/>
                <w:bCs w:val="0"/>
                <w:color w:val="auto"/>
                <w:lang w:val="en-US" w:eastAsia="zh-CN"/>
              </w:rPr>
              <w:t>苗馆镇</w:t>
            </w:r>
            <w:r>
              <w:rPr>
                <w:rFonts w:hint="default" w:ascii="Times New Roman" w:hAnsi="Times New Roman" w:eastAsia="宋体" w:cs="Times New Roman"/>
                <w:b/>
                <w:bCs/>
                <w:color w:val="auto"/>
              </w:rPr>
              <w:t>生态环境准入清单要求符合性</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1"/>
              <w:gridCol w:w="2098"/>
              <w:gridCol w:w="900"/>
            </w:tblGrid>
            <w:tr w14:paraId="0D46B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3248BE24">
                  <w:pPr>
                    <w:pStyle w:val="46"/>
                    <w:rPr>
                      <w:rFonts w:hint="default" w:ascii="Times New Roman" w:hAnsi="Times New Roman" w:cs="Times New Roman"/>
                      <w:b/>
                      <w:bCs/>
                      <w:color w:val="auto"/>
                    </w:rPr>
                  </w:pPr>
                  <w:r>
                    <w:rPr>
                      <w:rFonts w:hint="default" w:ascii="Times New Roman" w:hAnsi="Times New Roman" w:cs="Times New Roman"/>
                      <w:b/>
                      <w:bCs/>
                      <w:color w:val="auto"/>
                    </w:rPr>
                    <w:t>控制单元编码</w:t>
                  </w:r>
                </w:p>
              </w:tc>
              <w:tc>
                <w:tcPr>
                  <w:tcW w:w="1819" w:type="pct"/>
                  <w:gridSpan w:val="2"/>
                  <w:tcBorders>
                    <w:tl2br w:val="nil"/>
                    <w:tr2bl w:val="nil"/>
                  </w:tcBorders>
                  <w:noWrap w:val="0"/>
                  <w:vAlign w:val="top"/>
                </w:tcPr>
                <w:p w14:paraId="42404742">
                  <w:pPr>
                    <w:pStyle w:val="46"/>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eastAsia="zh-CN"/>
                    </w:rPr>
                    <w:t>ZH37083110006</w:t>
                  </w:r>
                </w:p>
              </w:tc>
            </w:tr>
            <w:tr w14:paraId="6506E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5AEE8550">
                  <w:pPr>
                    <w:pStyle w:val="46"/>
                    <w:rPr>
                      <w:rFonts w:hint="default" w:ascii="Times New Roman" w:hAnsi="Times New Roman" w:cs="Times New Roman"/>
                      <w:b/>
                      <w:bCs/>
                      <w:color w:val="auto"/>
                    </w:rPr>
                  </w:pPr>
                  <w:r>
                    <w:rPr>
                      <w:rFonts w:hint="default" w:ascii="Times New Roman" w:hAnsi="Times New Roman" w:cs="Times New Roman"/>
                      <w:b/>
                      <w:bCs/>
                      <w:color w:val="auto"/>
                    </w:rPr>
                    <w:t>环境管控单元名称</w:t>
                  </w:r>
                </w:p>
              </w:tc>
              <w:tc>
                <w:tcPr>
                  <w:tcW w:w="1819" w:type="pct"/>
                  <w:gridSpan w:val="2"/>
                  <w:tcBorders>
                    <w:tl2br w:val="nil"/>
                    <w:tr2bl w:val="nil"/>
                  </w:tcBorders>
                  <w:noWrap w:val="0"/>
                  <w:vAlign w:val="top"/>
                </w:tcPr>
                <w:p w14:paraId="7A6C9E95">
                  <w:pPr>
                    <w:pStyle w:val="46"/>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苗馆镇</w:t>
                  </w:r>
                </w:p>
              </w:tc>
            </w:tr>
            <w:tr w14:paraId="5704E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129D81C9">
                  <w:pPr>
                    <w:pStyle w:val="46"/>
                    <w:rPr>
                      <w:rFonts w:hint="default" w:ascii="Times New Roman" w:hAnsi="Times New Roman" w:cs="Times New Roman"/>
                      <w:b/>
                      <w:bCs/>
                      <w:color w:val="auto"/>
                    </w:rPr>
                  </w:pPr>
                  <w:r>
                    <w:rPr>
                      <w:rFonts w:hint="default" w:ascii="Times New Roman" w:hAnsi="Times New Roman" w:cs="Times New Roman"/>
                      <w:b/>
                      <w:bCs/>
                      <w:color w:val="auto"/>
                    </w:rPr>
                    <w:t>管控单元分类</w:t>
                  </w:r>
                </w:p>
              </w:tc>
              <w:tc>
                <w:tcPr>
                  <w:tcW w:w="1819" w:type="pct"/>
                  <w:gridSpan w:val="2"/>
                  <w:tcBorders>
                    <w:tl2br w:val="nil"/>
                    <w:tr2bl w:val="nil"/>
                  </w:tcBorders>
                  <w:noWrap w:val="0"/>
                  <w:vAlign w:val="top"/>
                </w:tcPr>
                <w:p w14:paraId="1E0FE87F">
                  <w:pPr>
                    <w:pStyle w:val="46"/>
                    <w:rPr>
                      <w:rFonts w:hint="default" w:ascii="Times New Roman" w:hAnsi="Times New Roman" w:cs="Times New Roman"/>
                      <w:b/>
                      <w:bCs/>
                      <w:color w:val="auto"/>
                    </w:rPr>
                  </w:pPr>
                  <w:r>
                    <w:rPr>
                      <w:rFonts w:hint="default" w:ascii="Times New Roman" w:hAnsi="Times New Roman" w:cs="Times New Roman"/>
                      <w:b/>
                      <w:bCs/>
                      <w:color w:val="auto"/>
                    </w:rPr>
                    <w:t>优先保护单元</w:t>
                  </w:r>
                </w:p>
              </w:tc>
            </w:tr>
            <w:tr w14:paraId="57534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40B6D81D">
                  <w:pPr>
                    <w:pStyle w:val="46"/>
                    <w:rPr>
                      <w:rFonts w:hint="default" w:ascii="Times New Roman" w:hAnsi="Times New Roman" w:cs="Times New Roman"/>
                      <w:b/>
                      <w:bCs/>
                      <w:color w:val="auto"/>
                    </w:rPr>
                  </w:pPr>
                  <w:r>
                    <w:rPr>
                      <w:rFonts w:hint="default" w:ascii="Times New Roman" w:hAnsi="Times New Roman" w:cs="Times New Roman"/>
                      <w:b/>
                      <w:bCs/>
                      <w:color w:val="auto"/>
                    </w:rPr>
                    <w:t>空间布局约束</w:t>
                  </w:r>
                </w:p>
              </w:tc>
              <w:tc>
                <w:tcPr>
                  <w:tcW w:w="1273" w:type="pct"/>
                  <w:tcBorders>
                    <w:tl2br w:val="nil"/>
                    <w:tr2bl w:val="nil"/>
                  </w:tcBorders>
                  <w:noWrap w:val="0"/>
                  <w:vAlign w:val="top"/>
                </w:tcPr>
                <w:p w14:paraId="61EBB9CE">
                  <w:pPr>
                    <w:pStyle w:val="46"/>
                    <w:rPr>
                      <w:rFonts w:hint="default" w:ascii="Times New Roman" w:hAnsi="Times New Roman" w:cs="Times New Roman"/>
                      <w:b/>
                      <w:bCs/>
                      <w:color w:val="auto"/>
                    </w:rPr>
                  </w:pPr>
                  <w:r>
                    <w:rPr>
                      <w:rFonts w:hint="default" w:ascii="Times New Roman" w:hAnsi="Times New Roman" w:cs="Times New Roman"/>
                      <w:b/>
                      <w:bCs/>
                      <w:color w:val="auto"/>
                    </w:rPr>
                    <w:t>本项目内容</w:t>
                  </w:r>
                </w:p>
              </w:tc>
              <w:tc>
                <w:tcPr>
                  <w:tcW w:w="546" w:type="pct"/>
                  <w:tcBorders>
                    <w:tl2br w:val="nil"/>
                    <w:tr2bl w:val="nil"/>
                  </w:tcBorders>
                  <w:noWrap w:val="0"/>
                  <w:vAlign w:val="top"/>
                </w:tcPr>
                <w:p w14:paraId="20982ACE">
                  <w:pPr>
                    <w:pStyle w:val="46"/>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77E57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449E2A59">
                  <w:pPr>
                    <w:pStyle w:val="46"/>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 xml:space="preserve">1.新建、改建、扩建项目，满足产业准入、总量控制、排放标准等管理制度要求的前提下，积极推进工业项目进园、集约高效发展。 </w:t>
                  </w:r>
                </w:p>
                <w:p w14:paraId="3F1B657C">
                  <w:pPr>
                    <w:pStyle w:val="46"/>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 xml:space="preserve">2.泉林国家森林公园空间布局约束执行国家级森林公园管控相关要求。 </w:t>
                  </w:r>
                </w:p>
                <w:p w14:paraId="10366610">
                  <w:pPr>
                    <w:pStyle w:val="46"/>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 xml:space="preserve">3.生态保护红线应符合《关于划定并严守生态保护红线的若干意见》及国家、省有关要求，原则上按禁止开发区域的要求进行管理，严禁不符合主体功能定位的各类开发活动，严禁任意改变土地用途。 </w:t>
                  </w:r>
                </w:p>
                <w:p w14:paraId="0B981E66">
                  <w:pPr>
                    <w:pStyle w:val="46"/>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4.一般生态空间原则上按限制开发区域的要求进行管理。</w:t>
                  </w:r>
                </w:p>
              </w:tc>
              <w:tc>
                <w:tcPr>
                  <w:tcW w:w="1273" w:type="pct"/>
                  <w:tcBorders>
                    <w:tl2br w:val="nil"/>
                    <w:tr2bl w:val="nil"/>
                  </w:tcBorders>
                  <w:noWrap w:val="0"/>
                  <w:vAlign w:val="center"/>
                </w:tcPr>
                <w:p w14:paraId="5BDB34CC">
                  <w:pPr>
                    <w:pStyle w:val="46"/>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1、本项目属于技改项目，</w:t>
                  </w:r>
                  <w:r>
                    <w:rPr>
                      <w:rFonts w:hint="eastAsia" w:cs="Times New Roman"/>
                      <w:color w:val="auto"/>
                      <w:lang w:val="en-US" w:eastAsia="zh-CN"/>
                    </w:rPr>
                    <w:t>满足产业准入、总量控制和排放标准</w:t>
                  </w:r>
                  <w:r>
                    <w:rPr>
                      <w:rFonts w:hint="default" w:ascii="Times New Roman" w:hAnsi="Times New Roman" w:cs="Times New Roman"/>
                      <w:color w:val="auto"/>
                      <w:lang w:val="en-US" w:eastAsia="zh-CN"/>
                    </w:rPr>
                    <w:t>。</w:t>
                  </w:r>
                </w:p>
                <w:p w14:paraId="4013972C">
                  <w:pPr>
                    <w:pStyle w:val="46"/>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2、项目位于泉林国家森林公园之外。</w:t>
                  </w:r>
                </w:p>
                <w:p w14:paraId="0D194F19">
                  <w:pPr>
                    <w:pStyle w:val="46"/>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3、项目不涉及生态保护红线。</w:t>
                  </w:r>
                </w:p>
                <w:p w14:paraId="513AFEEA">
                  <w:pPr>
                    <w:pStyle w:val="46"/>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4、项目</w:t>
                  </w:r>
                  <w:r>
                    <w:rPr>
                      <w:rFonts w:hint="eastAsia" w:cs="Times New Roman"/>
                      <w:color w:val="auto"/>
                      <w:lang w:val="en-US" w:eastAsia="zh-CN"/>
                    </w:rPr>
                    <w:t>不涉及</w:t>
                  </w:r>
                  <w:r>
                    <w:rPr>
                      <w:rFonts w:hint="default" w:ascii="Times New Roman" w:hAnsi="Times New Roman" w:cs="Times New Roman"/>
                      <w:color w:val="auto"/>
                      <w:lang w:val="en-US" w:eastAsia="zh-CN"/>
                    </w:rPr>
                    <w:t>一般生态空间。</w:t>
                  </w:r>
                </w:p>
                <w:p w14:paraId="6DEEFB6F">
                  <w:pPr>
                    <w:pStyle w:val="46"/>
                    <w:jc w:val="both"/>
                    <w:rPr>
                      <w:rFonts w:hint="default" w:ascii="Times New Roman" w:hAnsi="Times New Roman" w:cs="Times New Roman"/>
                      <w:color w:val="auto"/>
                      <w:lang w:val="en-US" w:eastAsia="zh-CN"/>
                    </w:rPr>
                  </w:pPr>
                </w:p>
              </w:tc>
              <w:tc>
                <w:tcPr>
                  <w:tcW w:w="546" w:type="pct"/>
                  <w:tcBorders>
                    <w:tl2br w:val="nil"/>
                    <w:tr2bl w:val="nil"/>
                  </w:tcBorders>
                  <w:noWrap w:val="0"/>
                  <w:vAlign w:val="center"/>
                </w:tcPr>
                <w:p w14:paraId="5013551F">
                  <w:pPr>
                    <w:pStyle w:val="46"/>
                    <w:rPr>
                      <w:rFonts w:hint="default" w:ascii="Times New Roman" w:hAnsi="Times New Roman" w:cs="Times New Roman"/>
                      <w:color w:val="auto"/>
                    </w:rPr>
                  </w:pPr>
                  <w:r>
                    <w:rPr>
                      <w:rFonts w:hint="default" w:ascii="Times New Roman" w:hAnsi="Times New Roman" w:cs="Times New Roman"/>
                      <w:color w:val="auto"/>
                    </w:rPr>
                    <w:t>符合</w:t>
                  </w:r>
                </w:p>
              </w:tc>
            </w:tr>
            <w:tr w14:paraId="1D13C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36B6366C">
                  <w:pPr>
                    <w:pStyle w:val="46"/>
                    <w:rPr>
                      <w:rFonts w:hint="default" w:ascii="Times New Roman" w:hAnsi="Times New Roman" w:cs="Times New Roman"/>
                      <w:b/>
                      <w:bCs/>
                      <w:color w:val="auto"/>
                    </w:rPr>
                  </w:pPr>
                  <w:r>
                    <w:rPr>
                      <w:rFonts w:hint="default" w:ascii="Times New Roman" w:hAnsi="Times New Roman" w:cs="Times New Roman"/>
                      <w:b/>
                      <w:bCs/>
                      <w:color w:val="auto"/>
                    </w:rPr>
                    <w:t>污染物排放管控</w:t>
                  </w:r>
                </w:p>
              </w:tc>
              <w:tc>
                <w:tcPr>
                  <w:tcW w:w="1273" w:type="pct"/>
                  <w:tcBorders>
                    <w:tl2br w:val="nil"/>
                    <w:tr2bl w:val="nil"/>
                  </w:tcBorders>
                  <w:noWrap w:val="0"/>
                  <w:vAlign w:val="top"/>
                </w:tcPr>
                <w:p w14:paraId="4EDED244">
                  <w:pPr>
                    <w:pStyle w:val="46"/>
                    <w:rPr>
                      <w:rFonts w:hint="default" w:ascii="Times New Roman" w:hAnsi="Times New Roman" w:cs="Times New Roman"/>
                      <w:b/>
                      <w:bCs/>
                      <w:color w:val="auto"/>
                    </w:rPr>
                  </w:pPr>
                  <w:r>
                    <w:rPr>
                      <w:rFonts w:hint="default" w:ascii="Times New Roman" w:hAnsi="Times New Roman" w:cs="Times New Roman"/>
                      <w:b/>
                      <w:bCs/>
                      <w:color w:val="auto"/>
                    </w:rPr>
                    <w:t>本项目内容</w:t>
                  </w:r>
                </w:p>
              </w:tc>
              <w:tc>
                <w:tcPr>
                  <w:tcW w:w="546" w:type="pct"/>
                  <w:tcBorders>
                    <w:tl2br w:val="nil"/>
                    <w:tr2bl w:val="nil"/>
                  </w:tcBorders>
                  <w:noWrap w:val="0"/>
                  <w:vAlign w:val="center"/>
                </w:tcPr>
                <w:p w14:paraId="5D940EE1">
                  <w:pPr>
                    <w:pStyle w:val="46"/>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78A67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1F2F1F25">
                  <w:pPr>
                    <w:pStyle w:val="46"/>
                    <w:jc w:val="both"/>
                    <w:rPr>
                      <w:rFonts w:hint="default" w:ascii="Times New Roman" w:hAnsi="Times New Roman" w:cs="Times New Roman"/>
                      <w:color w:val="auto"/>
                    </w:rPr>
                  </w:pPr>
                  <w:r>
                    <w:rPr>
                      <w:rFonts w:hint="default" w:ascii="Times New Roman" w:hAnsi="Times New Roman" w:cs="Times New Roman"/>
                      <w:color w:val="auto"/>
                    </w:rPr>
                    <w:t xml:space="preserve">1.落实水环境保护的普适性要求。推进城乡生活污染和农业面源污染治理，加强污染物排放管控，推动水环境质量不断改善。 </w:t>
                  </w:r>
                </w:p>
                <w:p w14:paraId="6B2A6FF3">
                  <w:pPr>
                    <w:pStyle w:val="46"/>
                    <w:jc w:val="both"/>
                    <w:rPr>
                      <w:rFonts w:hint="default" w:ascii="Times New Roman" w:hAnsi="Times New Roman" w:cs="Times New Roman"/>
                      <w:color w:val="auto"/>
                    </w:rPr>
                  </w:pPr>
                  <w:r>
                    <w:rPr>
                      <w:rFonts w:hint="default" w:ascii="Times New Roman" w:hAnsi="Times New Roman" w:cs="Times New Roman"/>
                      <w:color w:val="auto"/>
                    </w:rPr>
                    <w:t xml:space="preserve">2.泉林国家森林公园污染物排放管控执行国家级森林公园管控相关要求。 </w:t>
                  </w:r>
                </w:p>
                <w:p w14:paraId="0E6DEB38">
                  <w:pPr>
                    <w:pStyle w:val="46"/>
                    <w:jc w:val="both"/>
                    <w:rPr>
                      <w:rFonts w:hint="default" w:ascii="Times New Roman" w:hAnsi="Times New Roman" w:cs="Times New Roman"/>
                      <w:color w:val="auto"/>
                    </w:rPr>
                  </w:pPr>
                  <w:r>
                    <w:rPr>
                      <w:rFonts w:hint="default" w:ascii="Times New Roman" w:hAnsi="Times New Roman" w:cs="Times New Roman"/>
                      <w:color w:val="auto"/>
                    </w:rPr>
                    <w:t>3.严格执行山东省《区域性大气污染物综合排放标准》（DB37/2376-2019）排放要求，SO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x</w:t>
                  </w:r>
                  <w:r>
                    <w:rPr>
                      <w:rFonts w:hint="default" w:ascii="Times New Roman" w:hAnsi="Times New Roman" w:cs="Times New Roman"/>
                      <w:color w:val="auto"/>
                    </w:rPr>
                    <w:t>、烟粉尘、VOCs排放量不得超过区域允许排放量。全面加强VOCs污染管控。加大秸秆禁烧管控力度。</w:t>
                  </w:r>
                </w:p>
              </w:tc>
              <w:tc>
                <w:tcPr>
                  <w:tcW w:w="1273" w:type="pct"/>
                  <w:tcBorders>
                    <w:tl2br w:val="nil"/>
                    <w:tr2bl w:val="nil"/>
                  </w:tcBorders>
                  <w:noWrap w:val="0"/>
                  <w:vAlign w:val="center"/>
                </w:tcPr>
                <w:p w14:paraId="010F5A4A">
                  <w:pPr>
                    <w:pStyle w:val="46"/>
                    <w:numPr>
                      <w:ilvl w:val="0"/>
                      <w:numId w:val="0"/>
                    </w:num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1、项目无废水产生。</w:t>
                  </w:r>
                </w:p>
                <w:p w14:paraId="3711C3E4">
                  <w:pPr>
                    <w:pStyle w:val="46"/>
                    <w:numPr>
                      <w:ilvl w:val="0"/>
                      <w:numId w:val="0"/>
                    </w:num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2、项目位于泉林国家森林公园之外。</w:t>
                  </w:r>
                </w:p>
                <w:p w14:paraId="09C04CC5">
                  <w:pPr>
                    <w:pStyle w:val="46"/>
                    <w:numPr>
                      <w:ilvl w:val="0"/>
                      <w:numId w:val="0"/>
                    </w:num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3、项目大气污染物的排放严格执行控量控制制度。</w:t>
                  </w:r>
                </w:p>
              </w:tc>
              <w:tc>
                <w:tcPr>
                  <w:tcW w:w="546" w:type="pct"/>
                  <w:tcBorders>
                    <w:tl2br w:val="nil"/>
                    <w:tr2bl w:val="nil"/>
                  </w:tcBorders>
                  <w:noWrap w:val="0"/>
                  <w:vAlign w:val="center"/>
                </w:tcPr>
                <w:p w14:paraId="5E5B44ED">
                  <w:pPr>
                    <w:pStyle w:val="46"/>
                    <w:rPr>
                      <w:rFonts w:hint="default" w:ascii="Times New Roman" w:hAnsi="Times New Roman" w:cs="Times New Roman"/>
                      <w:color w:val="auto"/>
                    </w:rPr>
                  </w:pPr>
                  <w:r>
                    <w:rPr>
                      <w:rFonts w:hint="default" w:ascii="Times New Roman" w:hAnsi="Times New Roman" w:cs="Times New Roman"/>
                      <w:color w:val="auto"/>
                    </w:rPr>
                    <w:t>符合</w:t>
                  </w:r>
                </w:p>
              </w:tc>
            </w:tr>
            <w:tr w14:paraId="3CD73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342E8341">
                  <w:pPr>
                    <w:pStyle w:val="46"/>
                    <w:rPr>
                      <w:rFonts w:hint="default" w:ascii="Times New Roman" w:hAnsi="Times New Roman" w:cs="Times New Roman"/>
                      <w:b/>
                      <w:bCs/>
                      <w:color w:val="auto"/>
                    </w:rPr>
                  </w:pPr>
                  <w:r>
                    <w:rPr>
                      <w:rFonts w:hint="default" w:ascii="Times New Roman" w:hAnsi="Times New Roman" w:cs="Times New Roman"/>
                      <w:b/>
                      <w:bCs/>
                      <w:color w:val="auto"/>
                    </w:rPr>
                    <w:t>环境风险防控</w:t>
                  </w:r>
                </w:p>
              </w:tc>
              <w:tc>
                <w:tcPr>
                  <w:tcW w:w="1273" w:type="pct"/>
                  <w:tcBorders>
                    <w:tl2br w:val="nil"/>
                    <w:tr2bl w:val="nil"/>
                  </w:tcBorders>
                  <w:noWrap w:val="0"/>
                  <w:vAlign w:val="top"/>
                </w:tcPr>
                <w:p w14:paraId="217356E3">
                  <w:pPr>
                    <w:pStyle w:val="46"/>
                    <w:rPr>
                      <w:rFonts w:hint="default" w:ascii="Times New Roman" w:hAnsi="Times New Roman" w:cs="Times New Roman"/>
                      <w:b/>
                      <w:bCs/>
                      <w:color w:val="auto"/>
                    </w:rPr>
                  </w:pPr>
                  <w:r>
                    <w:rPr>
                      <w:rFonts w:hint="default" w:ascii="Times New Roman" w:hAnsi="Times New Roman" w:cs="Times New Roman"/>
                      <w:b/>
                      <w:bCs/>
                      <w:color w:val="auto"/>
                    </w:rPr>
                    <w:t>本项目内容</w:t>
                  </w:r>
                </w:p>
              </w:tc>
              <w:tc>
                <w:tcPr>
                  <w:tcW w:w="546" w:type="pct"/>
                  <w:tcBorders>
                    <w:tl2br w:val="nil"/>
                    <w:tr2bl w:val="nil"/>
                  </w:tcBorders>
                  <w:noWrap w:val="0"/>
                  <w:vAlign w:val="center"/>
                </w:tcPr>
                <w:p w14:paraId="649641B8">
                  <w:pPr>
                    <w:pStyle w:val="46"/>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496E2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02B3F5D2">
                  <w:pPr>
                    <w:pStyle w:val="46"/>
                    <w:jc w:val="both"/>
                    <w:rPr>
                      <w:rFonts w:hint="default" w:ascii="Times New Roman" w:hAnsi="Times New Roman" w:cs="Times New Roman"/>
                      <w:color w:val="auto"/>
                    </w:rPr>
                  </w:pPr>
                  <w:r>
                    <w:rPr>
                      <w:rFonts w:hint="default" w:ascii="Times New Roman" w:hAnsi="Times New Roman" w:cs="Times New Roman"/>
                      <w:color w:val="auto"/>
                    </w:rPr>
                    <w:t xml:space="preserve">1.泉林国家森林公园环境风险防控执行国家级森林公园管控相关要求。 </w:t>
                  </w:r>
                </w:p>
                <w:p w14:paraId="7825E04F">
                  <w:pPr>
                    <w:pStyle w:val="46"/>
                    <w:jc w:val="both"/>
                    <w:rPr>
                      <w:rFonts w:hint="default" w:ascii="Times New Roman" w:hAnsi="Times New Roman" w:cs="Times New Roman"/>
                      <w:color w:val="auto"/>
                    </w:rPr>
                  </w:pPr>
                  <w:r>
                    <w:rPr>
                      <w:rFonts w:hint="default" w:ascii="Times New Roman" w:hAnsi="Times New Roman" w:cs="Times New Roman"/>
                      <w:color w:val="auto"/>
                    </w:rPr>
                    <w:t xml:space="preserve">2.当预测到区域将出现重污染天气时，根据预警发布，按级别启动应急响应，落实各项应急减排措施。 </w:t>
                  </w:r>
                </w:p>
                <w:p w14:paraId="112F1DB2">
                  <w:pPr>
                    <w:pStyle w:val="46"/>
                    <w:jc w:val="both"/>
                    <w:rPr>
                      <w:rFonts w:hint="default" w:ascii="Times New Roman" w:hAnsi="Times New Roman" w:cs="Times New Roman"/>
                      <w:color w:val="auto"/>
                    </w:rPr>
                  </w:pPr>
                  <w:r>
                    <w:rPr>
                      <w:rFonts w:hint="default" w:ascii="Times New Roman" w:hAnsi="Times New Roman" w:cs="Times New Roman"/>
                      <w:color w:val="auto"/>
                    </w:rPr>
                    <w:t xml:space="preserve">3.对于高关注度地块，调查结果表明超过土壤污染风险管控标准的，应按照规定开展土壤污染状况调查、风险评估、风险管控和修复。 </w:t>
                  </w:r>
                </w:p>
                <w:p w14:paraId="20304A96">
                  <w:pPr>
                    <w:pStyle w:val="46"/>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rPr>
                    <w:t>4.土壤污染重点监管单位内严格控制有毒有害物质排放，并按年度向生态环境主管部门报告排放情况。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建立土壤污染隐患排查制度，保证持续有效防止有毒有害物质渗漏、流失、扬散；制定、实施自行监测方案，并将监测数据报生态环境主管部门。</w:t>
                  </w:r>
                </w:p>
              </w:tc>
              <w:tc>
                <w:tcPr>
                  <w:tcW w:w="1273" w:type="pct"/>
                  <w:tcBorders>
                    <w:tl2br w:val="nil"/>
                    <w:tr2bl w:val="nil"/>
                  </w:tcBorders>
                  <w:noWrap w:val="0"/>
                  <w:vAlign w:val="center"/>
                </w:tcPr>
                <w:p w14:paraId="7798E9B3">
                  <w:pPr>
                    <w:pStyle w:val="46"/>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1、项目位于泉林国家森林公园之外。</w:t>
                  </w:r>
                </w:p>
                <w:p w14:paraId="33B49552">
                  <w:pPr>
                    <w:pStyle w:val="46"/>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2、本项目严格按照区域环保部门要求，必要时实施应急减排和错峰生产。</w:t>
                  </w:r>
                </w:p>
                <w:p w14:paraId="15A19831">
                  <w:pPr>
                    <w:pStyle w:val="46"/>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3、项目严格控制有毒有害物质排放，加强土壤污染防治措施，按照要求制定监测计划，并要求企业严格落实执行。</w:t>
                  </w:r>
                </w:p>
                <w:p w14:paraId="423E6B5F">
                  <w:pPr>
                    <w:pStyle w:val="46"/>
                    <w:rPr>
                      <w:rFonts w:hint="default" w:ascii="Times New Roman" w:hAnsi="Times New Roman" w:cs="Times New Roman"/>
                      <w:color w:val="auto"/>
                    </w:rPr>
                  </w:pPr>
                </w:p>
              </w:tc>
              <w:tc>
                <w:tcPr>
                  <w:tcW w:w="546" w:type="pct"/>
                  <w:tcBorders>
                    <w:tl2br w:val="nil"/>
                    <w:tr2bl w:val="nil"/>
                  </w:tcBorders>
                  <w:noWrap w:val="0"/>
                  <w:vAlign w:val="center"/>
                </w:tcPr>
                <w:p w14:paraId="4D414322">
                  <w:pPr>
                    <w:pStyle w:val="46"/>
                    <w:rPr>
                      <w:rFonts w:hint="default" w:ascii="Times New Roman" w:hAnsi="Times New Roman" w:cs="Times New Roman"/>
                      <w:color w:val="auto"/>
                    </w:rPr>
                  </w:pPr>
                  <w:r>
                    <w:rPr>
                      <w:rFonts w:hint="default" w:ascii="Times New Roman" w:hAnsi="Times New Roman" w:cs="Times New Roman"/>
                      <w:color w:val="auto"/>
                    </w:rPr>
                    <w:t>符合</w:t>
                  </w:r>
                </w:p>
              </w:tc>
            </w:tr>
            <w:tr w14:paraId="353C9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2F17305B">
                  <w:pPr>
                    <w:pStyle w:val="46"/>
                    <w:rPr>
                      <w:rFonts w:hint="default" w:ascii="Times New Roman" w:hAnsi="Times New Roman" w:cs="Times New Roman"/>
                      <w:b/>
                      <w:bCs/>
                      <w:color w:val="auto"/>
                    </w:rPr>
                  </w:pPr>
                  <w:r>
                    <w:rPr>
                      <w:rFonts w:hint="default" w:ascii="Times New Roman" w:hAnsi="Times New Roman" w:cs="Times New Roman"/>
                      <w:b/>
                      <w:bCs/>
                      <w:color w:val="auto"/>
                    </w:rPr>
                    <w:t>资源开发效率要求</w:t>
                  </w:r>
                </w:p>
              </w:tc>
              <w:tc>
                <w:tcPr>
                  <w:tcW w:w="1273" w:type="pct"/>
                  <w:tcBorders>
                    <w:tl2br w:val="nil"/>
                    <w:tr2bl w:val="nil"/>
                  </w:tcBorders>
                  <w:noWrap w:val="0"/>
                  <w:vAlign w:val="top"/>
                </w:tcPr>
                <w:p w14:paraId="1EA76F81">
                  <w:pPr>
                    <w:pStyle w:val="46"/>
                    <w:rPr>
                      <w:rFonts w:hint="default" w:ascii="Times New Roman" w:hAnsi="Times New Roman" w:cs="Times New Roman"/>
                      <w:b/>
                      <w:bCs/>
                      <w:color w:val="auto"/>
                    </w:rPr>
                  </w:pPr>
                  <w:r>
                    <w:rPr>
                      <w:rFonts w:hint="default" w:ascii="Times New Roman" w:hAnsi="Times New Roman" w:cs="Times New Roman"/>
                      <w:b/>
                      <w:bCs/>
                      <w:color w:val="auto"/>
                    </w:rPr>
                    <w:t>本项目内容</w:t>
                  </w:r>
                </w:p>
              </w:tc>
              <w:tc>
                <w:tcPr>
                  <w:tcW w:w="546" w:type="pct"/>
                  <w:tcBorders>
                    <w:tl2br w:val="nil"/>
                    <w:tr2bl w:val="nil"/>
                  </w:tcBorders>
                  <w:noWrap w:val="0"/>
                  <w:vAlign w:val="center"/>
                </w:tcPr>
                <w:p w14:paraId="39B16581">
                  <w:pPr>
                    <w:pStyle w:val="46"/>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701DF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0" w:type="pct"/>
                  <w:tcBorders>
                    <w:tl2br w:val="nil"/>
                    <w:tr2bl w:val="nil"/>
                  </w:tcBorders>
                  <w:noWrap w:val="0"/>
                  <w:vAlign w:val="top"/>
                </w:tcPr>
                <w:p w14:paraId="362CF7D5">
                  <w:pPr>
                    <w:pStyle w:val="46"/>
                    <w:jc w:val="both"/>
                    <w:rPr>
                      <w:rFonts w:hint="default" w:ascii="Times New Roman" w:hAnsi="Times New Roman" w:cs="Times New Roman"/>
                      <w:color w:val="auto"/>
                    </w:rPr>
                  </w:pPr>
                  <w:r>
                    <w:rPr>
                      <w:rFonts w:hint="default" w:ascii="Times New Roman" w:hAnsi="Times New Roman" w:cs="Times New Roman"/>
                      <w:color w:val="auto"/>
                    </w:rPr>
                    <w:t xml:space="preserve">1.严控高耗水项目。水资源开发应当优先利用地表水，严格控制开采地下水。 </w:t>
                  </w:r>
                </w:p>
                <w:p w14:paraId="7D147143">
                  <w:pPr>
                    <w:pStyle w:val="46"/>
                    <w:jc w:val="both"/>
                    <w:rPr>
                      <w:rFonts w:hint="default" w:ascii="Times New Roman" w:hAnsi="Times New Roman" w:cs="Times New Roman"/>
                      <w:color w:val="auto"/>
                    </w:rPr>
                  </w:pPr>
                  <w:r>
                    <w:rPr>
                      <w:rFonts w:hint="default" w:ascii="Times New Roman" w:hAnsi="Times New Roman" w:cs="Times New Roman"/>
                      <w:color w:val="auto"/>
                    </w:rPr>
                    <w:t>2.推进冬季清洁取暖，实现清洁能源逐步替代散煤。严防散煤复烧，对暂未实施清洁取暖的地区，确保使用的散煤质量符合标准要求。</w:t>
                  </w:r>
                </w:p>
              </w:tc>
              <w:tc>
                <w:tcPr>
                  <w:tcW w:w="1273" w:type="pct"/>
                  <w:tcBorders>
                    <w:tl2br w:val="nil"/>
                    <w:tr2bl w:val="nil"/>
                  </w:tcBorders>
                  <w:noWrap w:val="0"/>
                  <w:vAlign w:val="center"/>
                </w:tcPr>
                <w:p w14:paraId="4F1FF156">
                  <w:pPr>
                    <w:pStyle w:val="46"/>
                    <w:jc w:val="left"/>
                    <w:rPr>
                      <w:rFonts w:hint="default" w:ascii="Times New Roman" w:hAnsi="Times New Roman" w:cs="Times New Roman"/>
                      <w:color w:val="auto"/>
                    </w:rPr>
                  </w:pPr>
                  <w:r>
                    <w:rPr>
                      <w:rFonts w:hint="default" w:ascii="Times New Roman" w:hAnsi="Times New Roman" w:cs="Times New Roman"/>
                      <w:color w:val="auto"/>
                      <w:lang w:val="en-US" w:eastAsia="zh-CN"/>
                    </w:rPr>
                    <w:t>1、本项目不属于高耗水项目</w:t>
                  </w:r>
                  <w:r>
                    <w:rPr>
                      <w:rFonts w:hint="default" w:ascii="Times New Roman" w:hAnsi="Times New Roman" w:cs="Times New Roman"/>
                      <w:color w:val="auto"/>
                    </w:rPr>
                    <w:t>。</w:t>
                  </w:r>
                </w:p>
                <w:p w14:paraId="4FC08B69">
                  <w:pPr>
                    <w:pStyle w:val="46"/>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2、本项目</w:t>
                  </w:r>
                  <w:r>
                    <w:rPr>
                      <w:rFonts w:hint="eastAsia" w:cs="Times New Roman"/>
                      <w:color w:val="auto"/>
                      <w:lang w:val="en-US" w:eastAsia="zh-CN"/>
                    </w:rPr>
                    <w:t>进行</w:t>
                  </w:r>
                  <w:r>
                    <w:rPr>
                      <w:rFonts w:hint="default" w:ascii="Times New Roman" w:hAnsi="Times New Roman" w:cs="Times New Roman"/>
                      <w:color w:val="auto"/>
                      <w:lang w:val="en-US" w:eastAsia="zh-CN"/>
                    </w:rPr>
                    <w:t>燃料替代，建成后可减少燃煤使用量。</w:t>
                  </w:r>
                </w:p>
              </w:tc>
              <w:tc>
                <w:tcPr>
                  <w:tcW w:w="546" w:type="pct"/>
                  <w:tcBorders>
                    <w:tl2br w:val="nil"/>
                    <w:tr2bl w:val="nil"/>
                  </w:tcBorders>
                  <w:noWrap w:val="0"/>
                  <w:vAlign w:val="center"/>
                </w:tcPr>
                <w:p w14:paraId="404D0FF2">
                  <w:pPr>
                    <w:pStyle w:val="46"/>
                    <w:rPr>
                      <w:rFonts w:hint="default" w:ascii="Times New Roman" w:hAnsi="Times New Roman" w:cs="Times New Roman"/>
                      <w:color w:val="auto"/>
                    </w:rPr>
                  </w:pPr>
                  <w:r>
                    <w:rPr>
                      <w:rFonts w:hint="default" w:ascii="Times New Roman" w:hAnsi="Times New Roman" w:cs="Times New Roman"/>
                      <w:color w:val="auto"/>
                    </w:rPr>
                    <w:t>符合</w:t>
                  </w:r>
                </w:p>
              </w:tc>
            </w:tr>
          </w:tbl>
          <w:p w14:paraId="02F72BC3">
            <w:pPr>
              <w:pStyle w:val="30"/>
              <w:spacing w:after="0" w:line="360" w:lineRule="auto"/>
              <w:ind w:left="0" w:leftChars="0" w:firstLine="482" w:firstLineChars="200"/>
              <w:rPr>
                <w:b/>
                <w:bCs/>
                <w:kern w:val="0"/>
                <w:sz w:val="24"/>
                <w:szCs w:val="24"/>
                <w:lang w:val="en-US" w:eastAsia="zh-CN"/>
              </w:rPr>
            </w:pPr>
            <w:r>
              <w:rPr>
                <w:rFonts w:hint="eastAsia"/>
                <w:b/>
                <w:bCs/>
                <w:kern w:val="0"/>
                <w:sz w:val="24"/>
                <w:szCs w:val="24"/>
                <w:lang w:val="en-US" w:eastAsia="zh-CN"/>
              </w:rPr>
              <w:t>4</w:t>
            </w:r>
            <w:r>
              <w:rPr>
                <w:b/>
                <w:bCs/>
                <w:kern w:val="0"/>
                <w:sz w:val="24"/>
                <w:szCs w:val="24"/>
                <w:lang w:val="en-US" w:eastAsia="zh-CN"/>
              </w:rPr>
              <w:t>、</w:t>
            </w:r>
            <w:r>
              <w:rPr>
                <w:b/>
                <w:color w:val="000000"/>
                <w:sz w:val="24"/>
                <w:szCs w:val="24"/>
              </w:rPr>
              <w:t>与《</w:t>
            </w:r>
            <w:r>
              <w:rPr>
                <w:rFonts w:hint="eastAsia"/>
                <w:b/>
                <w:color w:val="000000"/>
                <w:sz w:val="24"/>
                <w:szCs w:val="24"/>
              </w:rPr>
              <w:t>济宁市空气质量持续改善暨第三轮“四减四增”行动实施方案</w:t>
            </w:r>
            <w:r>
              <w:rPr>
                <w:b/>
                <w:color w:val="000000"/>
                <w:sz w:val="24"/>
                <w:szCs w:val="24"/>
              </w:rPr>
              <w:t>》（</w:t>
            </w:r>
            <w:r>
              <w:rPr>
                <w:rFonts w:hint="eastAsia"/>
                <w:b/>
                <w:color w:val="000000"/>
                <w:sz w:val="24"/>
                <w:szCs w:val="24"/>
              </w:rPr>
              <w:t>济政字〔2024〕47号</w:t>
            </w:r>
            <w:r>
              <w:rPr>
                <w:b/>
                <w:color w:val="000000"/>
                <w:sz w:val="24"/>
                <w:szCs w:val="24"/>
              </w:rPr>
              <w:t>）符合性分析</w:t>
            </w:r>
          </w:p>
          <w:p w14:paraId="2B6E0071">
            <w:pPr>
              <w:spacing w:line="240" w:lineRule="auto"/>
              <w:jc w:val="center"/>
              <w:rPr>
                <w:b/>
                <w:bCs/>
                <w:spacing w:val="-6"/>
                <w:sz w:val="24"/>
                <w:szCs w:val="32"/>
              </w:rPr>
            </w:pPr>
            <w:r>
              <w:rPr>
                <w:b/>
                <w:bCs/>
                <w:spacing w:val="-6"/>
                <w:sz w:val="24"/>
                <w:szCs w:val="24"/>
              </w:rPr>
              <w:t>表1-</w:t>
            </w:r>
            <w:r>
              <w:rPr>
                <w:rFonts w:hint="eastAsia"/>
                <w:b/>
                <w:bCs/>
                <w:spacing w:val="-6"/>
                <w:sz w:val="24"/>
                <w:szCs w:val="24"/>
                <w:lang w:val="en-US" w:eastAsia="zh-CN"/>
              </w:rPr>
              <w:t>3</w:t>
            </w:r>
            <w:r>
              <w:rPr>
                <w:b/>
                <w:bCs/>
                <w:spacing w:val="-6"/>
                <w:sz w:val="24"/>
                <w:szCs w:val="24"/>
              </w:rPr>
              <w:t xml:space="preserve"> </w:t>
            </w:r>
            <w:r>
              <w:rPr>
                <w:rFonts w:hint="eastAsia"/>
                <w:b/>
                <w:color w:val="000000"/>
                <w:sz w:val="24"/>
                <w:szCs w:val="24"/>
              </w:rPr>
              <w:t>与济政字〔2024〕47号符合性分析</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5257"/>
              <w:gridCol w:w="1430"/>
              <w:gridCol w:w="853"/>
            </w:tblGrid>
            <w:tr w14:paraId="72855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38" w:type="dxa"/>
                  <w:tcBorders>
                    <w:tl2br w:val="nil"/>
                    <w:tr2bl w:val="nil"/>
                  </w:tcBorders>
                  <w:noWrap w:val="0"/>
                  <w:vAlign w:val="center"/>
                </w:tcPr>
                <w:p w14:paraId="5DF339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序号</w:t>
                  </w:r>
                </w:p>
              </w:tc>
              <w:tc>
                <w:tcPr>
                  <w:tcW w:w="5529" w:type="dxa"/>
                  <w:tcBorders>
                    <w:tl2br w:val="nil"/>
                    <w:tr2bl w:val="nil"/>
                  </w:tcBorders>
                  <w:noWrap w:val="0"/>
                  <w:vAlign w:val="center"/>
                </w:tcPr>
                <w:p w14:paraId="30834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具体要求</w:t>
                  </w:r>
                </w:p>
              </w:tc>
              <w:tc>
                <w:tcPr>
                  <w:tcW w:w="1504" w:type="dxa"/>
                  <w:tcBorders>
                    <w:tl2br w:val="nil"/>
                    <w:tr2bl w:val="nil"/>
                  </w:tcBorders>
                  <w:noWrap w:val="0"/>
                  <w:vAlign w:val="center"/>
                </w:tcPr>
                <w:p w14:paraId="239A7E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本项目情况</w:t>
                  </w:r>
                </w:p>
              </w:tc>
              <w:tc>
                <w:tcPr>
                  <w:tcW w:w="897" w:type="dxa"/>
                  <w:tcBorders>
                    <w:tl2br w:val="nil"/>
                    <w:tr2bl w:val="nil"/>
                  </w:tcBorders>
                  <w:noWrap w:val="0"/>
                  <w:vAlign w:val="center"/>
                </w:tcPr>
                <w:p w14:paraId="0C7BB0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符合性</w:t>
                  </w:r>
                </w:p>
              </w:tc>
            </w:tr>
            <w:tr w14:paraId="2FDF2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8" w:type="dxa"/>
                  <w:tcBorders>
                    <w:tl2br w:val="nil"/>
                    <w:tr2bl w:val="nil"/>
                  </w:tcBorders>
                  <w:noWrap w:val="0"/>
                  <w:vAlign w:val="center"/>
                </w:tcPr>
                <w:p w14:paraId="756565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5529" w:type="dxa"/>
                  <w:tcBorders>
                    <w:tl2br w:val="nil"/>
                    <w:tr2bl w:val="nil"/>
                  </w:tcBorders>
                  <w:noWrap w:val="0"/>
                  <w:vAlign w:val="center"/>
                </w:tcPr>
                <w:p w14:paraId="4FA5AD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严格环境准入。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多措并举治理环保领域低价低质中标乱象，营造公平竞争环境，推动产业健康有序发展。</w:t>
                  </w:r>
                </w:p>
              </w:tc>
              <w:tc>
                <w:tcPr>
                  <w:tcW w:w="1504" w:type="dxa"/>
                  <w:tcBorders>
                    <w:tl2br w:val="nil"/>
                    <w:tr2bl w:val="nil"/>
                  </w:tcBorders>
                  <w:noWrap w:val="0"/>
                  <w:vAlign w:val="center"/>
                </w:tcPr>
                <w:p w14:paraId="5D633F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本项目符合国家及</w:t>
                  </w:r>
                  <w:r>
                    <w:rPr>
                      <w:rFonts w:hint="eastAsia" w:ascii="Times New Roman" w:hAnsi="Times New Roman" w:eastAsia="宋体" w:cs="Times New Roman"/>
                      <w:sz w:val="21"/>
                      <w:szCs w:val="21"/>
                      <w:lang w:val="en-US" w:eastAsia="zh-CN"/>
                    </w:rPr>
                    <w:t>地方</w:t>
                  </w:r>
                  <w:r>
                    <w:rPr>
                      <w:rFonts w:hint="eastAsia" w:ascii="Times New Roman" w:hAnsi="Times New Roman" w:eastAsia="宋体" w:cs="Times New Roman"/>
                      <w:sz w:val="21"/>
                      <w:szCs w:val="21"/>
                    </w:rPr>
                    <w:t>产业规划、产业政策，符合济宁市生态环境分区管控方案。</w:t>
                  </w:r>
                </w:p>
              </w:tc>
              <w:tc>
                <w:tcPr>
                  <w:tcW w:w="897" w:type="dxa"/>
                  <w:tcBorders>
                    <w:tl2br w:val="nil"/>
                    <w:tr2bl w:val="nil"/>
                  </w:tcBorders>
                  <w:noWrap w:val="0"/>
                  <w:vAlign w:val="center"/>
                </w:tcPr>
                <w:p w14:paraId="5E408D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4B079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38" w:type="dxa"/>
                  <w:tcBorders>
                    <w:tl2br w:val="nil"/>
                    <w:tr2bl w:val="nil"/>
                  </w:tcBorders>
                  <w:noWrap w:val="0"/>
                  <w:vAlign w:val="center"/>
                </w:tcPr>
                <w:p w14:paraId="2FA666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5529" w:type="dxa"/>
                  <w:tcBorders>
                    <w:tl2br w:val="nil"/>
                    <w:tr2bl w:val="nil"/>
                  </w:tcBorders>
                  <w:noWrap w:val="0"/>
                  <w:vAlign w:val="center"/>
                </w:tcPr>
                <w:p w14:paraId="710C12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快推进能源低碳转型。推进清洁能源倍增行动，到2025年，非化石能源消费比重提高到14%以上，电能占终端能源消费比重达30%以上，新能源和可再生能源发电装机规模达到650万千瓦以上。配合做好“外电入鲁”。持续增加天然气生产供应，新增天然气优先保障居民生活和清洁取暖需求。</w:t>
                  </w:r>
                </w:p>
              </w:tc>
              <w:tc>
                <w:tcPr>
                  <w:tcW w:w="1504" w:type="dxa"/>
                  <w:tcBorders>
                    <w:tl2br w:val="nil"/>
                    <w:tr2bl w:val="nil"/>
                  </w:tcBorders>
                  <w:noWrap w:val="0"/>
                  <w:vAlign w:val="center"/>
                </w:tcPr>
                <w:p w14:paraId="792778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本项目建成后可减少燃煤使用量。</w:t>
                  </w:r>
                </w:p>
              </w:tc>
              <w:tc>
                <w:tcPr>
                  <w:tcW w:w="897" w:type="dxa"/>
                  <w:tcBorders>
                    <w:tl2br w:val="nil"/>
                    <w:tr2bl w:val="nil"/>
                  </w:tcBorders>
                  <w:noWrap w:val="0"/>
                  <w:vAlign w:val="center"/>
                </w:tcPr>
                <w:p w14:paraId="13334B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219FA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8" w:type="dxa"/>
                  <w:tcBorders>
                    <w:tl2br w:val="nil"/>
                    <w:tr2bl w:val="nil"/>
                  </w:tcBorders>
                  <w:noWrap w:val="0"/>
                  <w:vAlign w:val="center"/>
                </w:tcPr>
                <w:p w14:paraId="0696A0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5529" w:type="dxa"/>
                  <w:tcBorders>
                    <w:tl2br w:val="nil"/>
                    <w:tr2bl w:val="nil"/>
                  </w:tcBorders>
                  <w:noWrap w:val="0"/>
                  <w:vAlign w:val="center"/>
                </w:tcPr>
                <w:p w14:paraId="3222AF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推进清洁取暖。因地制宜成片推进清洁取暖，加大散煤替代力度，平原地区散煤基本清零，逐步推进山区散煤清洁能源替代。引导规模化养殖场采用清洁能源供暖。依法将整体完成清洁取暖改造的地区划定为高污染燃料禁燃区，并禁止燃烧高污染燃料。对暂未实施清洁取暖的地区，强化商品煤质量监管。</w:t>
                  </w:r>
                </w:p>
              </w:tc>
              <w:tc>
                <w:tcPr>
                  <w:tcW w:w="1504" w:type="dxa"/>
                  <w:tcBorders>
                    <w:tl2br w:val="nil"/>
                    <w:tr2bl w:val="nil"/>
                  </w:tcBorders>
                  <w:noWrap w:val="0"/>
                  <w:vAlign w:val="center"/>
                </w:tcPr>
                <w:p w14:paraId="5F9CDF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本项目</w:t>
                  </w:r>
                  <w:r>
                    <w:rPr>
                      <w:rFonts w:hint="eastAsia" w:ascii="Times New Roman" w:hAnsi="Times New Roman" w:eastAsia="宋体" w:cs="Times New Roman"/>
                      <w:sz w:val="21"/>
                      <w:szCs w:val="21"/>
                      <w:lang w:val="en-US" w:eastAsia="zh-CN"/>
                    </w:rPr>
                    <w:t>取暖不使用煤炭</w:t>
                  </w:r>
                  <w:r>
                    <w:rPr>
                      <w:rFonts w:hint="eastAsia" w:ascii="Times New Roman" w:hAnsi="Times New Roman" w:eastAsia="宋体" w:cs="Times New Roman"/>
                      <w:sz w:val="21"/>
                      <w:szCs w:val="21"/>
                      <w:lang w:eastAsia="zh-CN"/>
                    </w:rPr>
                    <w:t>。</w:t>
                  </w:r>
                </w:p>
              </w:tc>
              <w:tc>
                <w:tcPr>
                  <w:tcW w:w="897" w:type="dxa"/>
                  <w:tcBorders>
                    <w:tl2br w:val="nil"/>
                    <w:tr2bl w:val="nil"/>
                  </w:tcBorders>
                  <w:noWrap w:val="0"/>
                  <w:vAlign w:val="center"/>
                </w:tcPr>
                <w:p w14:paraId="1525E6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bl>
          <w:p w14:paraId="1384FEE7">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2"/>
              <w:textAlignment w:val="auto"/>
              <w:rPr>
                <w:b/>
                <w:bCs/>
                <w:color w:val="000000"/>
                <w:spacing w:val="-6"/>
                <w:sz w:val="24"/>
                <w:szCs w:val="24"/>
              </w:rPr>
            </w:pPr>
            <w:r>
              <w:rPr>
                <w:rFonts w:hint="eastAsia"/>
                <w:b/>
                <w:bCs/>
                <w:color w:val="000000"/>
                <w:sz w:val="24"/>
                <w:szCs w:val="24"/>
                <w:lang w:val="en-US" w:eastAsia="zh-CN"/>
              </w:rPr>
              <w:t>5</w:t>
            </w:r>
            <w:r>
              <w:rPr>
                <w:b/>
                <w:bCs/>
                <w:color w:val="000000"/>
                <w:sz w:val="24"/>
                <w:szCs w:val="24"/>
              </w:rPr>
              <w:t>、与《</w:t>
            </w:r>
            <w:r>
              <w:rPr>
                <w:rFonts w:hint="eastAsia"/>
                <w:b/>
                <w:bCs/>
                <w:color w:val="000000"/>
                <w:sz w:val="24"/>
                <w:szCs w:val="24"/>
              </w:rPr>
              <w:t>济宁市深入打好蓝天、碧水、净土保卫战行动计划（2021-2025年）</w:t>
            </w:r>
            <w:r>
              <w:rPr>
                <w:b/>
                <w:bCs/>
                <w:color w:val="000000"/>
                <w:sz w:val="24"/>
                <w:szCs w:val="24"/>
              </w:rPr>
              <w:t>》符合性分析</w:t>
            </w:r>
          </w:p>
          <w:p w14:paraId="7C911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spacing w:val="-6"/>
                <w:sz w:val="24"/>
                <w:szCs w:val="24"/>
              </w:rPr>
            </w:pPr>
            <w:r>
              <w:rPr>
                <w:b/>
                <w:bCs/>
                <w:color w:val="000000"/>
                <w:spacing w:val="-6"/>
                <w:sz w:val="24"/>
                <w:szCs w:val="24"/>
              </w:rPr>
              <w:t>表1-</w:t>
            </w:r>
            <w:r>
              <w:rPr>
                <w:rFonts w:hint="eastAsia"/>
                <w:b/>
                <w:bCs/>
                <w:color w:val="000000"/>
                <w:spacing w:val="-6"/>
                <w:sz w:val="24"/>
                <w:szCs w:val="24"/>
                <w:lang w:val="en-US" w:eastAsia="zh-CN"/>
              </w:rPr>
              <w:t xml:space="preserve">4 </w:t>
            </w:r>
            <w:r>
              <w:rPr>
                <w:b/>
                <w:bCs/>
                <w:color w:val="000000"/>
                <w:spacing w:val="-6"/>
                <w:sz w:val="24"/>
                <w:szCs w:val="24"/>
              </w:rPr>
              <w:t>与《</w:t>
            </w:r>
            <w:r>
              <w:rPr>
                <w:rFonts w:hint="eastAsia"/>
                <w:b/>
                <w:bCs/>
                <w:color w:val="000000"/>
                <w:spacing w:val="-6"/>
                <w:sz w:val="24"/>
                <w:szCs w:val="24"/>
              </w:rPr>
              <w:t>济宁市深入打好蓝天、碧水、净土保卫战行动计划（2021-2025年）</w:t>
            </w:r>
            <w:r>
              <w:rPr>
                <w:b/>
                <w:bCs/>
                <w:color w:val="000000"/>
                <w:spacing w:val="-6"/>
                <w:sz w:val="24"/>
                <w:szCs w:val="24"/>
              </w:rPr>
              <w:t>》符合性</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8"/>
              <w:gridCol w:w="4451"/>
              <w:gridCol w:w="1683"/>
              <w:gridCol w:w="661"/>
            </w:tblGrid>
            <w:tr w14:paraId="725A7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tcBorders>
                    <w:tl2br w:val="nil"/>
                    <w:tr2bl w:val="nil"/>
                  </w:tcBorders>
                  <w:noWrap w:val="0"/>
                  <w:vAlign w:val="center"/>
                </w:tcPr>
                <w:p w14:paraId="7AD40B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文件</w:t>
                  </w:r>
                </w:p>
              </w:tc>
              <w:tc>
                <w:tcPr>
                  <w:tcW w:w="513" w:type="dxa"/>
                  <w:tcBorders>
                    <w:tl2br w:val="nil"/>
                    <w:tr2bl w:val="nil"/>
                  </w:tcBorders>
                  <w:noWrap w:val="0"/>
                  <w:vAlign w:val="center"/>
                </w:tcPr>
                <w:p w14:paraId="03FAEC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序号</w:t>
                  </w:r>
                </w:p>
              </w:tc>
              <w:tc>
                <w:tcPr>
                  <w:tcW w:w="4682" w:type="dxa"/>
                  <w:tcBorders>
                    <w:tl2br w:val="nil"/>
                    <w:tr2bl w:val="nil"/>
                  </w:tcBorders>
                  <w:noWrap w:val="0"/>
                  <w:vAlign w:val="center"/>
                </w:tcPr>
                <w:p w14:paraId="22D2E4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具体要求</w:t>
                  </w:r>
                </w:p>
              </w:tc>
              <w:tc>
                <w:tcPr>
                  <w:tcW w:w="1770" w:type="dxa"/>
                  <w:tcBorders>
                    <w:tl2br w:val="nil"/>
                    <w:tr2bl w:val="nil"/>
                  </w:tcBorders>
                  <w:noWrap w:val="0"/>
                  <w:vAlign w:val="center"/>
                </w:tcPr>
                <w:p w14:paraId="682BEE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本项目情况</w:t>
                  </w:r>
                </w:p>
              </w:tc>
              <w:tc>
                <w:tcPr>
                  <w:tcW w:w="695" w:type="dxa"/>
                  <w:tcBorders>
                    <w:tl2br w:val="nil"/>
                    <w:tr2bl w:val="nil"/>
                  </w:tcBorders>
                  <w:noWrap w:val="0"/>
                  <w:vAlign w:val="center"/>
                </w:tcPr>
                <w:p w14:paraId="05FE00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符合性</w:t>
                  </w:r>
                </w:p>
              </w:tc>
            </w:tr>
            <w:tr w14:paraId="40839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restart"/>
                  <w:tcBorders>
                    <w:tl2br w:val="nil"/>
                    <w:tr2bl w:val="nil"/>
                  </w:tcBorders>
                  <w:noWrap w:val="0"/>
                  <w:vAlign w:val="center"/>
                </w:tcPr>
                <w:p w14:paraId="464BB2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《济宁市深入打好蓝天保卫战行动计划（2021-2025年）》</w:t>
                  </w:r>
                </w:p>
              </w:tc>
              <w:tc>
                <w:tcPr>
                  <w:tcW w:w="513" w:type="dxa"/>
                  <w:tcBorders>
                    <w:tl2br w:val="nil"/>
                    <w:tr2bl w:val="nil"/>
                  </w:tcBorders>
                  <w:noWrap w:val="0"/>
                  <w:vAlign w:val="center"/>
                </w:tcPr>
                <w:p w14:paraId="48B61F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4682" w:type="dxa"/>
                  <w:tcBorders>
                    <w:tl2br w:val="nil"/>
                    <w:tr2bl w:val="nil"/>
                  </w:tcBorders>
                  <w:noWrap w:val="0"/>
                  <w:vAlign w:val="center"/>
                </w:tcPr>
                <w:p w14:paraId="0D6D74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严格执行质量、环保、能耗、安全等法规标准，按照《产业结构调整指导目录》，对“淘汰类”落后生产工艺装备和落后产品全部淘汰出清。聚焦“高耗能、高污染、高排放、高风险”等行业，分类组织实施转移、压减、整合、关停任务。单厂区焦化产能100万吨/年以下的全部退出；除特种水泥熟料和化工配套水泥熟料生产线外，2500吨/日以下的水泥熟料生产线全部整合退出。对已完成淘汰的“散乱污”企业，建立工作台账，严禁“死灰复燃”，按照“发现一起、处置一起”的原则，实行“散乱污”企业动态清零。严格项目准入，高耗能、高排放（以下简称“两高”）项目建设做到产能减量、能耗减量、煤炭减量、碳排放减量和污染物排放减量“五个减量”替代。有序推进“两高”项目清理工作，确保“三个坚决”落实到位，未纳入国家规划的炼油、乙烯、对二甲苯、煤制油气项目，一律不得建设。</w:t>
                  </w:r>
                </w:p>
              </w:tc>
              <w:tc>
                <w:tcPr>
                  <w:tcW w:w="1770" w:type="dxa"/>
                  <w:tcBorders>
                    <w:tl2br w:val="nil"/>
                    <w:tr2bl w:val="nil"/>
                  </w:tcBorders>
                  <w:noWrap w:val="0"/>
                  <w:vAlign w:val="center"/>
                </w:tcPr>
                <w:p w14:paraId="287679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本项目符合产业政策，不属于计划中列出的退出行业，不属于“散乱污”企业，不属于“两高”项目。</w:t>
                  </w:r>
                </w:p>
              </w:tc>
              <w:tc>
                <w:tcPr>
                  <w:tcW w:w="695" w:type="dxa"/>
                  <w:tcBorders>
                    <w:tl2br w:val="nil"/>
                    <w:tr2bl w:val="nil"/>
                  </w:tcBorders>
                  <w:noWrap w:val="0"/>
                  <w:vAlign w:val="center"/>
                </w:tcPr>
                <w:p w14:paraId="14121A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6D90D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continue"/>
                  <w:tcBorders>
                    <w:tl2br w:val="nil"/>
                    <w:tr2bl w:val="nil"/>
                  </w:tcBorders>
                  <w:noWrap w:val="0"/>
                  <w:vAlign w:val="center"/>
                </w:tcPr>
                <w:p w14:paraId="0AA01D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13" w:type="dxa"/>
                  <w:tcBorders>
                    <w:tl2br w:val="nil"/>
                    <w:tr2bl w:val="nil"/>
                  </w:tcBorders>
                  <w:noWrap w:val="0"/>
                  <w:vAlign w:val="center"/>
                </w:tcPr>
                <w:p w14:paraId="401FB8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4682" w:type="dxa"/>
                  <w:tcBorders>
                    <w:tl2br w:val="nil"/>
                    <w:tr2bl w:val="nil"/>
                  </w:tcBorders>
                  <w:noWrap w:val="0"/>
                  <w:vAlign w:val="center"/>
                </w:tcPr>
                <w:p w14:paraId="0028E9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持续压减煤炭消费总量，到2025年，完成省下达我市的煤炭消费压减任务目标。</w:t>
                  </w:r>
                </w:p>
              </w:tc>
              <w:tc>
                <w:tcPr>
                  <w:tcW w:w="1770" w:type="dxa"/>
                  <w:tcBorders>
                    <w:tl2br w:val="nil"/>
                    <w:tr2bl w:val="nil"/>
                  </w:tcBorders>
                  <w:noWrap w:val="0"/>
                  <w:vAlign w:val="center"/>
                </w:tcPr>
                <w:p w14:paraId="767A69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本项目不</w:t>
                  </w:r>
                  <w:r>
                    <w:rPr>
                      <w:rFonts w:hint="eastAsia" w:ascii="Times New Roman" w:hAnsi="Times New Roman" w:eastAsia="宋体" w:cs="Times New Roman"/>
                      <w:sz w:val="21"/>
                      <w:szCs w:val="21"/>
                      <w:lang w:val="en-US" w:eastAsia="zh-CN"/>
                    </w:rPr>
                    <w:t>增加</w:t>
                  </w:r>
                  <w:r>
                    <w:rPr>
                      <w:rFonts w:hint="eastAsia" w:ascii="Times New Roman" w:hAnsi="Times New Roman" w:eastAsia="宋体" w:cs="Times New Roman"/>
                      <w:sz w:val="21"/>
                      <w:szCs w:val="21"/>
                    </w:rPr>
                    <w:t>使用煤炭</w:t>
                  </w:r>
                  <w:r>
                    <w:rPr>
                      <w:rFonts w:hint="eastAsia" w:ascii="Times New Roman" w:hAnsi="Times New Roman" w:eastAsia="宋体" w:cs="Times New Roman"/>
                      <w:sz w:val="21"/>
                      <w:szCs w:val="21"/>
                      <w:lang w:eastAsia="zh-CN"/>
                    </w:rPr>
                    <w:t>。</w:t>
                  </w:r>
                </w:p>
              </w:tc>
              <w:tc>
                <w:tcPr>
                  <w:tcW w:w="695" w:type="dxa"/>
                  <w:tcBorders>
                    <w:tl2br w:val="nil"/>
                    <w:tr2bl w:val="nil"/>
                  </w:tcBorders>
                  <w:noWrap w:val="0"/>
                  <w:vAlign w:val="center"/>
                </w:tcPr>
                <w:p w14:paraId="18ACC9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46771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continue"/>
                  <w:tcBorders>
                    <w:tl2br w:val="nil"/>
                    <w:tr2bl w:val="nil"/>
                  </w:tcBorders>
                  <w:noWrap w:val="0"/>
                  <w:vAlign w:val="center"/>
                </w:tcPr>
                <w:p w14:paraId="60E424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13" w:type="dxa"/>
                  <w:tcBorders>
                    <w:tl2br w:val="nil"/>
                    <w:tr2bl w:val="nil"/>
                  </w:tcBorders>
                  <w:noWrap w:val="0"/>
                  <w:vAlign w:val="center"/>
                </w:tcPr>
                <w:p w14:paraId="4C0C6F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4682" w:type="dxa"/>
                  <w:tcBorders>
                    <w:tl2br w:val="nil"/>
                    <w:tr2bl w:val="nil"/>
                  </w:tcBorders>
                  <w:noWrap w:val="0"/>
                  <w:vAlign w:val="center"/>
                </w:tcPr>
                <w:p w14:paraId="4F327F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开展VOCs原辅材料替代调查潜力评估，实施低VOCs含量工业涂料、油墨、胶粘剂、清洗剂等原辅料使用替代，新、改、扩建工业涂装、包装印刷等含VOCs原辅材料使用的项目，原则上应使用低（无）VOCs含量产品。</w:t>
                  </w:r>
                </w:p>
              </w:tc>
              <w:tc>
                <w:tcPr>
                  <w:tcW w:w="1770" w:type="dxa"/>
                  <w:tcBorders>
                    <w:tl2br w:val="nil"/>
                    <w:tr2bl w:val="nil"/>
                  </w:tcBorders>
                  <w:noWrap w:val="0"/>
                  <w:vAlign w:val="center"/>
                </w:tcPr>
                <w:p w14:paraId="78096D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本项目不涉及VOCs原辅材料替代</w:t>
                  </w:r>
                  <w:r>
                    <w:rPr>
                      <w:rFonts w:hint="eastAsia" w:ascii="Times New Roman" w:hAnsi="Times New Roman" w:eastAsia="宋体" w:cs="Times New Roman"/>
                      <w:sz w:val="21"/>
                      <w:szCs w:val="21"/>
                      <w:lang w:eastAsia="zh-CN"/>
                    </w:rPr>
                    <w:t>。</w:t>
                  </w:r>
                </w:p>
              </w:tc>
              <w:tc>
                <w:tcPr>
                  <w:tcW w:w="695" w:type="dxa"/>
                  <w:tcBorders>
                    <w:tl2br w:val="nil"/>
                    <w:tr2bl w:val="nil"/>
                  </w:tcBorders>
                  <w:noWrap w:val="0"/>
                  <w:vAlign w:val="center"/>
                </w:tcPr>
                <w:p w14:paraId="65271C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3D8AB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continue"/>
                  <w:tcBorders>
                    <w:tl2br w:val="nil"/>
                    <w:tr2bl w:val="nil"/>
                  </w:tcBorders>
                  <w:noWrap w:val="0"/>
                  <w:vAlign w:val="center"/>
                </w:tcPr>
                <w:p w14:paraId="5C88A8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13" w:type="dxa"/>
                  <w:tcBorders>
                    <w:tl2br w:val="nil"/>
                    <w:tr2bl w:val="nil"/>
                  </w:tcBorders>
                  <w:noWrap w:val="0"/>
                  <w:vAlign w:val="center"/>
                </w:tcPr>
                <w:p w14:paraId="2047B2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4682" w:type="dxa"/>
                  <w:tcBorders>
                    <w:tl2br w:val="nil"/>
                    <w:tr2bl w:val="nil"/>
                  </w:tcBorders>
                  <w:noWrap w:val="0"/>
                  <w:vAlign w:val="center"/>
                </w:tcPr>
                <w:p w14:paraId="5ABCA9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强施工扬尘精细化管控，建立并动态更新施工工地清单。全面推行绿色施工，将扬尘污染防治费用纳入工程造价，各类施工工地严格落实扬尘污染防治措施，其中建筑施工工地严格按照导则执行。规模以上建筑施工工地安装在线监测和视频监控设施，并接入当地监管平台。加强执法监管，对问题严重的依法依规实施联合惩戒。</w:t>
                  </w:r>
                </w:p>
              </w:tc>
              <w:tc>
                <w:tcPr>
                  <w:tcW w:w="1770" w:type="dxa"/>
                  <w:tcBorders>
                    <w:tl2br w:val="nil"/>
                    <w:tr2bl w:val="nil"/>
                  </w:tcBorders>
                  <w:noWrap w:val="0"/>
                  <w:vAlign w:val="center"/>
                </w:tcPr>
                <w:p w14:paraId="26CE72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项目施工期</w:t>
                  </w:r>
                  <w:r>
                    <w:rPr>
                      <w:rFonts w:hint="eastAsia" w:ascii="Times New Roman" w:hAnsi="Times New Roman" w:eastAsia="宋体" w:cs="Times New Roman"/>
                      <w:sz w:val="21"/>
                      <w:szCs w:val="21"/>
                      <w:lang w:val="en-US" w:eastAsia="zh-CN"/>
                    </w:rPr>
                    <w:t>无土建作业，基本无扬尘污染。</w:t>
                  </w:r>
                </w:p>
              </w:tc>
              <w:tc>
                <w:tcPr>
                  <w:tcW w:w="695" w:type="dxa"/>
                  <w:tcBorders>
                    <w:tl2br w:val="nil"/>
                    <w:tr2bl w:val="nil"/>
                  </w:tcBorders>
                  <w:noWrap w:val="0"/>
                  <w:vAlign w:val="center"/>
                </w:tcPr>
                <w:p w14:paraId="0638CD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0C26C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restart"/>
                  <w:tcBorders>
                    <w:tl2br w:val="nil"/>
                    <w:tr2bl w:val="nil"/>
                  </w:tcBorders>
                  <w:noWrap w:val="0"/>
                  <w:vAlign w:val="center"/>
                </w:tcPr>
                <w:p w14:paraId="5D855B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《济宁市深入打好碧水保卫战行动计划（2021-2025年）》</w:t>
                  </w:r>
                </w:p>
              </w:tc>
              <w:tc>
                <w:tcPr>
                  <w:tcW w:w="513" w:type="dxa"/>
                  <w:tcBorders>
                    <w:tl2br w:val="nil"/>
                    <w:tr2bl w:val="nil"/>
                  </w:tcBorders>
                  <w:noWrap w:val="0"/>
                  <w:vAlign w:val="center"/>
                </w:tcPr>
                <w:p w14:paraId="5F3FE1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4682" w:type="dxa"/>
                  <w:tcBorders>
                    <w:tl2br w:val="nil"/>
                    <w:tr2bl w:val="nil"/>
                  </w:tcBorders>
                  <w:noWrap w:val="0"/>
                  <w:vAlign w:val="center"/>
                </w:tcPr>
                <w:p w14:paraId="1634B2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治理硫酸盐与氟化物。以4条硫酸盐浓度和2条氟化物浓度较高的河流为重点，实施流域内造纸、化工、玻璃、煤矿等行业的涉硫涉氟工矿企业特征污染物治理。</w:t>
                  </w:r>
                </w:p>
              </w:tc>
              <w:tc>
                <w:tcPr>
                  <w:tcW w:w="1770" w:type="dxa"/>
                  <w:tcBorders>
                    <w:tl2br w:val="nil"/>
                    <w:tr2bl w:val="nil"/>
                  </w:tcBorders>
                  <w:noWrap w:val="0"/>
                  <w:vAlign w:val="center"/>
                </w:tcPr>
                <w:p w14:paraId="611F1D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项目不属于涉硫涉氟重点行业。</w:t>
                  </w:r>
                </w:p>
              </w:tc>
              <w:tc>
                <w:tcPr>
                  <w:tcW w:w="695" w:type="dxa"/>
                  <w:tcBorders>
                    <w:tl2br w:val="nil"/>
                    <w:tr2bl w:val="nil"/>
                  </w:tcBorders>
                  <w:noWrap w:val="0"/>
                  <w:vAlign w:val="center"/>
                </w:tcPr>
                <w:p w14:paraId="12B9FD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76390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continue"/>
                  <w:tcBorders>
                    <w:tl2br w:val="nil"/>
                    <w:tr2bl w:val="nil"/>
                  </w:tcBorders>
                  <w:noWrap w:val="0"/>
                  <w:vAlign w:val="center"/>
                </w:tcPr>
                <w:p w14:paraId="19061F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13" w:type="dxa"/>
                  <w:tcBorders>
                    <w:tl2br w:val="nil"/>
                    <w:tr2bl w:val="nil"/>
                  </w:tcBorders>
                  <w:noWrap w:val="0"/>
                  <w:vAlign w:val="center"/>
                </w:tcPr>
                <w:p w14:paraId="05C187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4682" w:type="dxa"/>
                  <w:tcBorders>
                    <w:tl2br w:val="nil"/>
                    <w:tr2bl w:val="nil"/>
                  </w:tcBorders>
                  <w:noWrap w:val="0"/>
                  <w:vAlign w:val="center"/>
                </w:tcPr>
                <w:p w14:paraId="1BFC80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治理氮磷污染。聚集化工、原料药制造、造纸、冶金、电镀、印染、食品加工等工业企业，以万福河等氮磷浓度较高的入湖河流为重点，加强氮磷排放控制和排放监管。</w:t>
                  </w:r>
                </w:p>
              </w:tc>
              <w:tc>
                <w:tcPr>
                  <w:tcW w:w="1770" w:type="dxa"/>
                  <w:tcBorders>
                    <w:tl2br w:val="nil"/>
                    <w:tr2bl w:val="nil"/>
                  </w:tcBorders>
                  <w:noWrap w:val="0"/>
                  <w:vAlign w:val="center"/>
                </w:tcPr>
                <w:p w14:paraId="59DEC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w:t>
                  </w:r>
                  <w:r>
                    <w:rPr>
                      <w:rFonts w:hint="eastAsia" w:ascii="Times New Roman" w:hAnsi="Times New Roman" w:eastAsia="宋体" w:cs="Times New Roman"/>
                      <w:sz w:val="21"/>
                      <w:szCs w:val="21"/>
                    </w:rPr>
                    <w:t>项目</w:t>
                  </w:r>
                  <w:r>
                    <w:rPr>
                      <w:rFonts w:hint="eastAsia" w:ascii="Times New Roman" w:hAnsi="Times New Roman" w:eastAsia="宋体" w:cs="Times New Roman"/>
                      <w:sz w:val="21"/>
                      <w:szCs w:val="21"/>
                      <w:lang w:val="en-US" w:eastAsia="zh-CN"/>
                    </w:rPr>
                    <w:t>无新增废水。</w:t>
                  </w:r>
                </w:p>
              </w:tc>
              <w:tc>
                <w:tcPr>
                  <w:tcW w:w="695" w:type="dxa"/>
                  <w:tcBorders>
                    <w:tl2br w:val="nil"/>
                    <w:tr2bl w:val="nil"/>
                  </w:tcBorders>
                  <w:noWrap w:val="0"/>
                  <w:vAlign w:val="center"/>
                </w:tcPr>
                <w:p w14:paraId="212EAE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3B8F7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continue"/>
                  <w:tcBorders>
                    <w:tl2br w:val="nil"/>
                    <w:tr2bl w:val="nil"/>
                  </w:tcBorders>
                  <w:noWrap w:val="0"/>
                  <w:vAlign w:val="center"/>
                </w:tcPr>
                <w:p w14:paraId="1BF123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13" w:type="dxa"/>
                  <w:tcBorders>
                    <w:tl2br w:val="nil"/>
                    <w:tr2bl w:val="nil"/>
                  </w:tcBorders>
                  <w:noWrap w:val="0"/>
                  <w:vAlign w:val="center"/>
                </w:tcPr>
                <w:p w14:paraId="707034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4682" w:type="dxa"/>
                  <w:tcBorders>
                    <w:tl2br w:val="nil"/>
                    <w:tr2bl w:val="nil"/>
                  </w:tcBorders>
                  <w:noWrap w:val="0"/>
                  <w:vAlign w:val="center"/>
                </w:tcPr>
                <w:p w14:paraId="283BB9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推进园区污染治理提升。继续推进化工、有色金属、农副食品加工、印染、制革、原料药制造、电镀、冶金等行业退城入园，提高工业园区集聚水平。</w:t>
                  </w:r>
                </w:p>
              </w:tc>
              <w:tc>
                <w:tcPr>
                  <w:tcW w:w="1770" w:type="dxa"/>
                  <w:tcBorders>
                    <w:tl2br w:val="nil"/>
                    <w:tr2bl w:val="nil"/>
                  </w:tcBorders>
                  <w:noWrap w:val="0"/>
                  <w:vAlign w:val="center"/>
                </w:tcPr>
                <w:p w14:paraId="438513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项目</w:t>
                  </w:r>
                  <w:r>
                    <w:rPr>
                      <w:rFonts w:hint="eastAsia" w:ascii="Times New Roman" w:hAnsi="Times New Roman" w:eastAsia="宋体" w:cs="Times New Roman"/>
                      <w:sz w:val="21"/>
                      <w:szCs w:val="21"/>
                      <w:lang w:val="en-US" w:eastAsia="zh-CN"/>
                    </w:rPr>
                    <w:t>位于现有厂区内。</w:t>
                  </w:r>
                </w:p>
              </w:tc>
              <w:tc>
                <w:tcPr>
                  <w:tcW w:w="695" w:type="dxa"/>
                  <w:tcBorders>
                    <w:tl2br w:val="nil"/>
                    <w:tr2bl w:val="nil"/>
                  </w:tcBorders>
                  <w:noWrap w:val="0"/>
                  <w:vAlign w:val="center"/>
                </w:tcPr>
                <w:p w14:paraId="262D36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49658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restart"/>
                  <w:tcBorders>
                    <w:tl2br w:val="nil"/>
                    <w:tr2bl w:val="nil"/>
                  </w:tcBorders>
                  <w:noWrap w:val="0"/>
                  <w:vAlign w:val="center"/>
                </w:tcPr>
                <w:p w14:paraId="5CD4FD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《济宁市深入打好净土保卫战行动计划（2021-2025年）》</w:t>
                  </w:r>
                </w:p>
              </w:tc>
              <w:tc>
                <w:tcPr>
                  <w:tcW w:w="513" w:type="dxa"/>
                  <w:tcBorders>
                    <w:tl2br w:val="nil"/>
                    <w:tr2bl w:val="nil"/>
                  </w:tcBorders>
                  <w:noWrap w:val="0"/>
                  <w:vAlign w:val="center"/>
                </w:tcPr>
                <w:p w14:paraId="5A4669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4682" w:type="dxa"/>
                  <w:tcBorders>
                    <w:tl2br w:val="nil"/>
                    <w:tr2bl w:val="nil"/>
                  </w:tcBorders>
                  <w:noWrap w:val="0"/>
                  <w:vAlign w:val="center"/>
                </w:tcPr>
                <w:p w14:paraId="6F9810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年更新土壤污染重点监管单位名录并向社会公开。全市93家土壤污染重点监管单位在2021年年底前应完成一轮隐患排查，制定整改方案并落实。新增纳入土壤污染重点监管单位名录的单位，在一年内应开展隐患排查，2025年年底前，至少完成一轮隐患排查。土壤污染重点监管单位应制定、实施自行监测方案，将监测数据公开并报生态环境部门；严格控制有毒有害物质排放，并按年度向生态环境部门报告排放情况；法定义务在排污许可证发放和变更时应予以载明。生态环境部门每年随机抽取10%的土壤污染重点监管单位开展周边土壤环境监测。</w:t>
                  </w:r>
                </w:p>
              </w:tc>
              <w:tc>
                <w:tcPr>
                  <w:tcW w:w="1770" w:type="dxa"/>
                  <w:tcBorders>
                    <w:tl2br w:val="nil"/>
                    <w:tr2bl w:val="nil"/>
                  </w:tcBorders>
                  <w:noWrap w:val="0"/>
                  <w:vAlign w:val="center"/>
                </w:tcPr>
                <w:p w14:paraId="3E8899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w:t>
                  </w:r>
                  <w:r>
                    <w:rPr>
                      <w:rFonts w:hint="eastAsia" w:ascii="Times New Roman" w:hAnsi="Times New Roman" w:eastAsia="宋体" w:cs="Times New Roman"/>
                      <w:sz w:val="21"/>
                      <w:szCs w:val="21"/>
                      <w:lang w:val="en-US" w:eastAsia="zh-CN"/>
                    </w:rPr>
                    <w:t>企业</w:t>
                  </w:r>
                  <w:r>
                    <w:rPr>
                      <w:rFonts w:hint="eastAsia" w:ascii="Times New Roman" w:hAnsi="Times New Roman" w:eastAsia="宋体" w:cs="Times New Roman"/>
                      <w:sz w:val="21"/>
                      <w:szCs w:val="21"/>
                    </w:rPr>
                    <w:t>属于土壤污染重点监管单位</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按照要求进行隐患排查、自行监测等</w:t>
                  </w:r>
                  <w:r>
                    <w:rPr>
                      <w:rFonts w:hint="eastAsia" w:ascii="Times New Roman" w:hAnsi="Times New Roman" w:eastAsia="宋体" w:cs="Times New Roman"/>
                      <w:sz w:val="21"/>
                      <w:szCs w:val="21"/>
                    </w:rPr>
                    <w:t>。</w:t>
                  </w:r>
                </w:p>
              </w:tc>
              <w:tc>
                <w:tcPr>
                  <w:tcW w:w="695" w:type="dxa"/>
                  <w:tcBorders>
                    <w:tl2br w:val="nil"/>
                    <w:tr2bl w:val="nil"/>
                  </w:tcBorders>
                  <w:noWrap w:val="0"/>
                  <w:vAlign w:val="center"/>
                </w:tcPr>
                <w:p w14:paraId="317571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35FFA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8" w:type="dxa"/>
                  <w:vMerge w:val="continue"/>
                  <w:tcBorders>
                    <w:tl2br w:val="nil"/>
                    <w:tr2bl w:val="nil"/>
                  </w:tcBorders>
                  <w:noWrap w:val="0"/>
                  <w:vAlign w:val="center"/>
                </w:tcPr>
                <w:p w14:paraId="7FF75D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13" w:type="dxa"/>
                  <w:tcBorders>
                    <w:tl2br w:val="nil"/>
                    <w:tr2bl w:val="nil"/>
                  </w:tcBorders>
                  <w:noWrap w:val="0"/>
                  <w:vAlign w:val="center"/>
                </w:tcPr>
                <w:p w14:paraId="00E2AC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4682" w:type="dxa"/>
                  <w:tcBorders>
                    <w:tl2br w:val="nil"/>
                    <w:tr2bl w:val="nil"/>
                  </w:tcBorders>
                  <w:noWrap w:val="0"/>
                  <w:vAlign w:val="center"/>
                </w:tcPr>
                <w:p w14:paraId="64509F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推进涉镉等重金属重点行业企业排查，2021年年底前，逐一核实纳入涉整治清单企业整治情况，实施污染源整治清单动态更新。完善全口径涉重金属重点行业企业清单，依法依规纳入重点排污单位名录。持续减少重金属污染物排放。开展涉铊企业排查整治。</w:t>
                  </w:r>
                </w:p>
              </w:tc>
              <w:tc>
                <w:tcPr>
                  <w:tcW w:w="1770" w:type="dxa"/>
                  <w:tcBorders>
                    <w:tl2br w:val="nil"/>
                    <w:tr2bl w:val="nil"/>
                  </w:tcBorders>
                  <w:noWrap w:val="0"/>
                  <w:vAlign w:val="center"/>
                </w:tcPr>
                <w:p w14:paraId="639DF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项目不属于涉重金属行业企业。</w:t>
                  </w:r>
                </w:p>
              </w:tc>
              <w:tc>
                <w:tcPr>
                  <w:tcW w:w="695" w:type="dxa"/>
                  <w:tcBorders>
                    <w:tl2br w:val="nil"/>
                    <w:tr2bl w:val="nil"/>
                  </w:tcBorders>
                  <w:noWrap w:val="0"/>
                  <w:vAlign w:val="center"/>
                </w:tcPr>
                <w:p w14:paraId="0096CD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bl>
          <w:p w14:paraId="4004D3F4">
            <w:pPr>
              <w:adjustRightInd w:val="0"/>
              <w:snapToGrid w:val="0"/>
              <w:spacing w:line="480" w:lineRule="exact"/>
              <w:ind w:firstLine="482" w:firstLineChars="200"/>
              <w:rPr>
                <w:b/>
                <w:bCs/>
                <w:color w:val="000000"/>
                <w:sz w:val="24"/>
              </w:rPr>
            </w:pPr>
            <w:r>
              <w:rPr>
                <w:rFonts w:hint="eastAsia" w:eastAsia="新宋体"/>
                <w:b/>
                <w:bCs/>
                <w:color w:val="000000"/>
                <w:sz w:val="24"/>
                <w:lang w:val="en-US" w:eastAsia="zh-CN"/>
              </w:rPr>
              <w:t>6</w:t>
            </w:r>
            <w:r>
              <w:rPr>
                <w:rFonts w:eastAsia="新宋体"/>
                <w:b/>
                <w:bCs/>
                <w:color w:val="000000"/>
                <w:sz w:val="24"/>
              </w:rPr>
              <w:t>、</w:t>
            </w:r>
            <w:r>
              <w:rPr>
                <w:b/>
                <w:bCs/>
                <w:color w:val="000000"/>
                <w:sz w:val="24"/>
              </w:rPr>
              <w:t>项目与《济宁市“十四五”生态环境保护规划》的符合性分析</w:t>
            </w:r>
          </w:p>
          <w:p w14:paraId="0728950D">
            <w:pPr>
              <w:snapToGrid w:val="0"/>
              <w:spacing w:line="480" w:lineRule="exact"/>
              <w:ind w:firstLine="482" w:firstLineChars="200"/>
              <w:jc w:val="center"/>
              <w:rPr>
                <w:b/>
                <w:bCs/>
                <w:color w:val="000000"/>
                <w:sz w:val="24"/>
              </w:rPr>
            </w:pPr>
            <w:r>
              <w:rPr>
                <w:b/>
                <w:bCs/>
                <w:color w:val="000000"/>
                <w:sz w:val="24"/>
              </w:rPr>
              <w:t>表1-</w:t>
            </w:r>
            <w:r>
              <w:rPr>
                <w:rFonts w:hint="eastAsia"/>
                <w:b/>
                <w:bCs/>
                <w:color w:val="000000"/>
                <w:sz w:val="24"/>
                <w:lang w:val="en-US" w:eastAsia="zh-CN"/>
              </w:rPr>
              <w:t>5</w:t>
            </w:r>
            <w:r>
              <w:rPr>
                <w:rFonts w:hint="eastAsia"/>
                <w:b/>
                <w:bCs/>
                <w:color w:val="000000"/>
                <w:sz w:val="24"/>
              </w:rPr>
              <w:t xml:space="preserve"> </w:t>
            </w:r>
            <w:r>
              <w:rPr>
                <w:b/>
                <w:bCs/>
                <w:color w:val="000000"/>
                <w:sz w:val="24"/>
              </w:rPr>
              <w:t xml:space="preserve"> 与《济宁市“十四五”生态环境保护规划》符合情况</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5335"/>
              <w:gridCol w:w="1353"/>
              <w:gridCol w:w="852"/>
            </w:tblGrid>
            <w:tr w14:paraId="45C04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30" w:type="dxa"/>
                  <w:tcBorders>
                    <w:tl2br w:val="nil"/>
                    <w:tr2bl w:val="nil"/>
                  </w:tcBorders>
                  <w:noWrap w:val="0"/>
                  <w:vAlign w:val="center"/>
                </w:tcPr>
                <w:p w14:paraId="62E1CD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序号</w:t>
                  </w:r>
                </w:p>
              </w:tc>
              <w:tc>
                <w:tcPr>
                  <w:tcW w:w="5552" w:type="dxa"/>
                  <w:tcBorders>
                    <w:tl2br w:val="nil"/>
                    <w:tr2bl w:val="nil"/>
                  </w:tcBorders>
                  <w:noWrap w:val="0"/>
                  <w:vAlign w:val="center"/>
                </w:tcPr>
                <w:p w14:paraId="6613DA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具体要求</w:t>
                  </w:r>
                </w:p>
              </w:tc>
              <w:tc>
                <w:tcPr>
                  <w:tcW w:w="1408" w:type="dxa"/>
                  <w:tcBorders>
                    <w:tl2br w:val="nil"/>
                    <w:tr2bl w:val="nil"/>
                  </w:tcBorders>
                  <w:noWrap w:val="0"/>
                  <w:vAlign w:val="center"/>
                </w:tcPr>
                <w:p w14:paraId="06F3D9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本项目情况</w:t>
                  </w:r>
                </w:p>
              </w:tc>
              <w:tc>
                <w:tcPr>
                  <w:tcW w:w="887" w:type="dxa"/>
                  <w:tcBorders>
                    <w:tl2br w:val="nil"/>
                    <w:tr2bl w:val="nil"/>
                  </w:tcBorders>
                  <w:noWrap w:val="0"/>
                  <w:vAlign w:val="center"/>
                </w:tcPr>
                <w:p w14:paraId="1A04AE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符合性</w:t>
                  </w:r>
                </w:p>
              </w:tc>
            </w:tr>
            <w:tr w14:paraId="78205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tcBorders>
                    <w:tl2br w:val="nil"/>
                    <w:tr2bl w:val="nil"/>
                  </w:tcBorders>
                  <w:noWrap w:val="0"/>
                  <w:vAlign w:val="center"/>
                </w:tcPr>
                <w:p w14:paraId="7A6CDD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5552" w:type="dxa"/>
                  <w:tcBorders>
                    <w:tl2br w:val="nil"/>
                    <w:tr2bl w:val="nil"/>
                  </w:tcBorders>
                  <w:noWrap w:val="0"/>
                  <w:vAlign w:val="center"/>
                </w:tcPr>
                <w:p w14:paraId="38EFCD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优化国土空间开发与保护格局。落实主体功能区战略，构建以生态保护红线、环境质量底线、资源利用上线和生态环境准入清单为核心的“三线一单”生态环境分区管控体系，建立更新调整和跟踪评估长效机制，推动“三线一单”数据的信息化和共建共享，加强“三线一单”在政策制定、环境准入、园区管理、执法监管等方面的应用。依据资源环境承载能力，将“三线一单”作为区域资源开发、布局优化、结构调整、城镇建设、重大项目选址和审批的重要依据，统筹安排城市建设、产业发展、生态涵养、基础设施和公共服务，优化国土空间开发布局和强度，规范国土空间开发行为，减少人类活动对自然生态空间的占用，推动形成合理有序的城市化地区、农产品主产区、生态功能区格局。</w:t>
                  </w:r>
                </w:p>
              </w:tc>
              <w:tc>
                <w:tcPr>
                  <w:tcW w:w="1408" w:type="dxa"/>
                  <w:tcBorders>
                    <w:tl2br w:val="nil"/>
                    <w:tr2bl w:val="nil"/>
                  </w:tcBorders>
                  <w:noWrap w:val="0"/>
                  <w:vAlign w:val="center"/>
                </w:tcPr>
                <w:p w14:paraId="0287CF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本项目建设符合“三线一单”分区管控要求。</w:t>
                  </w:r>
                </w:p>
              </w:tc>
              <w:tc>
                <w:tcPr>
                  <w:tcW w:w="887" w:type="dxa"/>
                  <w:tcBorders>
                    <w:tl2br w:val="nil"/>
                    <w:tr2bl w:val="nil"/>
                  </w:tcBorders>
                  <w:noWrap w:val="0"/>
                  <w:vAlign w:val="center"/>
                </w:tcPr>
                <w:p w14:paraId="51D303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59AEC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730" w:type="dxa"/>
                  <w:tcBorders>
                    <w:tl2br w:val="nil"/>
                    <w:tr2bl w:val="nil"/>
                  </w:tcBorders>
                  <w:noWrap w:val="0"/>
                  <w:vAlign w:val="center"/>
                </w:tcPr>
                <w:p w14:paraId="75B787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5552" w:type="dxa"/>
                  <w:tcBorders>
                    <w:tl2br w:val="nil"/>
                    <w:tr2bl w:val="nil"/>
                  </w:tcBorders>
                  <w:noWrap w:val="0"/>
                  <w:vAlign w:val="center"/>
                </w:tcPr>
                <w:p w14:paraId="6953FC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坚决遏制“两高”项目盲目发展。坚持环境质量“只能更好，不能变坏”的底线，严格落实污染物排放总量和产能总量控制刚性要求。实施“四上四压”，坚持“上</w:t>
                  </w:r>
                  <w:r>
                    <w:rPr>
                      <w:rFonts w:hint="eastAsia" w:ascii="Times New Roman" w:hAnsi="Times New Roman" w:eastAsia="宋体" w:cs="Times New Roman"/>
                      <w:sz w:val="21"/>
                      <w:szCs w:val="21"/>
                    </w:rPr>
                    <w:cr/>
                  </w:r>
                  <w:r>
                    <w:rPr>
                      <w:rFonts w:hint="eastAsia" w:ascii="Times New Roman" w:hAnsi="Times New Roman" w:eastAsia="宋体" w:cs="Times New Roman"/>
                      <w:sz w:val="21"/>
                      <w:szCs w:val="21"/>
                    </w:rPr>
                    <w:t>压旧”“上大压小”“</w:t>
                  </w:r>
                  <w:r>
                    <w:rPr>
                      <w:rFonts w:hint="eastAsia" w:ascii="Times New Roman" w:hAnsi="Times New Roman" w:eastAsia="宋体" w:cs="Times New Roman"/>
                      <w:sz w:val="21"/>
                      <w:szCs w:val="21"/>
                    </w:rPr>
                    <w:cr/>
                  </w:r>
                  <w:r>
                    <w:rPr>
                      <w:rFonts w:hint="eastAsia" w:ascii="Times New Roman" w:hAnsi="Times New Roman" w:eastAsia="宋体" w:cs="Times New Roman"/>
                      <w:sz w:val="21"/>
                      <w:szCs w:val="21"/>
                    </w:rPr>
                    <w:t>高压低”“上整压散”。“两高”项目确有必要建设的，须严格落实产能、煤耗、能耗、碳排放和污染物排放“五个减量替代”要求，新（改、扩）建项目要减量替代，已建项目要减量运行。依据国家相关产业政策，对焦化、煤电、水泥、轮胎、平板玻璃、煤化工、铁合金等重点行业严格执行产能置换要求，确保产能总量只减不增。原则上不再审批新建煤矿项目。严禁新增水泥熟料、粉磨产能。</w:t>
                  </w:r>
                </w:p>
              </w:tc>
              <w:tc>
                <w:tcPr>
                  <w:tcW w:w="1408" w:type="dxa"/>
                  <w:tcBorders>
                    <w:tl2br w:val="nil"/>
                    <w:tr2bl w:val="nil"/>
                  </w:tcBorders>
                  <w:noWrap w:val="0"/>
                  <w:vAlign w:val="center"/>
                </w:tcPr>
                <w:p w14:paraId="342EE1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本项目不属于“两高”行业范围。</w:t>
                  </w:r>
                </w:p>
              </w:tc>
              <w:tc>
                <w:tcPr>
                  <w:tcW w:w="887" w:type="dxa"/>
                  <w:tcBorders>
                    <w:tl2br w:val="nil"/>
                    <w:tr2bl w:val="nil"/>
                  </w:tcBorders>
                  <w:noWrap w:val="0"/>
                  <w:vAlign w:val="center"/>
                </w:tcPr>
                <w:p w14:paraId="33512B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5B6E6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tcBorders>
                    <w:tl2br w:val="nil"/>
                    <w:tr2bl w:val="nil"/>
                  </w:tcBorders>
                  <w:noWrap w:val="0"/>
                  <w:vAlign w:val="center"/>
                </w:tcPr>
                <w:p w14:paraId="00B4D5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5552" w:type="dxa"/>
                  <w:tcBorders>
                    <w:tl2br w:val="nil"/>
                    <w:tr2bl w:val="nil"/>
                  </w:tcBorders>
                  <w:noWrap w:val="0"/>
                  <w:vAlign w:val="center"/>
                </w:tcPr>
                <w:p w14:paraId="4DF6F8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狠抓工业污染防治。严格控制缺水地区、水污染严重地区和敏感区域高耗水、高污染行业发展。严格执行南四湖流域水污染物综合排放标准，加强全盐量、硫酸盐、氟化物等特征污染物治理。推进化工等工业园区雨污分流改造和初期雨水收集处理。加大现有工业园区整治力度，全面推进工业园区污水处理设施建设和污水管网排查整治。鼓励有条件的园区实施化工企业废水“一企一管、明管输送、实时监测、统一调度”，实现园区集中污水处理设施第一时间锁定超标来水源头，及时有效处理处置。鼓励有条件的园区引进“环保管家”服务，提供定制化、全产业链的第三方环保服务，实现园区污水精细化、专业化管理。推动开展有毒有害以及难降解废水治理试点。</w:t>
                  </w:r>
                </w:p>
              </w:tc>
              <w:tc>
                <w:tcPr>
                  <w:tcW w:w="1408" w:type="dxa"/>
                  <w:tcBorders>
                    <w:tl2br w:val="nil"/>
                    <w:tr2bl w:val="nil"/>
                  </w:tcBorders>
                  <w:noWrap w:val="0"/>
                  <w:vAlign w:val="center"/>
                </w:tcPr>
                <w:p w14:paraId="02012D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本项目不位于缺水、水污染严重地区，</w:t>
                  </w:r>
                  <w:r>
                    <w:rPr>
                      <w:rFonts w:hint="eastAsia" w:ascii="Times New Roman" w:hAnsi="Times New Roman" w:eastAsia="宋体" w:cs="Times New Roman"/>
                      <w:sz w:val="21"/>
                      <w:szCs w:val="21"/>
                      <w:lang w:val="en-US" w:eastAsia="zh-CN"/>
                    </w:rPr>
                    <w:t>项目无新增用水和排水。</w:t>
                  </w:r>
                </w:p>
              </w:tc>
              <w:tc>
                <w:tcPr>
                  <w:tcW w:w="887" w:type="dxa"/>
                  <w:tcBorders>
                    <w:tl2br w:val="nil"/>
                    <w:tr2bl w:val="nil"/>
                  </w:tcBorders>
                  <w:noWrap w:val="0"/>
                  <w:vAlign w:val="center"/>
                </w:tcPr>
                <w:p w14:paraId="4E905F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654AD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tcBorders>
                    <w:tl2br w:val="nil"/>
                    <w:tr2bl w:val="nil"/>
                  </w:tcBorders>
                  <w:noWrap w:val="0"/>
                  <w:vAlign w:val="center"/>
                </w:tcPr>
                <w:p w14:paraId="2B32D9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5552" w:type="dxa"/>
                  <w:tcBorders>
                    <w:tl2br w:val="nil"/>
                    <w:tr2bl w:val="nil"/>
                  </w:tcBorders>
                  <w:noWrap w:val="0"/>
                  <w:vAlign w:val="center"/>
                </w:tcPr>
                <w:p w14:paraId="057454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落实污染物排放总量控制制度。围绕生态环境质量改善目标，实施排污总量控制。严格按照国家、省确定污染物减排框架体系，确定各县(市、区)重点减排工程，高质量完成“十四五”总量减排目标任务。落实国家建立非固定污染源减排管理体系的要求，实施非固定污染源全过程调度管理，强化统计、监管、评估。统筹推进多污染物协同减排，减污降碳协同增效，实施一批重点领域、重点行业协同减排工程。健全污染减排激励约束机制。</w:t>
                  </w:r>
                </w:p>
              </w:tc>
              <w:tc>
                <w:tcPr>
                  <w:tcW w:w="1408" w:type="dxa"/>
                  <w:tcBorders>
                    <w:tl2br w:val="nil"/>
                    <w:tr2bl w:val="nil"/>
                  </w:tcBorders>
                  <w:noWrap w:val="0"/>
                  <w:vAlign w:val="center"/>
                </w:tcPr>
                <w:p w14:paraId="68DE13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本项目废气排放严格执行排放标准。</w:t>
                  </w:r>
                </w:p>
              </w:tc>
              <w:tc>
                <w:tcPr>
                  <w:tcW w:w="887" w:type="dxa"/>
                  <w:tcBorders>
                    <w:tl2br w:val="nil"/>
                    <w:tr2bl w:val="nil"/>
                  </w:tcBorders>
                  <w:noWrap w:val="0"/>
                  <w:vAlign w:val="center"/>
                </w:tcPr>
                <w:p w14:paraId="1866F8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bl>
          <w:p w14:paraId="25F27C5F">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b/>
                <w:bCs/>
                <w:color w:val="auto"/>
                <w:sz w:val="24"/>
                <w:highlight w:val="none"/>
                <w:lang w:val="en-US" w:eastAsia="zh-CN"/>
              </w:rPr>
            </w:pPr>
            <w:r>
              <w:rPr>
                <w:rFonts w:hint="eastAsia"/>
                <w:b/>
                <w:bCs/>
                <w:color w:val="auto"/>
                <w:sz w:val="24"/>
                <w:highlight w:val="none"/>
                <w:lang w:val="en-US" w:eastAsia="zh-CN"/>
              </w:rPr>
              <w:t>7、</w:t>
            </w:r>
            <w:r>
              <w:rPr>
                <w:rFonts w:hint="default"/>
                <w:b/>
                <w:bCs/>
                <w:color w:val="auto"/>
                <w:sz w:val="24"/>
                <w:highlight w:val="none"/>
                <w:lang w:val="en-US" w:eastAsia="zh-CN"/>
              </w:rPr>
              <w:t>项目与“两高”政策符合性分析</w:t>
            </w:r>
          </w:p>
          <w:p w14:paraId="498ABA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32"/>
                <w:lang w:val="en-US" w:eastAsia="zh-CN"/>
              </w:rPr>
            </w:pPr>
            <w:r>
              <w:rPr>
                <w:rFonts w:hint="default" w:ascii="Times New Roman" w:hAnsi="Times New Roman" w:eastAsia="宋体" w:cs="Times New Roman"/>
                <w:color w:val="auto"/>
                <w:sz w:val="24"/>
                <w:szCs w:val="32"/>
                <w:lang w:val="en-US" w:eastAsia="zh-CN"/>
              </w:rPr>
              <w:t>根据《山东省“两高”项目管理目录（2025年版）》，“两高”行业主要包括炼化、焦化、煤制合成气、煤制液体燃料、基础化学原料、化肥、水泥、石灰、粘土砖瓦、平板玻璃、玻璃纤维、陶瓷、耐火材料、石墨及碳素、晶体硅、钢铁、铸造用生铁、铁合金、有色、煤电共20个行业。“两</w:t>
            </w:r>
            <w:r>
              <w:rPr>
                <w:rFonts w:hint="default" w:ascii="Times New Roman" w:hAnsi="Times New Roman" w:cs="Times New Roman" w:eastAsiaTheme="minorEastAsia"/>
                <w:color w:val="auto"/>
                <w:sz w:val="24"/>
                <w:szCs w:val="32"/>
                <w:lang w:val="en-US" w:eastAsia="zh-CN"/>
              </w:rPr>
              <w:t>高”行业范围根据国家规定和山东省实际动态调整。</w:t>
            </w:r>
          </w:p>
          <w:p w14:paraId="61017050">
            <w:pPr>
              <w:pStyle w:val="19"/>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default" w:ascii="Times New Roman" w:hAnsi="Times New Roman" w:cs="Times New Roman" w:eastAsiaTheme="minorEastAsia"/>
                <w:color w:val="auto"/>
                <w:sz w:val="24"/>
                <w:szCs w:val="32"/>
                <w:lang w:val="en-US" w:eastAsia="zh-CN"/>
              </w:rPr>
            </w:pPr>
            <w:r>
              <w:rPr>
                <w:rFonts w:hint="default" w:ascii="Times New Roman" w:hAnsi="Times New Roman" w:cs="Times New Roman" w:eastAsiaTheme="minorEastAsia"/>
                <w:color w:val="auto"/>
                <w:sz w:val="24"/>
                <w:szCs w:val="32"/>
                <w:lang w:val="en-US" w:eastAsia="zh-CN"/>
              </w:rPr>
              <w:t>本项目行业类别为N7723 固体废物治理</w:t>
            </w:r>
            <w:r>
              <w:rPr>
                <w:rFonts w:hint="eastAsia" w:ascii="Times New Roman" w:hAnsi="Times New Roman" w:cs="Times New Roman" w:eastAsiaTheme="minorEastAsia"/>
                <w:color w:val="auto"/>
                <w:sz w:val="24"/>
                <w:szCs w:val="32"/>
                <w:lang w:val="en-US" w:eastAsia="zh-CN"/>
              </w:rPr>
              <w:t>，依托现有水泥窑进行一般固废综合利用和原燃材料替代技术改造，不涉及水泥产能变化，因此</w:t>
            </w:r>
            <w:r>
              <w:rPr>
                <w:rFonts w:hint="default" w:ascii="Times New Roman" w:hAnsi="Times New Roman" w:cs="Times New Roman" w:eastAsiaTheme="minorEastAsia"/>
                <w:color w:val="auto"/>
                <w:sz w:val="24"/>
                <w:szCs w:val="32"/>
                <w:lang w:val="en-US" w:eastAsia="zh-CN"/>
              </w:rPr>
              <w:t>本项目不属于“两高”项目，符合产业政策要求。</w:t>
            </w:r>
          </w:p>
          <w:p w14:paraId="7A82C2E9">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lang w:val="en-US" w:eastAsia="zh-CN"/>
              </w:rPr>
              <w:t>、与《水泥工业“十四五”发展规划》的相符性分析</w:t>
            </w:r>
          </w:p>
          <w:p w14:paraId="2C0BA65C">
            <w:pPr>
              <w:keepNext w:val="0"/>
              <w:keepLines w:val="0"/>
              <w:pageBreakBefore w:val="0"/>
              <w:widowControl w:val="0"/>
              <w:kinsoku/>
              <w:wordWrap/>
              <w:overflowPunct/>
              <w:topLinePunct w:val="0"/>
              <w:autoSpaceDE/>
              <w:autoSpaceDN/>
              <w:bidi w:val="0"/>
              <w:adjustRightInd w:val="0"/>
              <w:snapToGrid/>
              <w:spacing w:line="360" w:lineRule="auto"/>
              <w:ind w:firstLine="436" w:firstLineChars="182"/>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水泥工业“十四五”发展规划》提出：“提升节能减排，推进清洁生产。继续支持对现有企业的节能减排技术改造，开展清洁生产。加快新技术新装备如高效粉磨技术、高效能烧成系统技术、高效脱氮脱硫技术、燃料替代技术、协同处置技术、第二代新型干法集成创新技术、高效大型袋式除尘技术等不断提升不断推广应用。”</w:t>
            </w:r>
          </w:p>
          <w:p w14:paraId="6E4D455B">
            <w:pPr>
              <w:keepNext w:val="0"/>
              <w:keepLines w:val="0"/>
              <w:pageBreakBefore w:val="0"/>
              <w:widowControl w:val="0"/>
              <w:kinsoku/>
              <w:wordWrap/>
              <w:overflowPunct/>
              <w:topLinePunct w:val="0"/>
              <w:autoSpaceDE/>
              <w:autoSpaceDN/>
              <w:bidi w:val="0"/>
              <w:adjustRightInd w:val="0"/>
              <w:snapToGrid/>
              <w:spacing w:line="360" w:lineRule="auto"/>
              <w:ind w:firstLine="436" w:firstLineChars="182"/>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发展循环经济。支持利用现有新型干法水泥窑协同处置生活垃圾、城市污泥、污染土壤和危险废物等。开展赤泥、铬渣等大宗工业有害固废的无害化处置和综合利用研究；提升开展尾矿、粉煤灰、煤矸石、副产石膏、矿渣、电石渣等大宗工业固废的综合利用的支持力度，在保证产品质量和生态安全的前提下，在水泥产品中提高消纳产业废弃物能力，逐步增加可消纳固废的品种”。</w:t>
            </w:r>
          </w:p>
          <w:p w14:paraId="59E1FAB1">
            <w:pPr>
              <w:keepNext w:val="0"/>
              <w:keepLines w:val="0"/>
              <w:pageBreakBefore w:val="0"/>
              <w:widowControl w:val="0"/>
              <w:kinsoku/>
              <w:wordWrap/>
              <w:overflowPunct/>
              <w:topLinePunct w:val="0"/>
              <w:autoSpaceDE/>
              <w:autoSpaceDN/>
              <w:bidi w:val="0"/>
              <w:adjustRightInd w:val="0"/>
              <w:snapToGrid/>
              <w:spacing w:line="360" w:lineRule="auto"/>
              <w:ind w:firstLine="436" w:firstLineChars="182"/>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加快低碳发展。开发含能可燃废弃物替代燃料技术，鼓励生物质替代燃料的研发，提高水泥窑替代燃料比例，降低水泥工业化石能源的消耗和二氧化碳的排放。实施水泥窑炉热工效率提升行动，降低单位产品能源消耗和碳排放强度。加快发展低钙硅酸盐水泥，推进镁质胶凝材料无氯化应用，研究新型低碳胶凝材料。开发水泥窑炉烟气中二氧化碳分离、回收和利用技术（CCUS）。加快碳资产管理系统建设，着力提升水泥企业碳交易能力建设，稳步推进水泥企业加入到全国碳排放权交易市场开展碳交易。”</w:t>
            </w:r>
          </w:p>
          <w:p w14:paraId="3D769716">
            <w:pPr>
              <w:keepNext w:val="0"/>
              <w:keepLines w:val="0"/>
              <w:pageBreakBefore w:val="0"/>
              <w:widowControl w:val="0"/>
              <w:kinsoku/>
              <w:wordWrap/>
              <w:overflowPunct/>
              <w:topLinePunct w:val="0"/>
              <w:autoSpaceDE/>
              <w:autoSpaceDN/>
              <w:bidi w:val="0"/>
              <w:adjustRightInd w:val="0"/>
              <w:snapToGrid/>
              <w:spacing w:line="360" w:lineRule="auto"/>
              <w:ind w:firstLine="436" w:firstLineChars="182"/>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本项目依托济宁海螺水泥有限责任公司已投产1条4500t/d新型干法水泥熟料生产线协同处置一般工业固体废物，项目建成投运后可协同处置一般工业固体废物</w:t>
            </w:r>
            <w:r>
              <w:rPr>
                <w:rFonts w:hint="eastAsia" w:cs="Times New Roman"/>
                <w:b w:val="0"/>
                <w:bCs w:val="0"/>
                <w:color w:val="auto"/>
                <w:sz w:val="24"/>
                <w:highlight w:val="none"/>
                <w:lang w:val="en-US" w:eastAsia="zh-CN"/>
              </w:rPr>
              <w:t>55</w:t>
            </w:r>
            <w:r>
              <w:rPr>
                <w:rFonts w:hint="default" w:ascii="Times New Roman" w:hAnsi="Times New Roman" w:eastAsia="宋体" w:cs="Times New Roman"/>
                <w:b w:val="0"/>
                <w:bCs w:val="0"/>
                <w:color w:val="auto"/>
                <w:sz w:val="24"/>
                <w:highlight w:val="none"/>
                <w:lang w:val="en-US" w:eastAsia="zh-CN"/>
              </w:rPr>
              <w:t>万t/a。可实现减煤降碳、节能增效，符合《水泥工业“十四”五发展规划》的要求</w:t>
            </w:r>
            <w:r>
              <w:rPr>
                <w:rFonts w:hint="eastAsia" w:cs="Times New Roman"/>
                <w:b w:val="0"/>
                <w:bCs w:val="0"/>
                <w:color w:val="auto"/>
                <w:sz w:val="24"/>
                <w:highlight w:val="none"/>
                <w:lang w:val="en-US" w:eastAsia="zh-CN"/>
              </w:rPr>
              <w:t>。</w:t>
            </w:r>
          </w:p>
          <w:p w14:paraId="1E1810AF">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9</w:t>
            </w:r>
            <w:r>
              <w:rPr>
                <w:rFonts w:hint="default" w:ascii="Times New Roman" w:hAnsi="Times New Roman" w:eastAsia="宋体" w:cs="Times New Roman"/>
                <w:b/>
                <w:bCs/>
                <w:color w:val="auto"/>
                <w:sz w:val="24"/>
                <w:highlight w:val="none"/>
                <w:lang w:val="en-US" w:eastAsia="zh-CN"/>
              </w:rPr>
              <w:t>、与《水泥窑协同处置工业废物设计规范》（GB50634-2010）及其修改条文符合性分析</w:t>
            </w:r>
          </w:p>
          <w:p w14:paraId="0B4B1E5B">
            <w:pPr>
              <w:keepNext w:val="0"/>
              <w:keepLines w:val="0"/>
              <w:pageBreakBefore w:val="0"/>
              <w:widowControl w:val="0"/>
              <w:kinsoku/>
              <w:wordWrap/>
              <w:overflowPunct/>
              <w:topLinePunct w:val="0"/>
              <w:autoSpaceDE/>
              <w:autoSpaceDN/>
              <w:bidi w:val="0"/>
              <w:snapToGrid/>
              <w:spacing w:line="240" w:lineRule="auto"/>
              <w:ind w:firstLine="482" w:firstLineChars="200"/>
              <w:jc w:val="center"/>
              <w:textAlignment w:val="auto"/>
              <w:rPr>
                <w:rFonts w:hint="default"/>
                <w:b/>
                <w:bCs/>
                <w:color w:val="000000"/>
                <w:sz w:val="24"/>
                <w:lang w:val="en-US" w:eastAsia="zh-CN"/>
              </w:rPr>
            </w:pPr>
            <w:r>
              <w:rPr>
                <w:rFonts w:hint="default"/>
                <w:b/>
                <w:bCs/>
                <w:color w:val="000000"/>
                <w:sz w:val="24"/>
                <w:lang w:val="en-US" w:eastAsia="zh-CN"/>
              </w:rPr>
              <w:t>表1-</w:t>
            </w:r>
            <w:r>
              <w:rPr>
                <w:rFonts w:hint="eastAsia"/>
                <w:b/>
                <w:bCs/>
                <w:color w:val="000000"/>
                <w:sz w:val="24"/>
                <w:lang w:val="en-US" w:eastAsia="zh-CN"/>
              </w:rPr>
              <w:t>6</w:t>
            </w:r>
            <w:r>
              <w:rPr>
                <w:rFonts w:hint="default"/>
                <w:b/>
                <w:bCs/>
                <w:color w:val="000000"/>
                <w:sz w:val="24"/>
                <w:lang w:val="en-US" w:eastAsia="zh-CN"/>
              </w:rPr>
              <w:t xml:space="preserve"> 与《水泥窑协同处置工业废物设计规范》符合性分析</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3453"/>
              <w:gridCol w:w="875"/>
            </w:tblGrid>
            <w:tr w14:paraId="3ADAF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C58E7CE">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文件</w:t>
                  </w:r>
                  <w:r>
                    <w:rPr>
                      <w:rFonts w:hint="default" w:ascii="Times New Roman" w:hAnsi="Times New Roman" w:cs="Times New Roman"/>
                      <w:b/>
                      <w:bCs/>
                      <w:color w:val="auto"/>
                    </w:rPr>
                    <w:t>要求</w:t>
                  </w:r>
                </w:p>
              </w:tc>
              <w:tc>
                <w:tcPr>
                  <w:tcW w:w="2095" w:type="pct"/>
                  <w:tcBorders>
                    <w:tl2br w:val="nil"/>
                    <w:tr2bl w:val="nil"/>
                  </w:tcBorders>
                  <w:noWrap w:val="0"/>
                  <w:vAlign w:val="center"/>
                </w:tcPr>
                <w:p w14:paraId="363C116A">
                  <w:pPr>
                    <w:pStyle w:val="46"/>
                    <w:bidi w:val="0"/>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529" w:type="pct"/>
                  <w:tcBorders>
                    <w:tl2br w:val="nil"/>
                    <w:tr2bl w:val="nil"/>
                  </w:tcBorders>
                  <w:noWrap w:val="0"/>
                  <w:vAlign w:val="center"/>
                </w:tcPr>
                <w:p w14:paraId="49B43FE9">
                  <w:pPr>
                    <w:pStyle w:val="46"/>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1DD64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3"/>
                  <w:tcBorders>
                    <w:tl2br w:val="nil"/>
                    <w:tr2bl w:val="nil"/>
                  </w:tcBorders>
                  <w:noWrap w:val="0"/>
                  <w:vAlign w:val="center"/>
                </w:tcPr>
                <w:p w14:paraId="2298A47F">
                  <w:pPr>
                    <w:pStyle w:val="46"/>
                    <w:bidi w:val="0"/>
                    <w:rPr>
                      <w:rFonts w:hint="default" w:ascii="Times New Roman" w:hAnsi="Times New Roman" w:cs="Times New Roman"/>
                      <w:color w:val="auto"/>
                    </w:rPr>
                  </w:pPr>
                  <w:r>
                    <w:rPr>
                      <w:rFonts w:hint="default" w:ascii="Times New Roman" w:hAnsi="Times New Roman" w:cs="Times New Roman"/>
                      <w:color w:val="auto"/>
                    </w:rPr>
                    <w:t>厂址选择</w:t>
                  </w:r>
                </w:p>
              </w:tc>
            </w:tr>
            <w:tr w14:paraId="511C0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514639A">
                  <w:pPr>
                    <w:pStyle w:val="46"/>
                    <w:bidi w:val="0"/>
                    <w:jc w:val="left"/>
                    <w:rPr>
                      <w:rFonts w:hint="default" w:ascii="Times New Roman" w:hAnsi="Times New Roman" w:cs="Times New Roman"/>
                      <w:color w:val="auto"/>
                    </w:rPr>
                  </w:pPr>
                  <w:r>
                    <w:rPr>
                      <w:rFonts w:hint="default" w:ascii="Times New Roman" w:hAnsi="Times New Roman" w:cs="Times New Roman"/>
                      <w:color w:val="auto"/>
                    </w:rPr>
                    <w:t>厂址选择应符合城乡总体发展规划和环境保护专业规划，并应符合当地的大气污染防治、水资源保护和自然生态保护要求，同时应通过环境影响和环境风险评价。</w:t>
                  </w:r>
                </w:p>
              </w:tc>
              <w:tc>
                <w:tcPr>
                  <w:tcW w:w="2095" w:type="pct"/>
                  <w:tcBorders>
                    <w:tl2br w:val="nil"/>
                    <w:tr2bl w:val="nil"/>
                  </w:tcBorders>
                  <w:noWrap w:val="0"/>
                  <w:vAlign w:val="center"/>
                </w:tcPr>
                <w:p w14:paraId="06EBF074">
                  <w:pPr>
                    <w:pStyle w:val="46"/>
                    <w:bidi w:val="0"/>
                    <w:jc w:val="left"/>
                    <w:rPr>
                      <w:rFonts w:hint="default" w:ascii="Times New Roman" w:hAnsi="Times New Roman" w:cs="Times New Roman"/>
                      <w:b/>
                      <w:bCs/>
                      <w:color w:val="auto"/>
                    </w:rPr>
                  </w:pPr>
                  <w:r>
                    <w:rPr>
                      <w:rFonts w:hint="default" w:ascii="Times New Roman" w:hAnsi="Times New Roman" w:eastAsia="宋体" w:cs="Times New Roman"/>
                      <w:color w:val="auto"/>
                      <w:lang w:val="en-US" w:eastAsia="zh-CN"/>
                    </w:rPr>
                    <w:t>本项目位于济宁海螺水泥有限责任公司厂区内，不新增用地，项目的建设符合泗水县</w:t>
                  </w:r>
                  <w:r>
                    <w:rPr>
                      <w:rFonts w:hint="default" w:ascii="Times New Roman" w:hAnsi="Times New Roman" w:cs="Times New Roman"/>
                      <w:color w:val="auto"/>
                    </w:rPr>
                    <w:t>的大气污染防治、水资源保护和自然生态保护要求</w:t>
                  </w:r>
                  <w:r>
                    <w:rPr>
                      <w:rFonts w:hint="default" w:ascii="Times New Roman" w:hAnsi="Times New Roman" w:eastAsia="宋体" w:cs="Times New Roman"/>
                      <w:color w:val="auto"/>
                      <w:lang w:val="en-US" w:eastAsia="zh-CN"/>
                    </w:rPr>
                    <w:t>。</w:t>
                  </w:r>
                </w:p>
              </w:tc>
              <w:tc>
                <w:tcPr>
                  <w:tcW w:w="529" w:type="pct"/>
                  <w:tcBorders>
                    <w:tl2br w:val="nil"/>
                    <w:tr2bl w:val="nil"/>
                  </w:tcBorders>
                  <w:noWrap w:val="0"/>
                  <w:vAlign w:val="center"/>
                </w:tcPr>
                <w:p w14:paraId="153DC708">
                  <w:pPr>
                    <w:pStyle w:val="46"/>
                    <w:bidi w:val="0"/>
                    <w:rPr>
                      <w:rFonts w:hint="default" w:ascii="Times New Roman" w:hAnsi="Times New Roman" w:eastAsia="宋体" w:cs="Times New Roman"/>
                      <w:b/>
                      <w:bCs/>
                      <w:color w:val="auto"/>
                      <w:lang w:val="en-US" w:eastAsia="zh-CN"/>
                    </w:rPr>
                  </w:pPr>
                  <w:r>
                    <w:rPr>
                      <w:rFonts w:hint="default" w:ascii="Times New Roman" w:hAnsi="Times New Roman" w:cs="Times New Roman"/>
                      <w:b w:val="0"/>
                      <w:bCs w:val="0"/>
                      <w:color w:val="auto"/>
                      <w:lang w:val="en-US" w:eastAsia="zh-CN"/>
                    </w:rPr>
                    <w:t>符合</w:t>
                  </w:r>
                </w:p>
              </w:tc>
            </w:tr>
            <w:tr w14:paraId="307B0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67098F9F">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应符合现行国家标准《地表水环境质量标准》GB3838和《环境空气质量标准》GB3095的有关规定，处置危险废物的工厂选址还应符合现行国家标准《危险废物焚烧污染控制标准》GB18484中的选址要求</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0B4096C7">
                  <w:pPr>
                    <w:pStyle w:val="46"/>
                    <w:bidi w:val="0"/>
                    <w:jc w:val="both"/>
                    <w:rPr>
                      <w:rFonts w:hint="default" w:ascii="Times New Roman" w:hAnsi="Times New Roman" w:eastAsia="宋体" w:cs="Times New Roman"/>
                      <w:b/>
                      <w:bCs/>
                      <w:color w:val="auto"/>
                      <w:lang w:eastAsia="zh-CN"/>
                    </w:rPr>
                  </w:pPr>
                  <w:r>
                    <w:rPr>
                      <w:rFonts w:hint="default" w:ascii="Times New Roman" w:hAnsi="Times New Roman" w:cs="Times New Roman"/>
                      <w:color w:val="auto"/>
                    </w:rPr>
                    <w:t>项目厂址不在GB3838中规定的地表水环境质量І类、ІІ类功能区和GB3095中规定的环境空气质量一类功能区，不在自然保护区、风景名胜区和其他需要特殊保护地区；不在城区，不在城区主导风向的上风向，不在水源地附近</w:t>
                  </w:r>
                  <w:r>
                    <w:rPr>
                      <w:rFonts w:hint="default" w:ascii="Times New Roman" w:hAnsi="Times New Roman" w:cs="Times New Roman"/>
                      <w:color w:val="auto"/>
                      <w:lang w:eastAsia="zh-CN"/>
                    </w:rPr>
                    <w:t>。</w:t>
                  </w:r>
                </w:p>
              </w:tc>
              <w:tc>
                <w:tcPr>
                  <w:tcW w:w="529" w:type="pct"/>
                  <w:tcBorders>
                    <w:tl2br w:val="nil"/>
                    <w:tr2bl w:val="nil"/>
                  </w:tcBorders>
                  <w:noWrap w:val="0"/>
                  <w:vAlign w:val="center"/>
                </w:tcPr>
                <w:p w14:paraId="76D40F48">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0C747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1498F7F0">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厂址应具备满足工程建设要求的工程地质条件和水文地质条件，不应建在受洪水、潮水或内涝威胁的地区。受条件限制，必须建在上述地区时，应设置抵御100年一遇洪水的防洪、排涝设施</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16FCF8BC">
                  <w:pPr>
                    <w:pStyle w:val="46"/>
                    <w:bidi w:val="0"/>
                    <w:jc w:val="both"/>
                    <w:rPr>
                      <w:rFonts w:hint="default" w:ascii="Times New Roman" w:hAnsi="Times New Roman" w:cs="Times New Roman"/>
                      <w:color w:val="auto"/>
                    </w:rPr>
                  </w:pPr>
                  <w:r>
                    <w:rPr>
                      <w:rFonts w:hint="default" w:ascii="Times New Roman" w:hAnsi="Times New Roman" w:eastAsia="宋体" w:cs="Times New Roman"/>
                      <w:color w:val="auto"/>
                      <w:lang w:val="en-US" w:eastAsia="zh-CN"/>
                    </w:rPr>
                    <w:t>本项目位于济宁海螺水泥有限责任公司厂区内，工程地质条件及水文地质条件适应工程建设。项目区域无洪水、潮水或内涝威胁。</w:t>
                  </w:r>
                </w:p>
              </w:tc>
              <w:tc>
                <w:tcPr>
                  <w:tcW w:w="529" w:type="pct"/>
                  <w:tcBorders>
                    <w:tl2br w:val="nil"/>
                    <w:tr2bl w:val="nil"/>
                  </w:tcBorders>
                  <w:noWrap w:val="0"/>
                  <w:vAlign w:val="center"/>
                </w:tcPr>
                <w:p w14:paraId="63A2B459">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60602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052B1F17">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有异味产生的预处理车间应设置于主导风向的下风向，烟囱高度的设置应符合现行国家标准《恶臭污染物排放标准》GB14554中的有关规定</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43A47919">
                  <w:pPr>
                    <w:pStyle w:val="46"/>
                    <w:bidi w:val="0"/>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w:t>
                  </w:r>
                  <w:r>
                    <w:rPr>
                      <w:rFonts w:hint="eastAsia" w:cs="Times New Roman"/>
                      <w:color w:val="auto"/>
                      <w:lang w:val="en-US" w:eastAsia="zh-CN"/>
                    </w:rPr>
                    <w:t>利用的一般固废及替代燃料</w:t>
                  </w:r>
                  <w:r>
                    <w:rPr>
                      <w:rFonts w:hint="default" w:ascii="Times New Roman" w:hAnsi="Times New Roman" w:cs="Times New Roman"/>
                      <w:color w:val="auto"/>
                      <w:lang w:val="en-US" w:eastAsia="zh-CN"/>
                    </w:rPr>
                    <w:t>无需预处理。</w:t>
                  </w:r>
                </w:p>
              </w:tc>
              <w:tc>
                <w:tcPr>
                  <w:tcW w:w="529" w:type="pct"/>
                  <w:tcBorders>
                    <w:tl2br w:val="nil"/>
                    <w:tr2bl w:val="nil"/>
                  </w:tcBorders>
                  <w:noWrap w:val="0"/>
                  <w:vAlign w:val="center"/>
                </w:tcPr>
                <w:p w14:paraId="6A795111">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1B191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6320816C">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应有供水水源和污水处理及排放系统，必要时应建立独立的污水处理及排放系统</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2C495644">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项目厂区内有完善的供水设施并建设污水处理站。项目无废水产生。</w:t>
                  </w:r>
                </w:p>
              </w:tc>
              <w:tc>
                <w:tcPr>
                  <w:tcW w:w="529" w:type="pct"/>
                  <w:tcBorders>
                    <w:tl2br w:val="nil"/>
                    <w:tr2bl w:val="nil"/>
                  </w:tcBorders>
                  <w:noWrap w:val="0"/>
                  <w:vAlign w:val="center"/>
                </w:tcPr>
                <w:p w14:paraId="7EED6D89">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1DB89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jc w:val="center"/>
              </w:trPr>
              <w:tc>
                <w:tcPr>
                  <w:tcW w:w="5000" w:type="pct"/>
                  <w:gridSpan w:val="3"/>
                  <w:tcBorders>
                    <w:tl2br w:val="nil"/>
                    <w:tr2bl w:val="nil"/>
                  </w:tcBorders>
                  <w:noWrap w:val="0"/>
                  <w:vAlign w:val="center"/>
                </w:tcPr>
                <w:p w14:paraId="4C17044A">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环境保护</w:t>
                  </w:r>
                </w:p>
              </w:tc>
            </w:tr>
            <w:tr w14:paraId="1F977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193094A3">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水泥窑协同处置工业废物须进行环境影响评价</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51545289">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本项目正在办理相关环评手续。</w:t>
                  </w:r>
                </w:p>
              </w:tc>
              <w:tc>
                <w:tcPr>
                  <w:tcW w:w="529" w:type="pct"/>
                  <w:tcBorders>
                    <w:tl2br w:val="nil"/>
                    <w:tr2bl w:val="nil"/>
                  </w:tcBorders>
                  <w:noWrap w:val="0"/>
                  <w:vAlign w:val="center"/>
                </w:tcPr>
                <w:p w14:paraId="14BCCE06">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03FA8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6E7EB0C">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水泥窑协同处置工业废物时，采取的处置方案须安全环保。产品或排放物中所含有毒有害物质浓度须符合现行国家相应产品及污染物排放标准的有关规定</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372256BF">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项目处理工艺先进，投资建设经济合理，污染控制可行，项目建成后水泥生产线的水泥品质满足《通用硅酸盐水泥》GB175的要求，窑尾废气满足相关行业和地方排放标准。</w:t>
                  </w:r>
                </w:p>
              </w:tc>
              <w:tc>
                <w:tcPr>
                  <w:tcW w:w="529" w:type="pct"/>
                  <w:tcBorders>
                    <w:tl2br w:val="nil"/>
                    <w:tr2bl w:val="nil"/>
                  </w:tcBorders>
                  <w:noWrap w:val="0"/>
                  <w:vAlign w:val="center"/>
                </w:tcPr>
                <w:p w14:paraId="7711E81E">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561B8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B1BD5CC">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防治污染的环保设施必须与水泥窑协同处置工业废物主体工程同时设计、同时施工、同时投产使用</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5C201256">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建设单位将严格执行环保“三同时”制度。</w:t>
                  </w:r>
                </w:p>
              </w:tc>
              <w:tc>
                <w:tcPr>
                  <w:tcW w:w="529" w:type="pct"/>
                  <w:tcBorders>
                    <w:tl2br w:val="nil"/>
                    <w:tr2bl w:val="nil"/>
                  </w:tcBorders>
                  <w:noWrap w:val="0"/>
                  <w:vAlign w:val="center"/>
                </w:tcPr>
                <w:p w14:paraId="191D5E49">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36EEE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24300C1D">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应根据处置工业废物的特性及建厂地区的气候条件确定物料的贮存型式，贮存容器和贮存场所均应符合现行国家标准《一般工业固体废物贮存、处置场污染控制标准》GB18599、《危险废物贮存污染控制标准》GB18597的规定</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5C3AEF85">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w:t>
                  </w:r>
                  <w:r>
                    <w:rPr>
                      <w:rFonts w:hint="eastAsia" w:cs="Times New Roman"/>
                      <w:color w:val="auto"/>
                      <w:lang w:val="en-US" w:eastAsia="zh-CN"/>
                    </w:rPr>
                    <w:t>综合利用一般固废，不涉及危险废物，依托现有物料库并进行改造，</w:t>
                  </w:r>
                  <w:r>
                    <w:rPr>
                      <w:rFonts w:hint="default" w:ascii="Times New Roman" w:hAnsi="Times New Roman" w:cs="Times New Roman"/>
                      <w:color w:val="auto"/>
                      <w:lang w:val="en-US" w:eastAsia="zh-CN"/>
                    </w:rPr>
                    <w:t>符合</w:t>
                  </w:r>
                  <w:r>
                    <w:rPr>
                      <w:rFonts w:hint="default" w:ascii="Times New Roman" w:hAnsi="Times New Roman" w:cs="Times New Roman"/>
                      <w:color w:val="auto"/>
                    </w:rPr>
                    <w:t>《一般工业固体废物贮存、处置场污染控制标准》</w:t>
                  </w:r>
                  <w:r>
                    <w:rPr>
                      <w:rFonts w:hint="default" w:ascii="Times New Roman" w:hAnsi="Times New Roman" w:cs="Times New Roman"/>
                      <w:color w:val="auto"/>
                      <w:lang w:eastAsia="zh-CN"/>
                    </w:rPr>
                    <w:t>（</w:t>
                  </w:r>
                  <w:r>
                    <w:rPr>
                      <w:rFonts w:hint="default" w:ascii="Times New Roman" w:hAnsi="Times New Roman" w:cs="Times New Roman"/>
                      <w:color w:val="auto"/>
                    </w:rPr>
                    <w:t>GB18599</w:t>
                  </w:r>
                  <w:r>
                    <w:rPr>
                      <w:rFonts w:hint="default" w:ascii="Times New Roman" w:hAnsi="Times New Roman" w:cs="Times New Roman"/>
                      <w:color w:val="auto"/>
                      <w:lang w:eastAsia="zh-CN"/>
                    </w:rPr>
                    <w:t>）</w:t>
                  </w:r>
                  <w:r>
                    <w:rPr>
                      <w:rFonts w:hint="default" w:ascii="Times New Roman" w:hAnsi="Times New Roman" w:cs="Times New Roman"/>
                      <w:color w:val="auto"/>
                    </w:rPr>
                    <w:t>的规定</w:t>
                  </w:r>
                  <w:r>
                    <w:rPr>
                      <w:rFonts w:hint="default" w:ascii="Times New Roman" w:hAnsi="Times New Roman" w:cs="Times New Roman"/>
                      <w:color w:val="auto"/>
                      <w:lang w:eastAsia="zh-CN"/>
                    </w:rPr>
                    <w:t>。</w:t>
                  </w:r>
                </w:p>
              </w:tc>
              <w:tc>
                <w:tcPr>
                  <w:tcW w:w="529" w:type="pct"/>
                  <w:tcBorders>
                    <w:tl2br w:val="nil"/>
                    <w:tr2bl w:val="nil"/>
                  </w:tcBorders>
                  <w:noWrap w:val="0"/>
                  <w:vAlign w:val="center"/>
                </w:tcPr>
                <w:p w14:paraId="75DFE462">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5A58D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5692D719">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废物处理、输送、装卸过程均应密闭。其处置全过程均应做好防风、防雨、防晒、防渗、防漏、防冲刷浸泡、防有毒有害气体散发等的设计</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362CB01F">
                  <w:pPr>
                    <w:pStyle w:val="46"/>
                    <w:bidi w:val="0"/>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w:t>
                  </w:r>
                  <w:r>
                    <w:rPr>
                      <w:rFonts w:hint="eastAsia" w:cs="Times New Roman"/>
                      <w:color w:val="auto"/>
                      <w:lang w:val="en-US" w:eastAsia="zh-CN"/>
                    </w:rPr>
                    <w:t>利用的一般固废及替代燃料</w:t>
                  </w:r>
                  <w:r>
                    <w:rPr>
                      <w:rFonts w:hint="default" w:ascii="Times New Roman" w:hAnsi="Times New Roman" w:cs="Times New Roman"/>
                      <w:color w:val="auto"/>
                    </w:rPr>
                    <w:t>输送、装卸</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上料等过程全密闭。</w:t>
                  </w:r>
                </w:p>
              </w:tc>
              <w:tc>
                <w:tcPr>
                  <w:tcW w:w="529" w:type="pct"/>
                  <w:tcBorders>
                    <w:tl2br w:val="nil"/>
                    <w:tr2bl w:val="nil"/>
                  </w:tcBorders>
                  <w:noWrap w:val="0"/>
                  <w:vAlign w:val="center"/>
                </w:tcPr>
                <w:p w14:paraId="535649CD">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271EC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4C960D9">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水泥窑协同处置工业废物除尘及气体净化设备应根据生产设备的能力、工业废物的特性配置高效除尘净化设备</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79F34D4F">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项目依托的</w:t>
                  </w:r>
                  <w:r>
                    <w:rPr>
                      <w:rFonts w:hint="eastAsia" w:cs="Times New Roman"/>
                      <w:color w:val="auto"/>
                      <w:lang w:val="en-US" w:eastAsia="zh-CN"/>
                    </w:rPr>
                    <w:t>物料装卸机</w:t>
                  </w:r>
                  <w:r>
                    <w:rPr>
                      <w:rFonts w:hint="default" w:ascii="Times New Roman" w:hAnsi="Times New Roman" w:cs="Times New Roman"/>
                      <w:color w:val="auto"/>
                      <w:lang w:val="en-US" w:eastAsia="zh-CN"/>
                    </w:rPr>
                    <w:t>水泥窑窑尾除尘器为</w:t>
                  </w:r>
                  <w:r>
                    <w:rPr>
                      <w:rFonts w:hint="default" w:ascii="Times New Roman" w:hAnsi="Times New Roman" w:cs="Times New Roman"/>
                      <w:color w:val="auto"/>
                    </w:rPr>
                    <w:t>袋式除尘器</w:t>
                  </w:r>
                  <w:r>
                    <w:rPr>
                      <w:rFonts w:hint="default" w:ascii="Times New Roman" w:hAnsi="Times New Roman" w:cs="Times New Roman"/>
                      <w:color w:val="auto"/>
                      <w:lang w:val="en-US" w:eastAsia="zh-CN"/>
                    </w:rPr>
                    <w:t>。</w:t>
                  </w:r>
                </w:p>
              </w:tc>
              <w:tc>
                <w:tcPr>
                  <w:tcW w:w="529" w:type="pct"/>
                  <w:tcBorders>
                    <w:tl2br w:val="nil"/>
                    <w:tr2bl w:val="nil"/>
                  </w:tcBorders>
                  <w:noWrap w:val="0"/>
                  <w:vAlign w:val="center"/>
                </w:tcPr>
                <w:p w14:paraId="55B339A6">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1D629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ECE0093">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除尘净化设备应与其对应的生产工艺设备应设置联锁运行装置</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054EC4D3">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项目的除尘净化设备与其对应的生产工艺设备设置有联锁运行装置。</w:t>
                  </w:r>
                </w:p>
              </w:tc>
              <w:tc>
                <w:tcPr>
                  <w:tcW w:w="529" w:type="pct"/>
                  <w:tcBorders>
                    <w:tl2br w:val="nil"/>
                    <w:tr2bl w:val="nil"/>
                  </w:tcBorders>
                  <w:noWrap w:val="0"/>
                  <w:vAlign w:val="center"/>
                </w:tcPr>
                <w:p w14:paraId="60EF7682">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3300E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7174061E">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破碎易形成扬尘的工业废物，其破碎设备及转运应附设收尘设备。烟气净化系统的除尘设备应选用袋式除尘器，并应根据烟气性质选择滤袋和袋笼材质。不得使用静电除尘和机械除尘装置</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46DB29E0">
                  <w:pPr>
                    <w:pStyle w:val="46"/>
                    <w:bidi w:val="0"/>
                    <w:jc w:val="both"/>
                    <w:rPr>
                      <w:rFonts w:hint="default" w:ascii="Times New Roman" w:hAnsi="Times New Roman" w:cs="Times New Roman"/>
                      <w:color w:val="auto"/>
                      <w:lang w:val="en-US" w:eastAsia="zh-CN"/>
                    </w:rPr>
                  </w:pPr>
                  <w:r>
                    <w:rPr>
                      <w:rFonts w:hint="eastAsia" w:cs="Times New Roman"/>
                      <w:color w:val="auto"/>
                      <w:lang w:val="en-US" w:eastAsia="zh-CN"/>
                    </w:rPr>
                    <w:t>项目利用的一般固废及替代燃料</w:t>
                  </w:r>
                  <w:r>
                    <w:rPr>
                      <w:rFonts w:hint="default" w:ascii="Times New Roman" w:hAnsi="Times New Roman" w:cs="Times New Roman"/>
                      <w:color w:val="auto"/>
                      <w:lang w:val="en-US" w:eastAsia="zh-CN"/>
                    </w:rPr>
                    <w:t>无需破碎等预处理；项目依托的水泥窑窑尾除尘器为</w:t>
                  </w:r>
                  <w:r>
                    <w:rPr>
                      <w:rFonts w:hint="default" w:ascii="Times New Roman" w:hAnsi="Times New Roman" w:cs="Times New Roman"/>
                      <w:color w:val="auto"/>
                    </w:rPr>
                    <w:t>袋式除尘器</w:t>
                  </w:r>
                  <w:r>
                    <w:rPr>
                      <w:rFonts w:hint="default" w:ascii="Times New Roman" w:hAnsi="Times New Roman" w:cs="Times New Roman"/>
                      <w:color w:val="auto"/>
                      <w:lang w:val="en-US" w:eastAsia="zh-CN"/>
                    </w:rPr>
                    <w:t>。</w:t>
                  </w:r>
                </w:p>
              </w:tc>
              <w:tc>
                <w:tcPr>
                  <w:tcW w:w="529" w:type="pct"/>
                  <w:tcBorders>
                    <w:tl2br w:val="nil"/>
                    <w:tr2bl w:val="nil"/>
                  </w:tcBorders>
                  <w:noWrap w:val="0"/>
                  <w:vAlign w:val="center"/>
                </w:tcPr>
                <w:p w14:paraId="080E20C1">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187B5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36BA79F3">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应采用雨污分流排水系统，废物运输车辆及贮存容器的冲洗废水、生产废水以及生活污水不得与雨水合流排放</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54E83261">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厂区已采用雨污分流系统。废物运输车辆无需冲洗。项目不新增生活污水，项目无废水产生。</w:t>
                  </w:r>
                </w:p>
              </w:tc>
              <w:tc>
                <w:tcPr>
                  <w:tcW w:w="529" w:type="pct"/>
                  <w:tcBorders>
                    <w:tl2br w:val="nil"/>
                    <w:tr2bl w:val="nil"/>
                  </w:tcBorders>
                  <w:noWrap w:val="0"/>
                  <w:vAlign w:val="center"/>
                </w:tcPr>
                <w:p w14:paraId="3E155E97">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3EEC4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1EB9D92F">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严禁将未经处理的废物渗滤液及污水以任何方式直接排放或随意倾倒</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5E4A18ED">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项目无渗滤液产生。</w:t>
                  </w:r>
                </w:p>
              </w:tc>
              <w:tc>
                <w:tcPr>
                  <w:tcW w:w="529" w:type="pct"/>
                  <w:tcBorders>
                    <w:tl2br w:val="nil"/>
                    <w:tr2bl w:val="nil"/>
                  </w:tcBorders>
                  <w:noWrap w:val="0"/>
                  <w:vAlign w:val="center"/>
                </w:tcPr>
                <w:p w14:paraId="1C950E1B">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3B440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74" w:type="pct"/>
                  <w:tcBorders>
                    <w:tl2br w:val="nil"/>
                    <w:tr2bl w:val="nil"/>
                  </w:tcBorders>
                  <w:noWrap w:val="0"/>
                  <w:vAlign w:val="center"/>
                </w:tcPr>
                <w:p w14:paraId="4601E8EE">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工业废物处置过程中产生的恶臭污染物的控制与防治应符合现行国家标准《恶臭污染物排放标准》GB14554的有关规定</w:t>
                  </w:r>
                  <w:r>
                    <w:rPr>
                      <w:rFonts w:hint="default" w:ascii="Times New Roman" w:hAnsi="Times New Roman" w:cs="Times New Roman"/>
                      <w:color w:val="auto"/>
                      <w:lang w:eastAsia="zh-CN"/>
                    </w:rPr>
                    <w:t>。</w:t>
                  </w:r>
                </w:p>
              </w:tc>
              <w:tc>
                <w:tcPr>
                  <w:tcW w:w="2095" w:type="pct"/>
                  <w:tcBorders>
                    <w:tl2br w:val="nil"/>
                    <w:tr2bl w:val="nil"/>
                  </w:tcBorders>
                  <w:noWrap w:val="0"/>
                  <w:vAlign w:val="center"/>
                </w:tcPr>
                <w:p w14:paraId="075B66AA">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本项目贮存无恶臭等废气产生。</w:t>
                  </w:r>
                </w:p>
              </w:tc>
              <w:tc>
                <w:tcPr>
                  <w:tcW w:w="529" w:type="pct"/>
                  <w:tcBorders>
                    <w:tl2br w:val="nil"/>
                    <w:tr2bl w:val="nil"/>
                  </w:tcBorders>
                  <w:noWrap w:val="0"/>
                  <w:vAlign w:val="center"/>
                </w:tcPr>
                <w:p w14:paraId="5BFDAD1C">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bl>
          <w:p w14:paraId="6229C26F">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cs="Times New Roman"/>
                <w:b/>
                <w:bCs/>
                <w:color w:val="auto"/>
                <w:sz w:val="24"/>
                <w:highlight w:val="none"/>
                <w:lang w:val="en-US" w:eastAsia="en-US"/>
              </w:rPr>
            </w:pPr>
            <w:r>
              <w:rPr>
                <w:rFonts w:hint="eastAsia" w:cs="Times New Roman"/>
                <w:b/>
                <w:bCs/>
                <w:color w:val="auto"/>
                <w:sz w:val="24"/>
                <w:highlight w:val="none"/>
                <w:lang w:val="en-US" w:eastAsia="zh-CN"/>
              </w:rPr>
              <w:t>10</w:t>
            </w:r>
            <w:r>
              <w:rPr>
                <w:rFonts w:hint="default" w:cs="Times New Roman"/>
                <w:b/>
                <w:bCs/>
                <w:color w:val="auto"/>
                <w:sz w:val="24"/>
                <w:highlight w:val="none"/>
                <w:lang w:val="en-US" w:eastAsia="zh-CN"/>
              </w:rPr>
              <w:t>、与《水泥工业污染防治技术政策》符合性分析</w:t>
            </w:r>
          </w:p>
          <w:p w14:paraId="28521A33">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水泥工业污染防治技术政策》（环保部公告2013年第31号）中指出“在确保污染物排放和其他环境保护事项符合相关法规、标准要求，并保障水泥产品使用中的环境安全前提下，可合理利用水泥生产设施处置工业废物、生活垃圾、污泥等固体废物及受污染土壤”。</w:t>
            </w:r>
          </w:p>
          <w:p w14:paraId="574D02A4">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本项目为利用现有4500t/d熟料新型干法水泥生产线，综合利用</w:t>
            </w:r>
            <w:r>
              <w:rPr>
                <w:rFonts w:hint="eastAsia" w:cs="Times New Roman"/>
                <w:color w:val="auto"/>
                <w:szCs w:val="24"/>
                <w:lang w:eastAsia="zh-CN"/>
              </w:rPr>
              <w:t>一般固废</w:t>
            </w:r>
            <w:r>
              <w:rPr>
                <w:rFonts w:hint="eastAsia" w:cs="Times New Roman"/>
                <w:color w:val="auto"/>
                <w:szCs w:val="24"/>
                <w:lang w:val="en-US" w:eastAsia="zh-CN"/>
              </w:rPr>
              <w:t>作为替代原、燃料，</w:t>
            </w:r>
            <w:r>
              <w:rPr>
                <w:rFonts w:hint="default" w:ascii="Times New Roman" w:hAnsi="Times New Roman" w:cs="Times New Roman"/>
                <w:color w:val="auto"/>
                <w:lang w:val="en-US" w:eastAsia="zh-CN"/>
              </w:rPr>
              <w:t>符合该政策内容。</w:t>
            </w:r>
          </w:p>
          <w:p w14:paraId="6B46199D">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1</w:t>
            </w:r>
            <w:r>
              <w:rPr>
                <w:rFonts w:hint="eastAsia" w:cs="Times New Roman"/>
                <w:b/>
                <w:bCs/>
                <w:color w:val="auto"/>
                <w:sz w:val="24"/>
                <w:highlight w:val="none"/>
                <w:lang w:val="en-US" w:eastAsia="zh-CN"/>
              </w:rPr>
              <w:t>1</w:t>
            </w:r>
            <w:r>
              <w:rPr>
                <w:rFonts w:hint="default" w:cs="Times New Roman"/>
                <w:b/>
                <w:bCs/>
                <w:color w:val="auto"/>
                <w:sz w:val="24"/>
                <w:highlight w:val="none"/>
                <w:lang w:val="en-US" w:eastAsia="zh-CN"/>
              </w:rPr>
              <w:t>、与《水泥窑协同处置固体废物环境保护技术规范》（HJ662-2013）符合性分析</w:t>
            </w:r>
          </w:p>
          <w:p w14:paraId="79E5048A">
            <w:pPr>
              <w:pStyle w:val="45"/>
              <w:bidi w:val="0"/>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表1-</w:t>
            </w:r>
            <w:r>
              <w:rPr>
                <w:rFonts w:hint="eastAsia" w:ascii="Times New Roman" w:hAnsi="Times New Roman" w:eastAsia="宋体" w:cs="Times New Roman"/>
                <w:b/>
                <w:bCs/>
                <w:color w:val="auto"/>
                <w:kern w:val="2"/>
                <w:sz w:val="24"/>
                <w:szCs w:val="21"/>
                <w:highlight w:val="none"/>
                <w:lang w:val="en-US" w:eastAsia="zh-CN" w:bidi="ar-SA"/>
              </w:rPr>
              <w:t>7</w:t>
            </w:r>
            <w:r>
              <w:rPr>
                <w:rFonts w:hint="default" w:ascii="Times New Roman" w:hAnsi="Times New Roman" w:eastAsia="宋体" w:cs="Times New Roman"/>
                <w:b/>
                <w:bCs/>
                <w:color w:val="auto"/>
                <w:kern w:val="2"/>
                <w:sz w:val="24"/>
                <w:szCs w:val="21"/>
                <w:highlight w:val="none"/>
                <w:lang w:val="en-US" w:eastAsia="zh-CN" w:bidi="ar-SA"/>
              </w:rPr>
              <w:t xml:space="preserve"> 项目与HJ662-2013重要前置条件符合性分析</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12"/>
              <w:gridCol w:w="663"/>
              <w:gridCol w:w="3412"/>
              <w:gridCol w:w="2588"/>
              <w:gridCol w:w="645"/>
            </w:tblGrid>
            <w:tr w14:paraId="6E0B1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38" w:type="pct"/>
                  <w:gridSpan w:val="4"/>
                  <w:tcBorders>
                    <w:tl2br w:val="nil"/>
                    <w:tr2bl w:val="nil"/>
                  </w:tcBorders>
                  <w:noWrap w:val="0"/>
                  <w:vAlign w:val="center"/>
                </w:tcPr>
                <w:p w14:paraId="65D4D7A8">
                  <w:pPr>
                    <w:pStyle w:val="46"/>
                    <w:bidi w:val="0"/>
                    <w:spacing w:line="240" w:lineRule="auto"/>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文件</w:t>
                  </w:r>
                  <w:r>
                    <w:rPr>
                      <w:rFonts w:hint="default" w:ascii="Times New Roman" w:hAnsi="Times New Roman" w:cs="Times New Roman"/>
                      <w:b/>
                      <w:bCs/>
                      <w:color w:val="auto"/>
                    </w:rPr>
                    <w:t>要求</w:t>
                  </w:r>
                </w:p>
              </w:tc>
              <w:tc>
                <w:tcPr>
                  <w:tcW w:w="1570" w:type="pct"/>
                  <w:tcBorders>
                    <w:tl2br w:val="nil"/>
                    <w:tr2bl w:val="nil"/>
                  </w:tcBorders>
                  <w:noWrap w:val="0"/>
                  <w:vAlign w:val="center"/>
                </w:tcPr>
                <w:p w14:paraId="3974418C">
                  <w:pPr>
                    <w:pStyle w:val="46"/>
                    <w:bidi w:val="0"/>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391" w:type="pct"/>
                  <w:tcBorders>
                    <w:tl2br w:val="nil"/>
                    <w:tr2bl w:val="nil"/>
                  </w:tcBorders>
                  <w:noWrap w:val="0"/>
                  <w:vAlign w:val="center"/>
                </w:tcPr>
                <w:p w14:paraId="38F6DABE">
                  <w:pPr>
                    <w:pStyle w:val="46"/>
                    <w:bidi w:val="0"/>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1F2CF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restart"/>
                  <w:tcBorders>
                    <w:tl2br w:val="nil"/>
                    <w:tr2bl w:val="nil"/>
                  </w:tcBorders>
                  <w:noWrap w:val="0"/>
                  <w:vAlign w:val="center"/>
                </w:tcPr>
                <w:p w14:paraId="54A09414">
                  <w:pPr>
                    <w:pStyle w:val="46"/>
                    <w:bidi w:val="0"/>
                    <w:spacing w:line="240" w:lineRule="auto"/>
                    <w:jc w:val="center"/>
                    <w:rPr>
                      <w:rFonts w:hint="default" w:ascii="Times New Roman" w:hAnsi="Times New Roman" w:cs="Times New Roman"/>
                      <w:b/>
                      <w:bCs/>
                      <w:color w:val="auto"/>
                      <w:lang w:val="en-US" w:eastAsia="zh-CN"/>
                    </w:rPr>
                  </w:pPr>
                  <w:r>
                    <w:rPr>
                      <w:rFonts w:hint="default" w:ascii="Times New Roman" w:hAnsi="Times New Roman" w:cs="Times New Roman"/>
                      <w:color w:val="auto"/>
                      <w:lang w:val="en-US" w:eastAsia="zh-CN"/>
                    </w:rPr>
                    <w:t>满足</w:t>
                  </w:r>
                  <w:r>
                    <w:rPr>
                      <w:rFonts w:hint="eastAsia" w:cs="Times New Roman"/>
                      <w:color w:val="auto"/>
                      <w:lang w:val="en-US" w:eastAsia="zh-CN"/>
                    </w:rPr>
                    <w:t>以下</w:t>
                  </w:r>
                  <w:r>
                    <w:rPr>
                      <w:rFonts w:hint="default" w:ascii="Times New Roman" w:hAnsi="Times New Roman" w:cs="Times New Roman"/>
                      <w:color w:val="auto"/>
                      <w:lang w:val="en-US" w:eastAsia="zh-CN"/>
                    </w:rPr>
                    <w:t>条件的水泥窑可用于协同处置固体废物</w:t>
                  </w:r>
                </w:p>
              </w:tc>
              <w:tc>
                <w:tcPr>
                  <w:tcW w:w="2070" w:type="pct"/>
                  <w:tcBorders>
                    <w:tl2br w:val="nil"/>
                    <w:tr2bl w:val="nil"/>
                  </w:tcBorders>
                  <w:noWrap w:val="0"/>
                  <w:vAlign w:val="center"/>
                </w:tcPr>
                <w:p w14:paraId="7480806F">
                  <w:pPr>
                    <w:pStyle w:val="46"/>
                    <w:bidi w:val="0"/>
                    <w:spacing w:line="240" w:lineRule="auto"/>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窑型为新型干法水泥窑</w:t>
                  </w:r>
                  <w:r>
                    <w:rPr>
                      <w:rFonts w:hint="default" w:ascii="Times New Roman" w:hAnsi="Times New Roman" w:cs="Times New Roman"/>
                      <w:color w:val="auto"/>
                      <w:lang w:eastAsia="zh-CN"/>
                    </w:rPr>
                    <w:t>。</w:t>
                  </w:r>
                </w:p>
              </w:tc>
              <w:tc>
                <w:tcPr>
                  <w:tcW w:w="1570" w:type="pct"/>
                  <w:vMerge w:val="restart"/>
                  <w:tcBorders>
                    <w:tl2br w:val="nil"/>
                    <w:tr2bl w:val="nil"/>
                  </w:tcBorders>
                  <w:noWrap w:val="0"/>
                  <w:vAlign w:val="center"/>
                </w:tcPr>
                <w:p w14:paraId="03F137A6">
                  <w:pPr>
                    <w:pStyle w:val="46"/>
                    <w:bidi w:val="0"/>
                    <w:spacing w:line="240" w:lineRule="auto"/>
                    <w:jc w:val="left"/>
                    <w:rPr>
                      <w:rFonts w:hint="default" w:ascii="Times New Roman" w:hAnsi="Times New Roman" w:cs="Times New Roman"/>
                      <w:b/>
                      <w:bCs/>
                      <w:color w:val="auto"/>
                    </w:rPr>
                  </w:pPr>
                  <w:r>
                    <w:rPr>
                      <w:rFonts w:hint="default" w:ascii="Times New Roman" w:hAnsi="Times New Roman" w:eastAsia="宋体" w:cs="Times New Roman"/>
                      <w:color w:val="auto"/>
                      <w:lang w:val="en-US" w:eastAsia="zh-CN"/>
                    </w:rPr>
                    <w:t>本项目依托的水泥窑为产能4500t/d的新型干法水泥窑。</w:t>
                  </w:r>
                </w:p>
              </w:tc>
              <w:tc>
                <w:tcPr>
                  <w:tcW w:w="391" w:type="pct"/>
                  <w:tcBorders>
                    <w:tl2br w:val="nil"/>
                    <w:tr2bl w:val="nil"/>
                  </w:tcBorders>
                  <w:noWrap w:val="0"/>
                  <w:vAlign w:val="center"/>
                </w:tcPr>
                <w:p w14:paraId="129C43E0">
                  <w:pPr>
                    <w:pStyle w:val="46"/>
                    <w:bidi w:val="0"/>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cs="Times New Roman"/>
                      <w:b w:val="0"/>
                      <w:bCs w:val="0"/>
                      <w:color w:val="auto"/>
                      <w:lang w:val="en-US" w:eastAsia="zh-CN"/>
                    </w:rPr>
                    <w:t>符合</w:t>
                  </w:r>
                </w:p>
              </w:tc>
            </w:tr>
            <w:tr w14:paraId="0DA2C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continue"/>
                  <w:tcBorders>
                    <w:tl2br w:val="nil"/>
                    <w:tr2bl w:val="nil"/>
                  </w:tcBorders>
                  <w:noWrap w:val="0"/>
                  <w:vAlign w:val="center"/>
                </w:tcPr>
                <w:p w14:paraId="52116EC9">
                  <w:pPr>
                    <w:pStyle w:val="46"/>
                    <w:bidi w:val="0"/>
                    <w:spacing w:line="240" w:lineRule="auto"/>
                    <w:jc w:val="center"/>
                    <w:rPr>
                      <w:rFonts w:hint="default" w:ascii="Times New Roman" w:hAnsi="Times New Roman" w:cs="Times New Roman"/>
                      <w:b/>
                      <w:bCs/>
                      <w:color w:val="auto"/>
                      <w:lang w:val="en-US" w:eastAsia="zh-CN"/>
                    </w:rPr>
                  </w:pPr>
                </w:p>
              </w:tc>
              <w:tc>
                <w:tcPr>
                  <w:tcW w:w="2070" w:type="pct"/>
                  <w:tcBorders>
                    <w:tl2br w:val="nil"/>
                    <w:tr2bl w:val="nil"/>
                  </w:tcBorders>
                  <w:noWrap w:val="0"/>
                  <w:vAlign w:val="center"/>
                </w:tcPr>
                <w:p w14:paraId="7214142F">
                  <w:pPr>
                    <w:pStyle w:val="46"/>
                    <w:bidi w:val="0"/>
                    <w:spacing w:line="240" w:lineRule="auto"/>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单线设计熟料生产规模不小于2000吨/日</w:t>
                  </w:r>
                  <w:r>
                    <w:rPr>
                      <w:rFonts w:hint="default" w:ascii="Times New Roman" w:hAnsi="Times New Roman" w:cs="Times New Roman"/>
                      <w:color w:val="auto"/>
                      <w:lang w:eastAsia="zh-CN"/>
                    </w:rPr>
                    <w:t>。</w:t>
                  </w:r>
                </w:p>
              </w:tc>
              <w:tc>
                <w:tcPr>
                  <w:tcW w:w="1570" w:type="pct"/>
                  <w:vMerge w:val="continue"/>
                  <w:tcBorders>
                    <w:tl2br w:val="nil"/>
                    <w:tr2bl w:val="nil"/>
                  </w:tcBorders>
                  <w:noWrap w:val="0"/>
                  <w:vAlign w:val="center"/>
                </w:tcPr>
                <w:p w14:paraId="0A3A721C">
                  <w:pPr>
                    <w:pStyle w:val="46"/>
                    <w:bidi w:val="0"/>
                    <w:spacing w:line="240" w:lineRule="auto"/>
                    <w:jc w:val="left"/>
                    <w:rPr>
                      <w:rFonts w:hint="default" w:ascii="Times New Roman" w:hAnsi="Times New Roman" w:cs="Times New Roman"/>
                      <w:b/>
                      <w:bCs/>
                      <w:color w:val="auto"/>
                    </w:rPr>
                  </w:pPr>
                </w:p>
              </w:tc>
              <w:tc>
                <w:tcPr>
                  <w:tcW w:w="391" w:type="pct"/>
                  <w:tcBorders>
                    <w:tl2br w:val="nil"/>
                    <w:tr2bl w:val="nil"/>
                  </w:tcBorders>
                  <w:noWrap w:val="0"/>
                  <w:vAlign w:val="center"/>
                </w:tcPr>
                <w:p w14:paraId="7DB96713">
                  <w:pPr>
                    <w:pStyle w:val="46"/>
                    <w:bidi w:val="0"/>
                    <w:spacing w:line="240" w:lineRule="auto"/>
                    <w:jc w:val="center"/>
                    <w:rPr>
                      <w:rFonts w:hint="default" w:ascii="Times New Roman" w:hAnsi="Times New Roman" w:cs="Times New Roman"/>
                      <w:b/>
                      <w:bCs/>
                      <w:color w:val="auto"/>
                    </w:rPr>
                  </w:pPr>
                  <w:r>
                    <w:rPr>
                      <w:rFonts w:hint="default" w:ascii="Times New Roman" w:hAnsi="Times New Roman" w:cs="Times New Roman"/>
                      <w:b w:val="0"/>
                      <w:bCs w:val="0"/>
                      <w:color w:val="auto"/>
                      <w:lang w:val="en-US" w:eastAsia="zh-CN"/>
                    </w:rPr>
                    <w:t>符合</w:t>
                  </w:r>
                </w:p>
              </w:tc>
            </w:tr>
            <w:tr w14:paraId="69BA2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continue"/>
                  <w:tcBorders>
                    <w:tl2br w:val="nil"/>
                    <w:tr2bl w:val="nil"/>
                  </w:tcBorders>
                  <w:noWrap w:val="0"/>
                  <w:vAlign w:val="center"/>
                </w:tcPr>
                <w:p w14:paraId="714CCBA0">
                  <w:pPr>
                    <w:pStyle w:val="46"/>
                    <w:bidi w:val="0"/>
                    <w:spacing w:line="240" w:lineRule="auto"/>
                    <w:jc w:val="center"/>
                    <w:rPr>
                      <w:rFonts w:hint="default" w:ascii="Times New Roman" w:hAnsi="Times New Roman" w:cs="Times New Roman"/>
                      <w:color w:val="auto"/>
                    </w:rPr>
                  </w:pPr>
                </w:p>
              </w:tc>
              <w:tc>
                <w:tcPr>
                  <w:tcW w:w="2070" w:type="pct"/>
                  <w:tcBorders>
                    <w:tl2br w:val="nil"/>
                    <w:tr2bl w:val="nil"/>
                  </w:tcBorders>
                  <w:noWrap w:val="0"/>
                  <w:vAlign w:val="center"/>
                </w:tcPr>
                <w:p w14:paraId="65BD800A">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对于改造利用原有设施协调处置固体废物的水泥窑，在改造之前原有设施应连续两年达到GB4915的要求。</w:t>
                  </w:r>
                </w:p>
              </w:tc>
              <w:tc>
                <w:tcPr>
                  <w:tcW w:w="1570" w:type="pct"/>
                  <w:tcBorders>
                    <w:tl2br w:val="nil"/>
                    <w:tr2bl w:val="nil"/>
                  </w:tcBorders>
                  <w:noWrap w:val="0"/>
                  <w:vAlign w:val="center"/>
                </w:tcPr>
                <w:p w14:paraId="005EBB6F">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根据现有项目近两年在线监测数据，窑尾废气排放满足《水泥工业大气污染物排放标准》GB4915标准要求。</w:t>
                  </w:r>
                </w:p>
              </w:tc>
              <w:tc>
                <w:tcPr>
                  <w:tcW w:w="391" w:type="pct"/>
                  <w:tcBorders>
                    <w:tl2br w:val="nil"/>
                    <w:tr2bl w:val="nil"/>
                  </w:tcBorders>
                  <w:noWrap w:val="0"/>
                  <w:vAlign w:val="center"/>
                </w:tcPr>
                <w:p w14:paraId="1586614F">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232E1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restart"/>
                  <w:tcBorders>
                    <w:tl2br w:val="nil"/>
                    <w:tr2bl w:val="nil"/>
                  </w:tcBorders>
                  <w:noWrap w:val="0"/>
                  <w:vAlign w:val="center"/>
                </w:tcPr>
                <w:p w14:paraId="7652D2FB">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用于协同处置固体废物的水泥窑应具备的功能</w:t>
                  </w:r>
                </w:p>
              </w:tc>
              <w:tc>
                <w:tcPr>
                  <w:tcW w:w="2070" w:type="pct"/>
                  <w:tcBorders>
                    <w:tl2br w:val="nil"/>
                    <w:tr2bl w:val="nil"/>
                  </w:tcBorders>
                  <w:noWrap w:val="0"/>
                  <w:vAlign w:val="center"/>
                </w:tcPr>
                <w:p w14:paraId="0F8EC147">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采用窑磨一体机模式。</w:t>
                  </w:r>
                </w:p>
              </w:tc>
              <w:tc>
                <w:tcPr>
                  <w:tcW w:w="1570" w:type="pct"/>
                  <w:tcBorders>
                    <w:tl2br w:val="nil"/>
                    <w:tr2bl w:val="nil"/>
                  </w:tcBorders>
                  <w:noWrap w:val="0"/>
                  <w:vAlign w:val="center"/>
                </w:tcPr>
                <w:p w14:paraId="454CE448">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项目水泥窑采用</w:t>
                  </w:r>
                  <w:r>
                    <w:rPr>
                      <w:rFonts w:hint="default" w:ascii="Times New Roman" w:hAnsi="Times New Roman" w:eastAsia="宋体" w:cs="Times New Roman"/>
                      <w:color w:val="auto"/>
                      <w:kern w:val="0"/>
                      <w:sz w:val="21"/>
                      <w:szCs w:val="21"/>
                      <w:lang w:val="en-US" w:eastAsia="zh-CN" w:bidi="ar-SA"/>
                    </w:rPr>
                    <w:t>窑磨一体机模式。</w:t>
                  </w:r>
                </w:p>
              </w:tc>
              <w:tc>
                <w:tcPr>
                  <w:tcW w:w="391" w:type="pct"/>
                  <w:tcBorders>
                    <w:tl2br w:val="nil"/>
                    <w:tr2bl w:val="nil"/>
                  </w:tcBorders>
                  <w:noWrap w:val="0"/>
                  <w:vAlign w:val="center"/>
                </w:tcPr>
                <w:p w14:paraId="7DD094AC">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08B23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continue"/>
                  <w:tcBorders>
                    <w:tl2br w:val="nil"/>
                    <w:tr2bl w:val="nil"/>
                  </w:tcBorders>
                  <w:noWrap w:val="0"/>
                  <w:vAlign w:val="center"/>
                </w:tcPr>
                <w:p w14:paraId="63B754AC">
                  <w:pPr>
                    <w:pStyle w:val="46"/>
                    <w:bidi w:val="0"/>
                    <w:spacing w:line="240" w:lineRule="auto"/>
                    <w:jc w:val="center"/>
                    <w:rPr>
                      <w:rFonts w:hint="default" w:ascii="Times New Roman" w:hAnsi="Times New Roman" w:cs="Times New Roman"/>
                      <w:color w:val="auto"/>
                    </w:rPr>
                  </w:pPr>
                </w:p>
              </w:tc>
              <w:tc>
                <w:tcPr>
                  <w:tcW w:w="2070" w:type="pct"/>
                  <w:tcBorders>
                    <w:tl2br w:val="nil"/>
                    <w:tr2bl w:val="nil"/>
                  </w:tcBorders>
                  <w:noWrap w:val="0"/>
                  <w:vAlign w:val="center"/>
                </w:tcPr>
                <w:p w14:paraId="3B60A4F9">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配备在线监测设备，保证运行工况的稳定。</w:t>
                  </w:r>
                </w:p>
              </w:tc>
              <w:tc>
                <w:tcPr>
                  <w:tcW w:w="1570" w:type="pct"/>
                  <w:tcBorders>
                    <w:tl2br w:val="nil"/>
                    <w:tr2bl w:val="nil"/>
                  </w:tcBorders>
                  <w:noWrap w:val="0"/>
                  <w:vAlign w:val="center"/>
                </w:tcPr>
                <w:p w14:paraId="249F13AB">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水泥窑窑尾废气已安装在线监测装置并运行稳定。</w:t>
                  </w:r>
                </w:p>
              </w:tc>
              <w:tc>
                <w:tcPr>
                  <w:tcW w:w="391" w:type="pct"/>
                  <w:tcBorders>
                    <w:tl2br w:val="nil"/>
                    <w:tr2bl w:val="nil"/>
                  </w:tcBorders>
                  <w:noWrap w:val="0"/>
                  <w:vAlign w:val="center"/>
                </w:tcPr>
                <w:p w14:paraId="7D95CFE2">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37B4D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continue"/>
                  <w:tcBorders>
                    <w:tl2br w:val="nil"/>
                    <w:tr2bl w:val="nil"/>
                  </w:tcBorders>
                  <w:noWrap w:val="0"/>
                  <w:vAlign w:val="center"/>
                </w:tcPr>
                <w:p w14:paraId="3207D82C">
                  <w:pPr>
                    <w:pStyle w:val="46"/>
                    <w:bidi w:val="0"/>
                    <w:spacing w:line="240" w:lineRule="auto"/>
                    <w:jc w:val="center"/>
                    <w:rPr>
                      <w:rFonts w:hint="default" w:ascii="Times New Roman" w:hAnsi="Times New Roman" w:cs="Times New Roman"/>
                      <w:color w:val="auto"/>
                    </w:rPr>
                  </w:pPr>
                </w:p>
              </w:tc>
              <w:tc>
                <w:tcPr>
                  <w:tcW w:w="2070" w:type="pct"/>
                  <w:tcBorders>
                    <w:tl2br w:val="nil"/>
                    <w:tr2bl w:val="nil"/>
                  </w:tcBorders>
                  <w:noWrap w:val="0"/>
                  <w:vAlign w:val="center"/>
                </w:tcPr>
                <w:p w14:paraId="1D90CC67">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水泥窑及窑尾余热利用系统采用高效电袋复合除尘器作为烟气除尘设施，保证排放烟气中颗粒物浓度满足GB30485的要求。</w:t>
                  </w:r>
                </w:p>
              </w:tc>
              <w:tc>
                <w:tcPr>
                  <w:tcW w:w="1570" w:type="pct"/>
                  <w:tcBorders>
                    <w:tl2br w:val="nil"/>
                    <w:tr2bl w:val="nil"/>
                  </w:tcBorders>
                  <w:noWrap w:val="0"/>
                  <w:vAlign w:val="center"/>
                </w:tcPr>
                <w:p w14:paraId="4D515CB4">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水泥窑窑尾采用</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Cs w:val="21"/>
                    </w:rPr>
                    <w:t>低氮燃烧</w:t>
                  </w:r>
                  <w:r>
                    <w:rPr>
                      <w:rFonts w:hint="default" w:ascii="Times New Roman" w:hAnsi="Times New Roman" w:eastAsia="Times New Roman" w:cs="Times New Roman"/>
                      <w:color w:val="auto"/>
                      <w:szCs w:val="21"/>
                    </w:rPr>
                    <w:t>+</w:t>
                  </w:r>
                  <w:r>
                    <w:rPr>
                      <w:rFonts w:hint="default" w:ascii="Times New Roman" w:hAnsi="Times New Roman" w:cs="Times New Roman"/>
                      <w:color w:val="auto"/>
                      <w:szCs w:val="21"/>
                    </w:rPr>
                    <w:t>高温</w:t>
                  </w:r>
                  <w:r>
                    <w:rPr>
                      <w:rFonts w:hint="default" w:ascii="Times New Roman" w:hAnsi="Times New Roman" w:eastAsia="Times New Roman" w:cs="Times New Roman"/>
                      <w:color w:val="auto"/>
                      <w:szCs w:val="21"/>
                    </w:rPr>
                    <w:t>+</w:t>
                  </w:r>
                  <w:r>
                    <w:rPr>
                      <w:rFonts w:hint="default" w:ascii="Times New Roman" w:hAnsi="Times New Roman" w:cs="Times New Roman"/>
                      <w:color w:val="auto"/>
                      <w:szCs w:val="21"/>
                    </w:rPr>
                    <w:t>碱性环境</w:t>
                  </w:r>
                  <w:r>
                    <w:rPr>
                      <w:rFonts w:hint="default" w:ascii="Times New Roman" w:hAnsi="Times New Roman" w:eastAsia="Times New Roman" w:cs="Times New Roman"/>
                      <w:color w:val="auto"/>
                      <w:szCs w:val="21"/>
                    </w:rPr>
                    <w:t>+SCR+</w:t>
                  </w:r>
                  <w:r>
                    <w:rPr>
                      <w:rFonts w:hint="default" w:ascii="Times New Roman" w:hAnsi="Times New Roman" w:cs="Times New Roman"/>
                      <w:color w:val="auto"/>
                      <w:szCs w:val="21"/>
                    </w:rPr>
                    <w:t>袋式除尘器</w:t>
                  </w:r>
                  <w:r>
                    <w:rPr>
                      <w:rFonts w:hint="default" w:ascii="Times New Roman" w:hAnsi="Times New Roman" w:eastAsia="宋体" w:cs="Times New Roman"/>
                      <w:color w:val="auto"/>
                      <w:sz w:val="21"/>
                      <w:szCs w:val="21"/>
                      <w:lang w:val="en-US" w:eastAsia="zh-CN"/>
                    </w:rPr>
                    <w:t>”处理</w:t>
                  </w:r>
                  <w:r>
                    <w:rPr>
                      <w:rFonts w:hint="default" w:ascii="Times New Roman" w:hAnsi="Times New Roman" w:eastAsia="宋体" w:cs="Times New Roman"/>
                      <w:color w:val="auto"/>
                      <w:lang w:val="en-US" w:eastAsia="zh-CN"/>
                    </w:rPr>
                    <w:t>。根据现有工程的在线监测数据，烟气中的颗粒物浓度可满足GB30485的要求。</w:t>
                  </w:r>
                </w:p>
              </w:tc>
              <w:tc>
                <w:tcPr>
                  <w:tcW w:w="391" w:type="pct"/>
                  <w:tcBorders>
                    <w:tl2br w:val="nil"/>
                    <w:tr2bl w:val="nil"/>
                  </w:tcBorders>
                  <w:noWrap w:val="0"/>
                  <w:vAlign w:val="center"/>
                </w:tcPr>
                <w:p w14:paraId="692E5815">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5B21A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continue"/>
                  <w:tcBorders>
                    <w:tl2br w:val="nil"/>
                    <w:tr2bl w:val="nil"/>
                  </w:tcBorders>
                  <w:noWrap w:val="0"/>
                  <w:vAlign w:val="center"/>
                </w:tcPr>
                <w:p w14:paraId="620D1F79">
                  <w:pPr>
                    <w:pStyle w:val="46"/>
                    <w:bidi w:val="0"/>
                    <w:spacing w:line="240" w:lineRule="auto"/>
                    <w:jc w:val="center"/>
                    <w:rPr>
                      <w:rFonts w:hint="default" w:ascii="Times New Roman" w:hAnsi="Times New Roman" w:cs="Times New Roman"/>
                      <w:color w:val="auto"/>
                    </w:rPr>
                  </w:pPr>
                </w:p>
              </w:tc>
              <w:tc>
                <w:tcPr>
                  <w:tcW w:w="2070" w:type="pct"/>
                  <w:tcBorders>
                    <w:tl2br w:val="nil"/>
                    <w:tr2bl w:val="nil"/>
                  </w:tcBorders>
                  <w:noWrap w:val="0"/>
                  <w:vAlign w:val="center"/>
                </w:tcPr>
                <w:p w14:paraId="7424A9EA">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配备窑灰返窑装置，将除尘器等烟气处理装置收集的窑灰返回送往生料入窑系统。</w:t>
                  </w:r>
                </w:p>
              </w:tc>
              <w:tc>
                <w:tcPr>
                  <w:tcW w:w="1570" w:type="pct"/>
                  <w:tcBorders>
                    <w:tl2br w:val="nil"/>
                    <w:tr2bl w:val="nil"/>
                  </w:tcBorders>
                  <w:noWrap w:val="0"/>
                  <w:vAlign w:val="center"/>
                </w:tcPr>
                <w:p w14:paraId="3E0396A0">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已建设窑灰储存及输送系统，将收尘器收集的窑灰返回送往生料入窑系统。</w:t>
                  </w:r>
                </w:p>
              </w:tc>
              <w:tc>
                <w:tcPr>
                  <w:tcW w:w="391" w:type="pct"/>
                  <w:tcBorders>
                    <w:tl2br w:val="nil"/>
                    <w:tr2bl w:val="nil"/>
                  </w:tcBorders>
                  <w:noWrap w:val="0"/>
                  <w:vAlign w:val="center"/>
                </w:tcPr>
                <w:p w14:paraId="3472AA66">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67D5A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restart"/>
                  <w:tcBorders>
                    <w:tl2br w:val="nil"/>
                    <w:tr2bl w:val="nil"/>
                  </w:tcBorders>
                  <w:noWrap w:val="0"/>
                  <w:vAlign w:val="center"/>
                </w:tcPr>
                <w:p w14:paraId="07D1DCC2">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用于协同处置固体废物的水泥窑所</w:t>
                  </w:r>
                </w:p>
                <w:p w14:paraId="0326B687">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处位置应满足的条件</w:t>
                  </w:r>
                </w:p>
              </w:tc>
              <w:tc>
                <w:tcPr>
                  <w:tcW w:w="2070" w:type="pct"/>
                  <w:tcBorders>
                    <w:tl2br w:val="nil"/>
                    <w:tr2bl w:val="nil"/>
                  </w:tcBorders>
                  <w:noWrap w:val="0"/>
                  <w:vAlign w:val="center"/>
                </w:tcPr>
                <w:p w14:paraId="7E189CBA">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符合城市总体发展规划、城市工业发展规划要求。</w:t>
                  </w:r>
                </w:p>
              </w:tc>
              <w:tc>
                <w:tcPr>
                  <w:tcW w:w="1570" w:type="pct"/>
                  <w:tcBorders>
                    <w:tl2br w:val="nil"/>
                    <w:tr2bl w:val="nil"/>
                  </w:tcBorders>
                  <w:noWrap w:val="0"/>
                  <w:vAlign w:val="center"/>
                </w:tcPr>
                <w:p w14:paraId="1A5693E0">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项目位于泗水县苗馆镇济宁海螺水泥有限责任公司现场厂区内，项目的建设符合苗馆镇发展规划要求。</w:t>
                  </w:r>
                </w:p>
              </w:tc>
              <w:tc>
                <w:tcPr>
                  <w:tcW w:w="391" w:type="pct"/>
                  <w:tcBorders>
                    <w:tl2br w:val="nil"/>
                    <w:tr2bl w:val="nil"/>
                  </w:tcBorders>
                  <w:noWrap w:val="0"/>
                  <w:vAlign w:val="center"/>
                </w:tcPr>
                <w:p w14:paraId="202512C2">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1EDE4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7" w:type="pct"/>
                  <w:gridSpan w:val="3"/>
                  <w:vMerge w:val="continue"/>
                  <w:tcBorders>
                    <w:tl2br w:val="nil"/>
                    <w:tr2bl w:val="nil"/>
                  </w:tcBorders>
                  <w:noWrap w:val="0"/>
                  <w:vAlign w:val="center"/>
                </w:tcPr>
                <w:p w14:paraId="502EED5E">
                  <w:pPr>
                    <w:pStyle w:val="46"/>
                    <w:bidi w:val="0"/>
                    <w:spacing w:line="240" w:lineRule="auto"/>
                    <w:jc w:val="center"/>
                    <w:rPr>
                      <w:rFonts w:hint="default" w:ascii="Times New Roman" w:hAnsi="Times New Roman" w:cs="Times New Roman"/>
                      <w:color w:val="auto"/>
                    </w:rPr>
                  </w:pPr>
                </w:p>
              </w:tc>
              <w:tc>
                <w:tcPr>
                  <w:tcW w:w="2070" w:type="pct"/>
                  <w:tcBorders>
                    <w:tl2br w:val="nil"/>
                    <w:tr2bl w:val="nil"/>
                  </w:tcBorders>
                  <w:noWrap w:val="0"/>
                  <w:vAlign w:val="center"/>
                </w:tcPr>
                <w:p w14:paraId="7AC5FD5C">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所在区域无洪水、潮水或内涝威胁。设施所在标高应位于重现期不小于100年一遇的洪水位之上，并建设在现有和各类规划中的水库等人工蓄水设施的淹没区和保护区之外。</w:t>
                  </w:r>
                </w:p>
              </w:tc>
              <w:tc>
                <w:tcPr>
                  <w:tcW w:w="1570" w:type="pct"/>
                  <w:tcBorders>
                    <w:tl2br w:val="nil"/>
                    <w:tr2bl w:val="nil"/>
                  </w:tcBorders>
                  <w:noWrap w:val="0"/>
                  <w:vAlign w:val="center"/>
                </w:tcPr>
                <w:p w14:paraId="761E84A6">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项目所在地区无洪水</w:t>
                  </w:r>
                  <w:r>
                    <w:rPr>
                      <w:rFonts w:hint="default" w:ascii="Times New Roman" w:hAnsi="Times New Roman" w:eastAsia="宋体" w:cs="Times New Roman"/>
                      <w:color w:val="auto"/>
                      <w:kern w:val="0"/>
                      <w:sz w:val="21"/>
                      <w:szCs w:val="21"/>
                      <w:lang w:val="en-US" w:eastAsia="zh-CN" w:bidi="ar-SA"/>
                    </w:rPr>
                    <w:t>、潮水或内涝威胁。</w:t>
                  </w:r>
                </w:p>
              </w:tc>
              <w:tc>
                <w:tcPr>
                  <w:tcW w:w="391" w:type="pct"/>
                  <w:tcBorders>
                    <w:tl2br w:val="nil"/>
                    <w:tr2bl w:val="nil"/>
                  </w:tcBorders>
                  <w:noWrap w:val="0"/>
                  <w:vAlign w:val="center"/>
                </w:tcPr>
                <w:p w14:paraId="1BA574AE">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251F7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5" w:type="pct"/>
                  <w:vMerge w:val="restart"/>
                  <w:tcBorders>
                    <w:tl2br w:val="nil"/>
                    <w:tr2bl w:val="nil"/>
                  </w:tcBorders>
                  <w:noWrap w:val="0"/>
                  <w:vAlign w:val="center"/>
                </w:tcPr>
                <w:p w14:paraId="74C31C34">
                  <w:pPr>
                    <w:pStyle w:val="46"/>
                    <w:bidi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关于投加点的相关要求</w:t>
                  </w:r>
                </w:p>
              </w:tc>
              <w:tc>
                <w:tcPr>
                  <w:tcW w:w="250" w:type="pct"/>
                  <w:vMerge w:val="restart"/>
                  <w:tcBorders>
                    <w:tl2br w:val="nil"/>
                    <w:tr2bl w:val="nil"/>
                  </w:tcBorders>
                  <w:noWrap w:val="0"/>
                  <w:vAlign w:val="center"/>
                </w:tcPr>
                <w:p w14:paraId="5C186DE9">
                  <w:pPr>
                    <w:pStyle w:val="46"/>
                    <w:bidi w:val="0"/>
                    <w:spacing w:line="240" w:lineRule="auto"/>
                    <w:jc w:val="center"/>
                    <w:rPr>
                      <w:rFonts w:hint="eastAsia" w:cs="Times New Roman"/>
                      <w:color w:val="auto"/>
                      <w:lang w:val="en-US" w:eastAsia="zh-CN"/>
                    </w:rPr>
                  </w:pPr>
                  <w:r>
                    <w:rPr>
                      <w:rFonts w:hint="default" w:ascii="Times New Roman" w:hAnsi="Times New Roman" w:cs="Times New Roman"/>
                      <w:color w:val="auto"/>
                      <w:sz w:val="21"/>
                      <w:szCs w:val="21"/>
                      <w:lang w:val="en-US" w:eastAsia="zh-CN"/>
                    </w:rPr>
                    <w:t>窑头高温段</w:t>
                  </w:r>
                </w:p>
              </w:tc>
              <w:tc>
                <w:tcPr>
                  <w:tcW w:w="402" w:type="pct"/>
                  <w:tcBorders>
                    <w:tl2br w:val="nil"/>
                    <w:tr2bl w:val="nil"/>
                  </w:tcBorders>
                  <w:noWrap w:val="0"/>
                  <w:vAlign w:val="center"/>
                </w:tcPr>
                <w:p w14:paraId="307C3F40">
                  <w:pPr>
                    <w:pStyle w:val="46"/>
                    <w:bidi w:val="0"/>
                    <w:spacing w:line="240" w:lineRule="auto"/>
                    <w:jc w:val="center"/>
                    <w:rPr>
                      <w:rFonts w:hint="eastAsia" w:cs="Times New Roman"/>
                      <w:color w:val="auto"/>
                      <w:lang w:val="en-US" w:eastAsia="zh-CN"/>
                    </w:rPr>
                  </w:pPr>
                  <w:r>
                    <w:rPr>
                      <w:rFonts w:hint="default" w:ascii="Times New Roman" w:hAnsi="Times New Roman" w:cs="Times New Roman"/>
                      <w:color w:val="auto"/>
                      <w:kern w:val="0"/>
                      <w:sz w:val="21"/>
                      <w:szCs w:val="21"/>
                      <w:lang w:val="en-US" w:eastAsia="zh-CN"/>
                    </w:rPr>
                    <w:t>主燃烧器</w:t>
                  </w:r>
                </w:p>
              </w:tc>
              <w:tc>
                <w:tcPr>
                  <w:tcW w:w="2070" w:type="pct"/>
                  <w:tcBorders>
                    <w:tl2br w:val="nil"/>
                    <w:tr2bl w:val="nil"/>
                  </w:tcBorders>
                  <w:noWrap w:val="0"/>
                  <w:vAlign w:val="center"/>
                </w:tcPr>
                <w:p w14:paraId="47764D65">
                  <w:pPr>
                    <w:spacing w:line="240" w:lineRule="auto"/>
                    <w:jc w:val="both"/>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（1）具有以下特性的固体废物宜在主燃烧器投加：</w:t>
                  </w:r>
                </w:p>
                <w:p w14:paraId="25F31734">
                  <w:pPr>
                    <w:spacing w:line="240" w:lineRule="auto"/>
                    <w:jc w:val="both"/>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①液态或易于气力输送的粉状废物；②含POPs物质或高氯、高毒、难降解有机物质的废物；③热值高、含水率低的有机废液。</w:t>
                  </w:r>
                </w:p>
                <w:p w14:paraId="303F8C7F">
                  <w:pPr>
                    <w:spacing w:line="240" w:lineRule="auto"/>
                    <w:jc w:val="both"/>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（2）在主燃烧器投加固体废物操作中应满足以下条件：</w:t>
                  </w:r>
                </w:p>
                <w:p w14:paraId="59BCE91A">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vertAlign w:val="baseline"/>
                      <w:lang w:val="en-US" w:eastAsia="zh-CN"/>
                    </w:rPr>
                    <w:t>①通过泵力输送投加的液态废物不应含有沉淀物，以免堵塞燃烧器喷嘴；②通过气力输送投加的粉状废物，从多通道燃烧器的不同通道喷入窑内，若废物|灰分含量高，尽可能喷入更远的距离，尽量达到固相反应带。</w:t>
                  </w:r>
                </w:p>
              </w:tc>
              <w:tc>
                <w:tcPr>
                  <w:tcW w:w="1570" w:type="pct"/>
                  <w:vMerge w:val="restart"/>
                  <w:tcBorders>
                    <w:tl2br w:val="nil"/>
                    <w:tr2bl w:val="nil"/>
                  </w:tcBorders>
                  <w:noWrap w:val="0"/>
                  <w:vAlign w:val="center"/>
                </w:tcPr>
                <w:p w14:paraId="09581ABB">
                  <w:pPr>
                    <w:pStyle w:val="46"/>
                    <w:bidi w:val="0"/>
                    <w:spacing w:line="240" w:lineRule="auto"/>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考虑进料装置的要求和投加口的工况特点、同类型水泥企业实际运行，</w:t>
                  </w:r>
                  <w:r>
                    <w:rPr>
                      <w:rFonts w:hint="eastAsia" w:cs="Times New Roman"/>
                      <w:color w:val="auto"/>
                      <w:lang w:val="en-US" w:eastAsia="zh-CN"/>
                    </w:rPr>
                    <w:t>本</w:t>
                  </w:r>
                  <w:r>
                    <w:rPr>
                      <w:rFonts w:hint="default" w:ascii="Times New Roman" w:hAnsi="Times New Roman" w:eastAsia="宋体" w:cs="Times New Roman"/>
                      <w:color w:val="auto"/>
                      <w:lang w:val="en-US" w:eastAsia="zh-CN"/>
                    </w:rPr>
                    <w:t>项目设置</w:t>
                  </w:r>
                  <w:r>
                    <w:rPr>
                      <w:rFonts w:hint="eastAsia" w:cs="Times New Roman"/>
                      <w:color w:val="auto"/>
                      <w:lang w:val="en-US" w:eastAsia="zh-CN"/>
                    </w:rPr>
                    <w:t>2</w:t>
                  </w:r>
                  <w:r>
                    <w:rPr>
                      <w:rFonts w:hint="default" w:ascii="Times New Roman" w:hAnsi="Times New Roman" w:eastAsia="宋体" w:cs="Times New Roman"/>
                      <w:color w:val="auto"/>
                      <w:lang w:val="en-US" w:eastAsia="zh-CN"/>
                    </w:rPr>
                    <w:t>个投料点，替代燃料经计量、输送至窑尾分解炉，从分解炉投加入窑；其余替代原料经计量、皮带输送机输送至生料磨旁，投入生料配料系统</w:t>
                  </w:r>
                  <w:r>
                    <w:rPr>
                      <w:rFonts w:hint="eastAsia" w:cs="Times New Roman"/>
                      <w:color w:val="auto"/>
                      <w:lang w:val="en-US" w:eastAsia="zh-CN"/>
                    </w:rPr>
                    <w:t>。</w:t>
                  </w:r>
                </w:p>
              </w:tc>
              <w:tc>
                <w:tcPr>
                  <w:tcW w:w="391" w:type="pct"/>
                  <w:vMerge w:val="restart"/>
                  <w:tcBorders>
                    <w:tl2br w:val="nil"/>
                    <w:tr2bl w:val="nil"/>
                  </w:tcBorders>
                  <w:noWrap w:val="0"/>
                  <w:vAlign w:val="center"/>
                </w:tcPr>
                <w:p w14:paraId="640EBA9A">
                  <w:pPr>
                    <w:pStyle w:val="46"/>
                    <w:bidi w:val="0"/>
                    <w:spacing w:line="240" w:lineRule="auto"/>
                    <w:jc w:val="cente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14:paraId="67238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5" w:type="pct"/>
                  <w:vMerge w:val="continue"/>
                  <w:tcBorders>
                    <w:tl2br w:val="nil"/>
                    <w:tr2bl w:val="nil"/>
                  </w:tcBorders>
                  <w:noWrap w:val="0"/>
                  <w:vAlign w:val="center"/>
                </w:tcPr>
                <w:p w14:paraId="17A7CE95">
                  <w:pPr>
                    <w:pStyle w:val="46"/>
                    <w:bidi w:val="0"/>
                    <w:spacing w:line="240" w:lineRule="auto"/>
                    <w:jc w:val="center"/>
                    <w:rPr>
                      <w:rFonts w:hint="eastAsia" w:cs="Times New Roman"/>
                      <w:color w:val="auto"/>
                      <w:lang w:val="en-US" w:eastAsia="zh-CN"/>
                    </w:rPr>
                  </w:pPr>
                </w:p>
              </w:tc>
              <w:tc>
                <w:tcPr>
                  <w:tcW w:w="250" w:type="pct"/>
                  <w:vMerge w:val="continue"/>
                  <w:tcBorders>
                    <w:tl2br w:val="nil"/>
                    <w:tr2bl w:val="nil"/>
                  </w:tcBorders>
                  <w:noWrap w:val="0"/>
                  <w:vAlign w:val="center"/>
                </w:tcPr>
                <w:p w14:paraId="01322B5E">
                  <w:pPr>
                    <w:pStyle w:val="46"/>
                    <w:bidi w:val="0"/>
                    <w:spacing w:line="240" w:lineRule="auto"/>
                    <w:jc w:val="center"/>
                    <w:rPr>
                      <w:rFonts w:hint="eastAsia" w:cs="Times New Roman"/>
                      <w:color w:val="auto"/>
                      <w:lang w:val="en-US" w:eastAsia="zh-CN"/>
                    </w:rPr>
                  </w:pPr>
                </w:p>
              </w:tc>
              <w:tc>
                <w:tcPr>
                  <w:tcW w:w="402" w:type="pct"/>
                  <w:tcBorders>
                    <w:tl2br w:val="nil"/>
                    <w:tr2bl w:val="nil"/>
                  </w:tcBorders>
                  <w:noWrap w:val="0"/>
                  <w:vAlign w:val="center"/>
                </w:tcPr>
                <w:p w14:paraId="04D1CAC5">
                  <w:pPr>
                    <w:pStyle w:val="46"/>
                    <w:bidi w:val="0"/>
                    <w:spacing w:line="240" w:lineRule="auto"/>
                    <w:jc w:val="center"/>
                    <w:rPr>
                      <w:rFonts w:hint="eastAsia" w:cs="Times New Roman"/>
                      <w:color w:val="auto"/>
                      <w:lang w:val="en-US" w:eastAsia="zh-CN"/>
                    </w:rPr>
                  </w:pPr>
                  <w:r>
                    <w:rPr>
                      <w:rFonts w:hint="default" w:ascii="Times New Roman" w:hAnsi="Times New Roman" w:cs="Times New Roman"/>
                      <w:color w:val="auto"/>
                      <w:sz w:val="21"/>
                      <w:szCs w:val="21"/>
                    </w:rPr>
                    <w:t>窑门罩</w:t>
                  </w:r>
                </w:p>
              </w:tc>
              <w:tc>
                <w:tcPr>
                  <w:tcW w:w="2070" w:type="pct"/>
                  <w:tcBorders>
                    <w:tl2br w:val="nil"/>
                    <w:tr2bl w:val="nil"/>
                  </w:tcBorders>
                  <w:noWrap w:val="0"/>
                  <w:vAlign w:val="center"/>
                </w:tcPr>
                <w:p w14:paraId="1DC8B706">
                  <w:pPr>
                    <w:pStyle w:val="46"/>
                    <w:numPr>
                      <w:ilvl w:val="0"/>
                      <w:numId w:val="0"/>
                    </w:numPr>
                    <w:bidi w:val="0"/>
                    <w:spacing w:line="240" w:lineRule="auto"/>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窑门罩宜投加不适于在窑头主燃烧器投加的液体废物，如各种低热值液态废物。（2）在窑门罩投加固态废物时应采用特殊设计的投加设施。投加时应确保将固态废物投至固相反应带，确保废物反应完全。（3）在窑门罩投加的液态废物应通过泵力输送至窑门罩喷入窑内。</w:t>
                  </w:r>
                </w:p>
              </w:tc>
              <w:tc>
                <w:tcPr>
                  <w:tcW w:w="1570" w:type="pct"/>
                  <w:vMerge w:val="continue"/>
                  <w:tcBorders>
                    <w:tl2br w:val="nil"/>
                    <w:tr2bl w:val="nil"/>
                  </w:tcBorders>
                  <w:noWrap w:val="0"/>
                  <w:vAlign w:val="center"/>
                </w:tcPr>
                <w:p w14:paraId="4044CB28">
                  <w:pPr>
                    <w:pStyle w:val="46"/>
                    <w:bidi w:val="0"/>
                    <w:spacing w:line="240" w:lineRule="auto"/>
                    <w:jc w:val="left"/>
                    <w:rPr>
                      <w:rFonts w:hint="default" w:ascii="Times New Roman" w:hAnsi="Times New Roman" w:eastAsia="宋体" w:cs="Times New Roman"/>
                      <w:color w:val="auto"/>
                      <w:lang w:val="en-US" w:eastAsia="zh-CN"/>
                    </w:rPr>
                  </w:pPr>
                </w:p>
              </w:tc>
              <w:tc>
                <w:tcPr>
                  <w:tcW w:w="391" w:type="pct"/>
                  <w:vMerge w:val="continue"/>
                  <w:tcBorders>
                    <w:tl2br w:val="nil"/>
                    <w:tr2bl w:val="nil"/>
                  </w:tcBorders>
                  <w:noWrap w:val="0"/>
                  <w:vAlign w:val="center"/>
                </w:tcPr>
                <w:p w14:paraId="071BCAD5">
                  <w:pPr>
                    <w:pStyle w:val="46"/>
                    <w:bidi w:val="0"/>
                    <w:spacing w:line="240" w:lineRule="auto"/>
                    <w:jc w:val="center"/>
                    <w:rPr>
                      <w:rFonts w:hint="default" w:ascii="Times New Roman" w:hAnsi="Times New Roman" w:cs="Times New Roman"/>
                      <w:color w:val="auto"/>
                    </w:rPr>
                  </w:pPr>
                </w:p>
              </w:tc>
            </w:tr>
            <w:tr w14:paraId="7A1D0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5" w:type="pct"/>
                  <w:vMerge w:val="continue"/>
                  <w:tcBorders>
                    <w:tl2br w:val="nil"/>
                    <w:tr2bl w:val="nil"/>
                  </w:tcBorders>
                  <w:noWrap w:val="0"/>
                  <w:vAlign w:val="center"/>
                </w:tcPr>
                <w:p w14:paraId="7311796D">
                  <w:pPr>
                    <w:pStyle w:val="46"/>
                    <w:bidi w:val="0"/>
                    <w:spacing w:line="240" w:lineRule="auto"/>
                    <w:jc w:val="center"/>
                    <w:rPr>
                      <w:rFonts w:hint="eastAsia" w:cs="Times New Roman"/>
                      <w:color w:val="auto"/>
                      <w:lang w:val="en-US" w:eastAsia="zh-CN"/>
                    </w:rPr>
                  </w:pPr>
                </w:p>
              </w:tc>
              <w:tc>
                <w:tcPr>
                  <w:tcW w:w="250" w:type="pct"/>
                  <w:vMerge w:val="restart"/>
                  <w:tcBorders>
                    <w:tl2br w:val="nil"/>
                    <w:tr2bl w:val="nil"/>
                  </w:tcBorders>
                  <w:noWrap w:val="0"/>
                  <w:vAlign w:val="center"/>
                </w:tcPr>
                <w:p w14:paraId="1DE7D0C6">
                  <w:pPr>
                    <w:pStyle w:val="46"/>
                    <w:bidi w:val="0"/>
                    <w:spacing w:line="240" w:lineRule="auto"/>
                    <w:jc w:val="center"/>
                    <w:rPr>
                      <w:rFonts w:hint="eastAsia" w:cs="Times New Roman"/>
                      <w:color w:val="auto"/>
                      <w:lang w:val="en-US" w:eastAsia="zh-CN"/>
                    </w:rPr>
                  </w:pPr>
                  <w:r>
                    <w:rPr>
                      <w:rFonts w:hint="default" w:ascii="Times New Roman" w:hAnsi="Times New Roman" w:cs="Times New Roman"/>
                      <w:color w:val="auto"/>
                      <w:sz w:val="21"/>
                      <w:szCs w:val="21"/>
                      <w:lang w:val="en-US" w:eastAsia="zh-CN"/>
                    </w:rPr>
                    <w:t>窑尾高温段</w:t>
                  </w:r>
                </w:p>
              </w:tc>
              <w:tc>
                <w:tcPr>
                  <w:tcW w:w="402" w:type="pct"/>
                  <w:tcBorders>
                    <w:tl2br w:val="nil"/>
                    <w:tr2bl w:val="nil"/>
                  </w:tcBorders>
                  <w:noWrap w:val="0"/>
                  <w:vAlign w:val="center"/>
                </w:tcPr>
                <w:p w14:paraId="7DA5DEF7">
                  <w:pPr>
                    <w:pStyle w:val="46"/>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分解炉</w:t>
                  </w:r>
                </w:p>
              </w:tc>
              <w:tc>
                <w:tcPr>
                  <w:tcW w:w="2070" w:type="pct"/>
                  <w:vMerge w:val="restart"/>
                  <w:tcBorders>
                    <w:tl2br w:val="nil"/>
                    <w:tr2bl w:val="nil"/>
                  </w:tcBorders>
                  <w:noWrap w:val="0"/>
                  <w:vAlign w:val="center"/>
                </w:tcPr>
                <w:p w14:paraId="296150E6">
                  <w:pPr>
                    <w:pStyle w:val="46"/>
                    <w:numPr>
                      <w:ilvl w:val="0"/>
                      <w:numId w:val="0"/>
                    </w:numPr>
                    <w:bidi w:val="0"/>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含POPs物质和高氯、高毒、难降解有机物质的固体废物优先从窑头投加。若受物理特性限制需要从窑尾投加时，优先选择从窑尾烟室投加点。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含水率高或块状废物应优先选择从窑尾烟室投入。</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在窑尾投加的液态、浆状废物应通过泵力输送，粉状废物应通过密闭的机械传送装置或气力输送，大块状废物应通过机械传送装置输送</w:t>
                  </w:r>
                  <w:r>
                    <w:rPr>
                      <w:rFonts w:hint="default" w:ascii="Times New Roman" w:hAnsi="Times New Roman" w:cs="Times New Roman"/>
                      <w:color w:val="auto"/>
                      <w:sz w:val="21"/>
                      <w:szCs w:val="21"/>
                      <w:lang w:eastAsia="zh-CN"/>
                    </w:rPr>
                    <w:t>。</w:t>
                  </w:r>
                </w:p>
              </w:tc>
              <w:tc>
                <w:tcPr>
                  <w:tcW w:w="1570" w:type="pct"/>
                  <w:vMerge w:val="continue"/>
                  <w:tcBorders>
                    <w:tl2br w:val="nil"/>
                    <w:tr2bl w:val="nil"/>
                  </w:tcBorders>
                  <w:noWrap w:val="0"/>
                  <w:vAlign w:val="center"/>
                </w:tcPr>
                <w:p w14:paraId="04F85B9B">
                  <w:pPr>
                    <w:pStyle w:val="46"/>
                    <w:bidi w:val="0"/>
                    <w:spacing w:line="240" w:lineRule="auto"/>
                    <w:jc w:val="left"/>
                    <w:rPr>
                      <w:rFonts w:hint="default" w:ascii="Times New Roman" w:hAnsi="Times New Roman" w:eastAsia="宋体" w:cs="Times New Roman"/>
                      <w:color w:val="auto"/>
                      <w:lang w:val="en-US" w:eastAsia="zh-CN"/>
                    </w:rPr>
                  </w:pPr>
                </w:p>
              </w:tc>
              <w:tc>
                <w:tcPr>
                  <w:tcW w:w="391" w:type="pct"/>
                  <w:vMerge w:val="continue"/>
                  <w:tcBorders>
                    <w:tl2br w:val="nil"/>
                    <w:tr2bl w:val="nil"/>
                  </w:tcBorders>
                  <w:noWrap w:val="0"/>
                  <w:vAlign w:val="center"/>
                </w:tcPr>
                <w:p w14:paraId="6CC26508">
                  <w:pPr>
                    <w:pStyle w:val="46"/>
                    <w:bidi w:val="0"/>
                    <w:spacing w:line="240" w:lineRule="auto"/>
                    <w:jc w:val="center"/>
                    <w:rPr>
                      <w:rFonts w:hint="default" w:ascii="Times New Roman" w:hAnsi="Times New Roman" w:cs="Times New Roman"/>
                      <w:color w:val="auto"/>
                    </w:rPr>
                  </w:pPr>
                </w:p>
              </w:tc>
            </w:tr>
            <w:tr w14:paraId="36914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5" w:type="pct"/>
                  <w:vMerge w:val="continue"/>
                  <w:tcBorders>
                    <w:tl2br w:val="nil"/>
                    <w:tr2bl w:val="nil"/>
                  </w:tcBorders>
                  <w:noWrap w:val="0"/>
                  <w:vAlign w:val="center"/>
                </w:tcPr>
                <w:p w14:paraId="78EFC7E1">
                  <w:pPr>
                    <w:pStyle w:val="46"/>
                    <w:bidi w:val="0"/>
                    <w:spacing w:line="240" w:lineRule="auto"/>
                    <w:jc w:val="center"/>
                    <w:rPr>
                      <w:rFonts w:hint="eastAsia" w:cs="Times New Roman"/>
                      <w:color w:val="auto"/>
                      <w:lang w:val="en-US" w:eastAsia="zh-CN"/>
                    </w:rPr>
                  </w:pPr>
                </w:p>
              </w:tc>
              <w:tc>
                <w:tcPr>
                  <w:tcW w:w="250" w:type="pct"/>
                  <w:vMerge w:val="continue"/>
                  <w:tcBorders>
                    <w:tl2br w:val="nil"/>
                    <w:tr2bl w:val="nil"/>
                  </w:tcBorders>
                  <w:noWrap w:val="0"/>
                  <w:vAlign w:val="center"/>
                </w:tcPr>
                <w:p w14:paraId="1A166695">
                  <w:pPr>
                    <w:pStyle w:val="46"/>
                    <w:bidi w:val="0"/>
                    <w:spacing w:line="240" w:lineRule="auto"/>
                    <w:jc w:val="center"/>
                    <w:rPr>
                      <w:rFonts w:hint="default" w:ascii="Times New Roman" w:hAnsi="Times New Roman" w:cs="Times New Roman"/>
                      <w:color w:val="auto"/>
                      <w:sz w:val="21"/>
                      <w:szCs w:val="21"/>
                      <w:lang w:val="en-US" w:eastAsia="zh-CN"/>
                    </w:rPr>
                  </w:pPr>
                </w:p>
              </w:tc>
              <w:tc>
                <w:tcPr>
                  <w:tcW w:w="402" w:type="pct"/>
                  <w:tcBorders>
                    <w:tl2br w:val="nil"/>
                    <w:tr2bl w:val="nil"/>
                  </w:tcBorders>
                  <w:noWrap w:val="0"/>
                  <w:vAlign w:val="center"/>
                </w:tcPr>
                <w:p w14:paraId="08651404">
                  <w:pPr>
                    <w:pStyle w:val="46"/>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窑尾烟室</w:t>
                  </w:r>
                </w:p>
              </w:tc>
              <w:tc>
                <w:tcPr>
                  <w:tcW w:w="2070" w:type="pct"/>
                  <w:vMerge w:val="continue"/>
                  <w:tcBorders>
                    <w:tl2br w:val="nil"/>
                    <w:tr2bl w:val="nil"/>
                  </w:tcBorders>
                  <w:noWrap w:val="0"/>
                  <w:vAlign w:val="center"/>
                </w:tcPr>
                <w:p w14:paraId="36004FA9">
                  <w:pPr>
                    <w:pStyle w:val="46"/>
                    <w:numPr>
                      <w:ilvl w:val="0"/>
                      <w:numId w:val="0"/>
                    </w:numPr>
                    <w:bidi w:val="0"/>
                    <w:spacing w:line="240" w:lineRule="auto"/>
                    <w:jc w:val="left"/>
                    <w:rPr>
                      <w:rFonts w:hint="default" w:ascii="Times New Roman" w:hAnsi="Times New Roman" w:eastAsia="宋体" w:cs="Times New Roman"/>
                      <w:color w:val="auto"/>
                      <w:sz w:val="21"/>
                      <w:szCs w:val="21"/>
                      <w:lang w:val="en-US" w:eastAsia="zh-CN"/>
                    </w:rPr>
                  </w:pPr>
                </w:p>
              </w:tc>
              <w:tc>
                <w:tcPr>
                  <w:tcW w:w="1570" w:type="pct"/>
                  <w:vMerge w:val="continue"/>
                  <w:tcBorders>
                    <w:tl2br w:val="nil"/>
                    <w:tr2bl w:val="nil"/>
                  </w:tcBorders>
                  <w:noWrap w:val="0"/>
                  <w:vAlign w:val="center"/>
                </w:tcPr>
                <w:p w14:paraId="1B6A21E1">
                  <w:pPr>
                    <w:pStyle w:val="46"/>
                    <w:bidi w:val="0"/>
                    <w:spacing w:line="240" w:lineRule="auto"/>
                    <w:jc w:val="left"/>
                    <w:rPr>
                      <w:rFonts w:hint="default" w:ascii="Times New Roman" w:hAnsi="Times New Roman" w:eastAsia="宋体" w:cs="Times New Roman"/>
                      <w:color w:val="auto"/>
                      <w:lang w:val="en-US" w:eastAsia="zh-CN"/>
                    </w:rPr>
                  </w:pPr>
                </w:p>
              </w:tc>
              <w:tc>
                <w:tcPr>
                  <w:tcW w:w="391" w:type="pct"/>
                  <w:vMerge w:val="continue"/>
                  <w:tcBorders>
                    <w:tl2br w:val="nil"/>
                    <w:tr2bl w:val="nil"/>
                  </w:tcBorders>
                  <w:noWrap w:val="0"/>
                  <w:vAlign w:val="center"/>
                </w:tcPr>
                <w:p w14:paraId="638A1A92">
                  <w:pPr>
                    <w:pStyle w:val="46"/>
                    <w:bidi w:val="0"/>
                    <w:spacing w:line="240" w:lineRule="auto"/>
                    <w:jc w:val="center"/>
                    <w:rPr>
                      <w:rFonts w:hint="default" w:ascii="Times New Roman" w:hAnsi="Times New Roman" w:cs="Times New Roman"/>
                      <w:color w:val="auto"/>
                    </w:rPr>
                  </w:pPr>
                </w:p>
              </w:tc>
            </w:tr>
            <w:tr w14:paraId="1506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5" w:type="pct"/>
                  <w:vMerge w:val="continue"/>
                  <w:tcBorders>
                    <w:tl2br w:val="nil"/>
                    <w:tr2bl w:val="nil"/>
                  </w:tcBorders>
                  <w:noWrap w:val="0"/>
                  <w:vAlign w:val="center"/>
                </w:tcPr>
                <w:p w14:paraId="304AC59E">
                  <w:pPr>
                    <w:pStyle w:val="46"/>
                    <w:bidi w:val="0"/>
                    <w:spacing w:line="240" w:lineRule="auto"/>
                    <w:jc w:val="center"/>
                    <w:rPr>
                      <w:rFonts w:hint="eastAsia" w:cs="Times New Roman"/>
                      <w:color w:val="auto"/>
                      <w:lang w:val="en-US" w:eastAsia="zh-CN"/>
                    </w:rPr>
                  </w:pPr>
                </w:p>
              </w:tc>
              <w:tc>
                <w:tcPr>
                  <w:tcW w:w="250" w:type="pct"/>
                  <w:vMerge w:val="continue"/>
                  <w:tcBorders>
                    <w:tl2br w:val="nil"/>
                    <w:tr2bl w:val="nil"/>
                  </w:tcBorders>
                  <w:noWrap w:val="0"/>
                  <w:vAlign w:val="center"/>
                </w:tcPr>
                <w:p w14:paraId="311F6E85">
                  <w:pPr>
                    <w:pStyle w:val="46"/>
                    <w:bidi w:val="0"/>
                    <w:spacing w:line="240" w:lineRule="auto"/>
                    <w:jc w:val="center"/>
                    <w:rPr>
                      <w:rFonts w:hint="default" w:ascii="Times New Roman" w:hAnsi="Times New Roman" w:cs="Times New Roman"/>
                      <w:color w:val="auto"/>
                      <w:sz w:val="21"/>
                      <w:szCs w:val="21"/>
                      <w:lang w:val="en-US" w:eastAsia="zh-CN"/>
                    </w:rPr>
                  </w:pPr>
                </w:p>
              </w:tc>
              <w:tc>
                <w:tcPr>
                  <w:tcW w:w="402" w:type="pct"/>
                  <w:tcBorders>
                    <w:tl2br w:val="nil"/>
                    <w:tr2bl w:val="nil"/>
                  </w:tcBorders>
                  <w:noWrap w:val="0"/>
                  <w:vAlign w:val="center"/>
                </w:tcPr>
                <w:p w14:paraId="08E878DC">
                  <w:pPr>
                    <w:pStyle w:val="46"/>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上升烟道</w:t>
                  </w:r>
                </w:p>
              </w:tc>
              <w:tc>
                <w:tcPr>
                  <w:tcW w:w="2070" w:type="pct"/>
                  <w:vMerge w:val="continue"/>
                  <w:tcBorders>
                    <w:tl2br w:val="nil"/>
                    <w:tr2bl w:val="nil"/>
                  </w:tcBorders>
                  <w:noWrap w:val="0"/>
                  <w:vAlign w:val="center"/>
                </w:tcPr>
                <w:p w14:paraId="2947603D">
                  <w:pPr>
                    <w:pStyle w:val="46"/>
                    <w:numPr>
                      <w:ilvl w:val="0"/>
                      <w:numId w:val="0"/>
                    </w:numPr>
                    <w:bidi w:val="0"/>
                    <w:spacing w:line="240" w:lineRule="auto"/>
                    <w:jc w:val="left"/>
                    <w:rPr>
                      <w:rFonts w:hint="default" w:ascii="Times New Roman" w:hAnsi="Times New Roman" w:eastAsia="宋体" w:cs="Times New Roman"/>
                      <w:color w:val="auto"/>
                      <w:sz w:val="21"/>
                      <w:szCs w:val="21"/>
                      <w:lang w:val="en-US" w:eastAsia="zh-CN"/>
                    </w:rPr>
                  </w:pPr>
                </w:p>
              </w:tc>
              <w:tc>
                <w:tcPr>
                  <w:tcW w:w="1570" w:type="pct"/>
                  <w:vMerge w:val="continue"/>
                  <w:tcBorders>
                    <w:tl2br w:val="nil"/>
                    <w:tr2bl w:val="nil"/>
                  </w:tcBorders>
                  <w:noWrap w:val="0"/>
                  <w:vAlign w:val="center"/>
                </w:tcPr>
                <w:p w14:paraId="619AF721">
                  <w:pPr>
                    <w:pStyle w:val="46"/>
                    <w:bidi w:val="0"/>
                    <w:spacing w:line="240" w:lineRule="auto"/>
                    <w:jc w:val="left"/>
                    <w:rPr>
                      <w:rFonts w:hint="default" w:ascii="Times New Roman" w:hAnsi="Times New Roman" w:eastAsia="宋体" w:cs="Times New Roman"/>
                      <w:color w:val="auto"/>
                      <w:lang w:val="en-US" w:eastAsia="zh-CN"/>
                    </w:rPr>
                  </w:pPr>
                </w:p>
              </w:tc>
              <w:tc>
                <w:tcPr>
                  <w:tcW w:w="391" w:type="pct"/>
                  <w:vMerge w:val="continue"/>
                  <w:tcBorders>
                    <w:tl2br w:val="nil"/>
                    <w:tr2bl w:val="nil"/>
                  </w:tcBorders>
                  <w:noWrap w:val="0"/>
                  <w:vAlign w:val="center"/>
                </w:tcPr>
                <w:p w14:paraId="739AFC6D">
                  <w:pPr>
                    <w:pStyle w:val="46"/>
                    <w:bidi w:val="0"/>
                    <w:spacing w:line="240" w:lineRule="auto"/>
                    <w:jc w:val="center"/>
                    <w:rPr>
                      <w:rFonts w:hint="default" w:ascii="Times New Roman" w:hAnsi="Times New Roman" w:cs="Times New Roman"/>
                      <w:color w:val="auto"/>
                    </w:rPr>
                  </w:pPr>
                </w:p>
              </w:tc>
            </w:tr>
            <w:tr w14:paraId="2DF6E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5" w:type="pct"/>
                  <w:vMerge w:val="continue"/>
                  <w:tcBorders>
                    <w:tl2br w:val="nil"/>
                    <w:tr2bl w:val="nil"/>
                  </w:tcBorders>
                  <w:noWrap w:val="0"/>
                  <w:vAlign w:val="center"/>
                </w:tcPr>
                <w:p w14:paraId="5BFFE7E1">
                  <w:pPr>
                    <w:pStyle w:val="46"/>
                    <w:bidi w:val="0"/>
                    <w:spacing w:line="240" w:lineRule="auto"/>
                    <w:jc w:val="center"/>
                    <w:rPr>
                      <w:rFonts w:hint="eastAsia" w:cs="Times New Roman"/>
                      <w:color w:val="auto"/>
                      <w:lang w:val="en-US" w:eastAsia="zh-CN"/>
                    </w:rPr>
                  </w:pPr>
                </w:p>
              </w:tc>
              <w:tc>
                <w:tcPr>
                  <w:tcW w:w="652" w:type="pct"/>
                  <w:gridSpan w:val="2"/>
                  <w:tcBorders>
                    <w:tl2br w:val="nil"/>
                    <w:tr2bl w:val="nil"/>
                  </w:tcBorders>
                  <w:noWrap w:val="0"/>
                  <w:vAlign w:val="center"/>
                </w:tcPr>
                <w:p w14:paraId="6E840270">
                  <w:pPr>
                    <w:pStyle w:val="46"/>
                    <w:bidi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生料配料系统（生料磨）</w:t>
                  </w:r>
                </w:p>
              </w:tc>
              <w:tc>
                <w:tcPr>
                  <w:tcW w:w="2070" w:type="pct"/>
                  <w:tcBorders>
                    <w:tl2br w:val="nil"/>
                    <w:tr2bl w:val="nil"/>
                  </w:tcBorders>
                  <w:noWrap w:val="0"/>
                  <w:vAlign w:val="center"/>
                </w:tcPr>
                <w:p w14:paraId="61F3C165">
                  <w:pPr>
                    <w:pStyle w:val="46"/>
                    <w:numPr>
                      <w:ilvl w:val="0"/>
                      <w:numId w:val="0"/>
                    </w:numPr>
                    <w:bidi w:val="0"/>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只能投加不含有机物和挥发半挥发性重金属的固态废物</w:t>
                  </w:r>
                </w:p>
              </w:tc>
              <w:tc>
                <w:tcPr>
                  <w:tcW w:w="1570" w:type="pct"/>
                  <w:vMerge w:val="continue"/>
                  <w:tcBorders>
                    <w:tl2br w:val="nil"/>
                    <w:tr2bl w:val="nil"/>
                  </w:tcBorders>
                  <w:noWrap w:val="0"/>
                  <w:vAlign w:val="center"/>
                </w:tcPr>
                <w:p w14:paraId="6AA5505B">
                  <w:pPr>
                    <w:pStyle w:val="46"/>
                    <w:bidi w:val="0"/>
                    <w:spacing w:line="240" w:lineRule="auto"/>
                    <w:jc w:val="left"/>
                    <w:rPr>
                      <w:rFonts w:hint="default" w:ascii="Times New Roman" w:hAnsi="Times New Roman" w:eastAsia="宋体" w:cs="Times New Roman"/>
                      <w:color w:val="auto"/>
                      <w:lang w:val="en-US" w:eastAsia="zh-CN"/>
                    </w:rPr>
                  </w:pPr>
                </w:p>
              </w:tc>
              <w:tc>
                <w:tcPr>
                  <w:tcW w:w="391" w:type="pct"/>
                  <w:vMerge w:val="continue"/>
                  <w:tcBorders>
                    <w:tl2br w:val="nil"/>
                    <w:tr2bl w:val="nil"/>
                  </w:tcBorders>
                  <w:noWrap w:val="0"/>
                  <w:vAlign w:val="center"/>
                </w:tcPr>
                <w:p w14:paraId="0F274796">
                  <w:pPr>
                    <w:pStyle w:val="46"/>
                    <w:bidi w:val="0"/>
                    <w:spacing w:line="240" w:lineRule="auto"/>
                    <w:jc w:val="center"/>
                    <w:rPr>
                      <w:rFonts w:hint="default" w:ascii="Times New Roman" w:hAnsi="Times New Roman" w:cs="Times New Roman"/>
                      <w:color w:val="auto"/>
                    </w:rPr>
                  </w:pPr>
                </w:p>
              </w:tc>
            </w:tr>
            <w:tr w14:paraId="77221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38" w:type="pct"/>
                  <w:gridSpan w:val="4"/>
                  <w:tcBorders>
                    <w:tl2br w:val="nil"/>
                    <w:tr2bl w:val="nil"/>
                  </w:tcBorders>
                  <w:noWrap w:val="0"/>
                  <w:vAlign w:val="center"/>
                </w:tcPr>
                <w:p w14:paraId="2A6EC76E">
                  <w:pPr>
                    <w:pStyle w:val="46"/>
                    <w:numPr>
                      <w:ilvl w:val="0"/>
                      <w:numId w:val="0"/>
                    </w:numPr>
                    <w:bidi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固体废物贮存设施应专门建设，以保证固体废物不与水泥生产原料、燃料和产品混合贮存。</w:t>
                  </w:r>
                </w:p>
              </w:tc>
              <w:tc>
                <w:tcPr>
                  <w:tcW w:w="1570" w:type="pct"/>
                  <w:tcBorders>
                    <w:tl2br w:val="nil"/>
                    <w:tr2bl w:val="nil"/>
                  </w:tcBorders>
                  <w:noWrap w:val="0"/>
                  <w:vAlign w:val="center"/>
                </w:tcPr>
                <w:p w14:paraId="3859175C">
                  <w:pPr>
                    <w:pStyle w:val="46"/>
                    <w:bidi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w:t>
                  </w:r>
                  <w:r>
                    <w:rPr>
                      <w:rFonts w:hint="eastAsia" w:cs="Times New Roman"/>
                      <w:color w:val="auto"/>
                      <w:lang w:val="en-US" w:eastAsia="zh-CN"/>
                    </w:rPr>
                    <w:t>利用固体废物</w:t>
                  </w:r>
                  <w:r>
                    <w:rPr>
                      <w:rFonts w:hint="default" w:ascii="Times New Roman" w:hAnsi="Times New Roman" w:eastAsia="宋体" w:cs="Times New Roman"/>
                      <w:color w:val="auto"/>
                      <w:lang w:val="en-US" w:eastAsia="zh-CN"/>
                    </w:rPr>
                    <w:t>的暂存依托现有</w:t>
                  </w:r>
                  <w:r>
                    <w:rPr>
                      <w:rFonts w:hint="eastAsia" w:cs="Times New Roman"/>
                      <w:color w:val="auto"/>
                      <w:lang w:val="en-US" w:eastAsia="zh-CN"/>
                    </w:rPr>
                    <w:t>物料库及</w:t>
                  </w:r>
                  <w:r>
                    <w:rPr>
                      <w:rFonts w:hint="default" w:ascii="Times New Roman" w:hAnsi="Times New Roman" w:eastAsia="宋体" w:cs="Times New Roman"/>
                      <w:color w:val="auto"/>
                      <w:lang w:val="en-US" w:eastAsia="zh-CN"/>
                    </w:rPr>
                    <w:t>固废仓库，</w:t>
                  </w:r>
                  <w:r>
                    <w:rPr>
                      <w:rFonts w:hint="eastAsia" w:cs="Times New Roman"/>
                      <w:color w:val="auto"/>
                      <w:lang w:val="en-US" w:eastAsia="zh-CN"/>
                    </w:rPr>
                    <w:t>并进行分区改造，</w:t>
                  </w:r>
                  <w:r>
                    <w:rPr>
                      <w:rFonts w:hint="default" w:ascii="Times New Roman" w:hAnsi="Times New Roman" w:eastAsia="宋体" w:cs="Times New Roman"/>
                      <w:color w:val="auto"/>
                      <w:lang w:val="en-US" w:eastAsia="zh-CN"/>
                    </w:rPr>
                    <w:t>不与水泥生产原料及燃料混合除储存。</w:t>
                  </w:r>
                </w:p>
              </w:tc>
              <w:tc>
                <w:tcPr>
                  <w:tcW w:w="391" w:type="pct"/>
                  <w:tcBorders>
                    <w:tl2br w:val="nil"/>
                    <w:tr2bl w:val="nil"/>
                  </w:tcBorders>
                  <w:noWrap w:val="0"/>
                  <w:vAlign w:val="center"/>
                </w:tcPr>
                <w:p w14:paraId="79809D1C">
                  <w:pPr>
                    <w:pStyle w:val="46"/>
                    <w:bidi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符合</w:t>
                  </w:r>
                </w:p>
              </w:tc>
            </w:tr>
          </w:tbl>
          <w:p w14:paraId="13494E1E">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1</w:t>
            </w:r>
            <w:r>
              <w:rPr>
                <w:rFonts w:hint="eastAsia" w:cs="Times New Roman"/>
                <w:b/>
                <w:bCs/>
                <w:color w:val="auto"/>
                <w:sz w:val="24"/>
                <w:highlight w:val="none"/>
                <w:lang w:val="en-US" w:eastAsia="zh-CN"/>
              </w:rPr>
              <w:t>2</w:t>
            </w:r>
            <w:r>
              <w:rPr>
                <w:rFonts w:hint="default" w:cs="Times New Roman"/>
                <w:b/>
                <w:bCs/>
                <w:color w:val="auto"/>
                <w:sz w:val="24"/>
                <w:highlight w:val="none"/>
                <w:lang w:val="en-US" w:eastAsia="zh-CN"/>
              </w:rPr>
              <w:t>、与《水泥窑协同处置固体废物技术规范》（GB/T30760-2024）符合性分析</w:t>
            </w:r>
          </w:p>
          <w:p w14:paraId="29027E1F">
            <w:pPr>
              <w:pStyle w:val="45"/>
              <w:bidi w:val="0"/>
              <w:rPr>
                <w:rFonts w:hint="default" w:ascii="Times New Roman" w:hAnsi="Times New Roman" w:eastAsia="宋体" w:cs="Times New Roman"/>
                <w:b/>
                <w:bCs/>
                <w:color w:val="auto"/>
                <w:kern w:val="2"/>
                <w:sz w:val="24"/>
                <w:szCs w:val="21"/>
                <w:highlight w:val="none"/>
                <w:lang w:val="en-US" w:eastAsia="zh-CN" w:bidi="ar-SA"/>
              </w:rPr>
            </w:pPr>
          </w:p>
          <w:p w14:paraId="13083EE6">
            <w:pPr>
              <w:pStyle w:val="45"/>
              <w:bidi w:val="0"/>
              <w:rPr>
                <w:rFonts w:hint="default" w:ascii="Times New Roman" w:hAnsi="Times New Roman" w:eastAsia="宋体" w:cs="Times New Roman"/>
                <w:b/>
                <w:bCs/>
                <w:color w:val="auto"/>
                <w:kern w:val="2"/>
                <w:sz w:val="24"/>
                <w:szCs w:val="21"/>
                <w:highlight w:val="none"/>
                <w:lang w:val="en-US" w:eastAsia="zh-CN" w:bidi="ar-SA"/>
              </w:rPr>
            </w:pPr>
          </w:p>
          <w:p w14:paraId="546FA5B5">
            <w:pPr>
              <w:pStyle w:val="45"/>
              <w:bidi w:val="0"/>
              <w:rPr>
                <w:rFonts w:hint="default" w:ascii="Times New Roman" w:hAnsi="Times New Roman" w:eastAsia="宋体" w:cs="Times New Roman"/>
                <w:b/>
                <w:bCs/>
                <w:color w:val="auto"/>
                <w:kern w:val="2"/>
                <w:sz w:val="24"/>
                <w:szCs w:val="21"/>
                <w:highlight w:val="none"/>
                <w:lang w:val="en-US" w:eastAsia="zh-CN" w:bidi="ar-SA"/>
              </w:rPr>
            </w:pPr>
          </w:p>
          <w:p w14:paraId="47C25A2A">
            <w:pPr>
              <w:pStyle w:val="45"/>
              <w:bidi w:val="0"/>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表1-</w:t>
            </w:r>
            <w:r>
              <w:rPr>
                <w:rFonts w:hint="eastAsia" w:eastAsia="宋体" w:cs="Times New Roman"/>
                <w:b/>
                <w:bCs/>
                <w:color w:val="auto"/>
                <w:kern w:val="2"/>
                <w:sz w:val="24"/>
                <w:szCs w:val="21"/>
                <w:highlight w:val="none"/>
                <w:lang w:val="en-US" w:eastAsia="zh-CN" w:bidi="ar-SA"/>
              </w:rPr>
              <w:t>8</w:t>
            </w:r>
            <w:r>
              <w:rPr>
                <w:rFonts w:hint="default" w:ascii="Times New Roman" w:hAnsi="Times New Roman" w:eastAsia="宋体" w:cs="Times New Roman"/>
                <w:b/>
                <w:bCs/>
                <w:color w:val="auto"/>
                <w:kern w:val="2"/>
                <w:sz w:val="24"/>
                <w:szCs w:val="21"/>
                <w:highlight w:val="none"/>
                <w:lang w:val="en-US" w:eastAsia="zh-CN" w:bidi="ar-SA"/>
              </w:rPr>
              <w:t xml:space="preserve"> 与《水泥窑协同处置固体废物技术规范》符合性分析</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538"/>
              <w:gridCol w:w="2119"/>
              <w:gridCol w:w="888"/>
            </w:tblGrid>
            <w:tr w14:paraId="0720C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1392FF80">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序号</w:t>
                  </w:r>
                </w:p>
              </w:tc>
              <w:tc>
                <w:tcPr>
                  <w:tcW w:w="2753" w:type="pct"/>
                  <w:tcBorders>
                    <w:tl2br w:val="nil"/>
                    <w:tr2bl w:val="nil"/>
                  </w:tcBorders>
                  <w:noWrap w:val="0"/>
                  <w:vAlign w:val="center"/>
                </w:tcPr>
                <w:p w14:paraId="6CED3ED5">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文件</w:t>
                  </w:r>
                  <w:r>
                    <w:rPr>
                      <w:rFonts w:hint="default" w:ascii="Times New Roman" w:hAnsi="Times New Roman" w:cs="Times New Roman"/>
                      <w:b/>
                      <w:bCs/>
                      <w:color w:val="auto"/>
                    </w:rPr>
                    <w:t>要求</w:t>
                  </w:r>
                </w:p>
              </w:tc>
              <w:tc>
                <w:tcPr>
                  <w:tcW w:w="1285" w:type="pct"/>
                  <w:tcBorders>
                    <w:tl2br w:val="nil"/>
                    <w:tr2bl w:val="nil"/>
                  </w:tcBorders>
                  <w:noWrap w:val="0"/>
                  <w:vAlign w:val="center"/>
                </w:tcPr>
                <w:p w14:paraId="1613442C">
                  <w:pPr>
                    <w:pStyle w:val="46"/>
                    <w:bidi w:val="0"/>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538" w:type="pct"/>
                  <w:tcBorders>
                    <w:tl2br w:val="nil"/>
                    <w:tr2bl w:val="nil"/>
                  </w:tcBorders>
                  <w:noWrap w:val="0"/>
                  <w:vAlign w:val="center"/>
                </w:tcPr>
                <w:p w14:paraId="16EF4FCD">
                  <w:pPr>
                    <w:pStyle w:val="46"/>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2E413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4DD43238">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w:t>
                  </w:r>
                </w:p>
              </w:tc>
              <w:tc>
                <w:tcPr>
                  <w:tcW w:w="4578" w:type="pct"/>
                  <w:gridSpan w:val="3"/>
                  <w:tcBorders>
                    <w:tl2br w:val="nil"/>
                    <w:tr2bl w:val="nil"/>
                  </w:tcBorders>
                  <w:noWrap w:val="0"/>
                  <w:vAlign w:val="center"/>
                </w:tcPr>
                <w:p w14:paraId="72EFB146">
                  <w:pPr>
                    <w:pStyle w:val="46"/>
                    <w:bidi w:val="0"/>
                    <w:rPr>
                      <w:rFonts w:hint="default" w:ascii="Times New Roman" w:hAnsi="Times New Roman" w:cs="Times New Roman"/>
                      <w:color w:val="auto"/>
                    </w:rPr>
                  </w:pPr>
                  <w:r>
                    <w:rPr>
                      <w:rFonts w:hint="default" w:ascii="Times New Roman" w:hAnsi="Times New Roman" w:cs="Times New Roman"/>
                      <w:color w:val="auto"/>
                    </w:rPr>
                    <w:t>协同处置固体废物的鉴别和检测</w:t>
                  </w:r>
                </w:p>
              </w:tc>
            </w:tr>
            <w:tr w14:paraId="6E342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21" w:type="pct"/>
                  <w:tcBorders>
                    <w:tl2br w:val="nil"/>
                    <w:tr2bl w:val="nil"/>
                  </w:tcBorders>
                  <w:noWrap w:val="0"/>
                  <w:vAlign w:val="center"/>
                </w:tcPr>
                <w:p w14:paraId="22F95E6D">
                  <w:pPr>
                    <w:pStyle w:val="46"/>
                    <w:bidi w:val="0"/>
                    <w:rPr>
                      <w:rFonts w:hint="default" w:ascii="Times New Roman" w:hAnsi="Times New Roman" w:cs="Times New Roman"/>
                      <w:b/>
                      <w:bCs/>
                      <w:color w:val="auto"/>
                      <w:lang w:val="en-US" w:eastAsia="zh-CN"/>
                    </w:rPr>
                  </w:pPr>
                  <w:r>
                    <w:rPr>
                      <w:rFonts w:hint="default" w:ascii="Times New Roman" w:hAnsi="Times New Roman" w:cs="Times New Roman"/>
                      <w:color w:val="auto"/>
                      <w:lang w:val="en-US" w:eastAsia="zh-CN"/>
                    </w:rPr>
                    <w:t>1</w:t>
                  </w:r>
                </w:p>
              </w:tc>
              <w:tc>
                <w:tcPr>
                  <w:tcW w:w="2753" w:type="pct"/>
                  <w:tcBorders>
                    <w:tl2br w:val="nil"/>
                    <w:tr2bl w:val="nil"/>
                  </w:tcBorders>
                  <w:noWrap w:val="0"/>
                  <w:vAlign w:val="center"/>
                </w:tcPr>
                <w:p w14:paraId="37238464">
                  <w:pPr>
                    <w:pStyle w:val="46"/>
                    <w:bidi w:val="0"/>
                    <w:jc w:val="left"/>
                    <w:rPr>
                      <w:rFonts w:hint="default" w:ascii="Times New Roman" w:hAnsi="Times New Roman" w:cs="Times New Roman"/>
                      <w:color w:val="auto"/>
                    </w:rPr>
                  </w:pPr>
                  <w:r>
                    <w:rPr>
                      <w:rFonts w:hint="default" w:ascii="Times New Roman" w:hAnsi="Times New Roman" w:cs="Times New Roman"/>
                      <w:color w:val="auto"/>
                    </w:rPr>
                    <w:t>下列固体废物不应通过水泥窑进行协同处置：a)放射性废物；b)具有传染性、爆炸性及反应性废物；c)未经拆解的废电池、废家用电器和电子产品；d)含汞的温度计、血压计、荧光灯管和开关；e)有钙焙烧工艺生产铬盐过程中产生的铬渣；f)石棉类废物；g)未知特性和未经鉴定的固体废物。</w:t>
                  </w:r>
                </w:p>
              </w:tc>
              <w:tc>
                <w:tcPr>
                  <w:tcW w:w="1285" w:type="pct"/>
                  <w:tcBorders>
                    <w:tl2br w:val="nil"/>
                    <w:tr2bl w:val="nil"/>
                  </w:tcBorders>
                  <w:noWrap w:val="0"/>
                  <w:vAlign w:val="center"/>
                </w:tcPr>
                <w:p w14:paraId="0FB53105">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本项目不涉及左栏固体废物。</w:t>
                  </w:r>
                </w:p>
                <w:p w14:paraId="7A4D8027">
                  <w:pPr>
                    <w:pStyle w:val="46"/>
                    <w:bidi w:val="0"/>
                    <w:rPr>
                      <w:rFonts w:hint="default" w:ascii="Times New Roman" w:hAnsi="Times New Roman" w:cs="Times New Roman"/>
                      <w:b/>
                      <w:bCs/>
                      <w:color w:val="auto"/>
                    </w:rPr>
                  </w:pPr>
                </w:p>
              </w:tc>
              <w:tc>
                <w:tcPr>
                  <w:tcW w:w="538" w:type="pct"/>
                  <w:tcBorders>
                    <w:tl2br w:val="nil"/>
                    <w:tr2bl w:val="nil"/>
                  </w:tcBorders>
                  <w:noWrap w:val="0"/>
                  <w:vAlign w:val="center"/>
                </w:tcPr>
                <w:p w14:paraId="64162353">
                  <w:pPr>
                    <w:pStyle w:val="46"/>
                    <w:bidi w:val="0"/>
                    <w:rPr>
                      <w:rFonts w:hint="default" w:ascii="Times New Roman" w:hAnsi="Times New Roman" w:eastAsia="宋体" w:cs="Times New Roman"/>
                      <w:b/>
                      <w:bCs/>
                      <w:color w:val="auto"/>
                      <w:lang w:val="en-US" w:eastAsia="zh-CN"/>
                    </w:rPr>
                  </w:pPr>
                  <w:r>
                    <w:rPr>
                      <w:rFonts w:hint="default" w:ascii="Times New Roman" w:hAnsi="Times New Roman" w:cs="Times New Roman"/>
                      <w:b w:val="0"/>
                      <w:bCs w:val="0"/>
                      <w:color w:val="auto"/>
                      <w:lang w:val="en-US" w:eastAsia="zh-CN"/>
                    </w:rPr>
                    <w:t>符合</w:t>
                  </w:r>
                </w:p>
              </w:tc>
            </w:tr>
            <w:tr w14:paraId="01A99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119D6C2F">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2753" w:type="pct"/>
                  <w:tcBorders>
                    <w:tl2br w:val="nil"/>
                    <w:tr2bl w:val="nil"/>
                  </w:tcBorders>
                  <w:noWrap w:val="0"/>
                  <w:vAlign w:val="center"/>
                </w:tcPr>
                <w:p w14:paraId="5B29B8FC">
                  <w:pPr>
                    <w:pStyle w:val="46"/>
                    <w:bidi w:val="0"/>
                    <w:jc w:val="both"/>
                    <w:rPr>
                      <w:rFonts w:hint="default" w:ascii="Times New Roman" w:hAnsi="Times New Roman" w:cs="Times New Roman"/>
                      <w:color w:val="auto"/>
                    </w:rPr>
                  </w:pPr>
                  <w:r>
                    <w:rPr>
                      <w:rFonts w:hint="default" w:ascii="Times New Roman" w:hAnsi="Times New Roman" w:cs="Times New Roman"/>
                      <w:color w:val="auto"/>
                    </w:rPr>
                    <w:t>水泥生产企业在接收固体废物之前，应对固体废物进行鉴别和分析，确定固体废物是否适宜水泥窑协同处置。相关程序包括：</w:t>
                  </w:r>
                </w:p>
                <w:p w14:paraId="7CB0A0D9">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a)了解产生固体废物企业及工艺过程，确定固体废物种类、物理化学特性等基本属性。b)拟处置的固体废物应按照GB 34330、GB5085.7进行鉴别，工业固体废物按照HJ/T 20进行采样，记录并报告详细的采样信息；生活垃圾按照CJ/T 313进行采样，记录并报告详细的采样信息；危险废物按照HJ/T 298进行采样，记录并报告详细的采样信息。c)拟处置的危险废物宜由固体废物供应方按照国家危险废物名录(2021年版)、HJ/T 298和GB5085.7进行鉴别分析，确定危险废物的危害特性，并提供检测报告。d)鉴别分析拟处置的固体废物特性，检测内容参见附录A。</w:t>
                  </w:r>
                </w:p>
              </w:tc>
              <w:tc>
                <w:tcPr>
                  <w:tcW w:w="1285" w:type="pct"/>
                  <w:tcBorders>
                    <w:tl2br w:val="nil"/>
                    <w:tr2bl w:val="nil"/>
                  </w:tcBorders>
                  <w:noWrap w:val="0"/>
                  <w:vAlign w:val="center"/>
                </w:tcPr>
                <w:p w14:paraId="063F8384">
                  <w:pPr>
                    <w:pStyle w:val="46"/>
                    <w:bidi w:val="0"/>
                    <w:jc w:val="left"/>
                    <w:rPr>
                      <w:rFonts w:hint="default" w:ascii="Times New Roman" w:hAnsi="Times New Roman" w:eastAsia="宋体" w:cs="Times New Roman"/>
                      <w:b/>
                      <w:bCs/>
                      <w:color w:val="auto"/>
                      <w:lang w:eastAsia="zh-CN"/>
                    </w:rPr>
                  </w:pPr>
                  <w:r>
                    <w:rPr>
                      <w:rFonts w:hint="default" w:ascii="Times New Roman" w:hAnsi="Times New Roman" w:cs="Times New Roman"/>
                      <w:color w:val="auto"/>
                    </w:rPr>
                    <w:t>企业在接收固体废物之前，对固体废物进行鉴别和分析，确定固体废物是否适宜水泥窑协同处置。本项目</w:t>
                  </w:r>
                  <w:r>
                    <w:rPr>
                      <w:rFonts w:hint="default" w:ascii="Times New Roman" w:hAnsi="Times New Roman" w:cs="Times New Roman"/>
                      <w:color w:val="auto"/>
                      <w:lang w:val="en-US" w:eastAsia="zh-CN"/>
                    </w:rPr>
                    <w:t>入窑物料</w:t>
                  </w:r>
                  <w:r>
                    <w:rPr>
                      <w:rFonts w:hint="default" w:ascii="Times New Roman" w:hAnsi="Times New Roman" w:cs="Times New Roman"/>
                      <w:color w:val="auto"/>
                    </w:rPr>
                    <w:t>不涉及</w:t>
                  </w:r>
                  <w:r>
                    <w:rPr>
                      <w:rFonts w:hint="default" w:ascii="Times New Roman" w:hAnsi="Times New Roman" w:cs="Times New Roman"/>
                      <w:color w:val="auto"/>
                      <w:lang w:val="en-US" w:eastAsia="zh-CN"/>
                    </w:rPr>
                    <w:t>危险</w:t>
                  </w:r>
                  <w:r>
                    <w:rPr>
                      <w:rFonts w:hint="default" w:ascii="Times New Roman" w:hAnsi="Times New Roman" w:cs="Times New Roman"/>
                      <w:color w:val="auto"/>
                    </w:rPr>
                    <w:t>废物</w:t>
                  </w:r>
                  <w:r>
                    <w:rPr>
                      <w:rFonts w:hint="default" w:ascii="Times New Roman" w:hAnsi="Times New Roman" w:cs="Times New Roman"/>
                      <w:color w:val="auto"/>
                      <w:lang w:eastAsia="zh-CN"/>
                    </w:rPr>
                    <w:t>。</w:t>
                  </w:r>
                </w:p>
              </w:tc>
              <w:tc>
                <w:tcPr>
                  <w:tcW w:w="538" w:type="pct"/>
                  <w:tcBorders>
                    <w:tl2br w:val="nil"/>
                    <w:tr2bl w:val="nil"/>
                  </w:tcBorders>
                  <w:noWrap w:val="0"/>
                  <w:vAlign w:val="center"/>
                </w:tcPr>
                <w:p w14:paraId="17A0E85D">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54A48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7DC5729C">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w:t>
                  </w:r>
                </w:p>
              </w:tc>
              <w:tc>
                <w:tcPr>
                  <w:tcW w:w="4578" w:type="pct"/>
                  <w:gridSpan w:val="3"/>
                  <w:tcBorders>
                    <w:tl2br w:val="nil"/>
                    <w:tr2bl w:val="nil"/>
                  </w:tcBorders>
                  <w:noWrap w:val="0"/>
                  <w:vAlign w:val="center"/>
                </w:tcPr>
                <w:p w14:paraId="6A1A2C68">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生产处置管理要求和工艺技术</w:t>
                  </w:r>
                </w:p>
              </w:tc>
            </w:tr>
            <w:tr w14:paraId="22E9A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7091AFCC">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2753" w:type="pct"/>
                  <w:tcBorders>
                    <w:tl2br w:val="nil"/>
                    <w:tr2bl w:val="nil"/>
                  </w:tcBorders>
                  <w:noWrap w:val="0"/>
                  <w:vAlign w:val="center"/>
                </w:tcPr>
                <w:p w14:paraId="6EE423BF">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协同处置固体废物企业应设立处置废物的管理机构，建立健全各项管理制度并有专职人员负责处置固体废物技术管理、环境保护和安全管理等工作。专业技术人员配置宜满足HJ 662相关要求；处置危险废物的企业应配备具有资质的专职安全管理人员；所有岗位的人员均应进行水泥窑协同处置固体废物相关知识及技能的培训。协同处置水泥企业宜通过GB/T 19001、GB/T 24001、GB/T 45001认证。</w:t>
                  </w:r>
                </w:p>
              </w:tc>
              <w:tc>
                <w:tcPr>
                  <w:tcW w:w="1285" w:type="pct"/>
                  <w:tcBorders>
                    <w:tl2br w:val="nil"/>
                    <w:tr2bl w:val="nil"/>
                  </w:tcBorders>
                  <w:noWrap w:val="0"/>
                  <w:vAlign w:val="center"/>
                </w:tcPr>
                <w:p w14:paraId="2ABA30FA">
                  <w:pPr>
                    <w:pStyle w:val="46"/>
                    <w:bidi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建设单位</w:t>
                  </w:r>
                  <w:r>
                    <w:rPr>
                      <w:rFonts w:hint="default" w:ascii="Times New Roman" w:hAnsi="Times New Roman" w:cs="Times New Roman"/>
                      <w:color w:val="auto"/>
                    </w:rPr>
                    <w:t>设立处置废物的管理机构，建立健全各项管理制度并有专职人员负责处置固体废物管理及环境保护有关工作；所有岗位的人员均进行有关水泥窑协同处置固体废物相关</w:t>
                  </w:r>
                  <w:r>
                    <w:rPr>
                      <w:rFonts w:hint="default" w:ascii="Times New Roman" w:hAnsi="Times New Roman" w:cs="Times New Roman"/>
                      <w:color w:val="auto"/>
                      <w:lang w:val="en-US" w:eastAsia="zh-CN"/>
                    </w:rPr>
                    <w:t>知识</w:t>
                  </w:r>
                  <w:r>
                    <w:rPr>
                      <w:rFonts w:hint="default" w:ascii="Times New Roman" w:hAnsi="Times New Roman" w:cs="Times New Roman"/>
                      <w:color w:val="auto"/>
                    </w:rPr>
                    <w:t>及技能的培训</w:t>
                  </w:r>
                  <w:r>
                    <w:rPr>
                      <w:rFonts w:hint="default" w:ascii="Times New Roman" w:hAnsi="Times New Roman" w:cs="Times New Roman"/>
                      <w:color w:val="auto"/>
                      <w:lang w:eastAsia="zh-CN"/>
                    </w:rPr>
                    <w:t>。</w:t>
                  </w:r>
                </w:p>
              </w:tc>
              <w:tc>
                <w:tcPr>
                  <w:tcW w:w="538" w:type="pct"/>
                  <w:tcBorders>
                    <w:tl2br w:val="nil"/>
                    <w:tr2bl w:val="nil"/>
                  </w:tcBorders>
                  <w:noWrap w:val="0"/>
                  <w:vAlign w:val="center"/>
                </w:tcPr>
                <w:p w14:paraId="6FB7FAA0">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63B58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237A1309">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2753" w:type="pct"/>
                  <w:tcBorders>
                    <w:tl2br w:val="nil"/>
                    <w:tr2bl w:val="nil"/>
                  </w:tcBorders>
                  <w:noWrap w:val="0"/>
                  <w:vAlign w:val="center"/>
                </w:tcPr>
                <w:p w14:paraId="724749A6">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水泥窑协同处置固体废物设施场地应满足GB 30485、GB 18597、HJ 662要求。贮存设施防火要求应满足GB 50016的要求。贮存设施宜建设围墙或栅栏等隔离设施，并在设施边界周围设置防飞扬设施、安全防护设施及防火隔离带。对于有挥发性或化工恶臭的固体废物，应在密闭条件或微负压条件下贮存。固体废物的贮存设施应有必要的防渗性能。贮存设施内产生的废气和渗滤液，应根据各自的性质，按照GB 30485、GB 8978相关要求处理和排放。</w:t>
                  </w:r>
                </w:p>
              </w:tc>
              <w:tc>
                <w:tcPr>
                  <w:tcW w:w="1285" w:type="pct"/>
                  <w:tcBorders>
                    <w:tl2br w:val="nil"/>
                    <w:tr2bl w:val="nil"/>
                  </w:tcBorders>
                  <w:noWrap w:val="0"/>
                  <w:vAlign w:val="center"/>
                </w:tcPr>
                <w:p w14:paraId="4C9103C7">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本项目所处场地满足 GB 30485、GB 18597、HJ 662要求</w:t>
                  </w:r>
                  <w:r>
                    <w:rPr>
                      <w:rFonts w:hint="default" w:ascii="Times New Roman" w:hAnsi="Times New Roman" w:cs="Times New Roman"/>
                      <w:color w:val="auto"/>
                      <w:lang w:eastAsia="zh-CN"/>
                    </w:rPr>
                    <w:t>。</w:t>
                  </w:r>
                  <w:r>
                    <w:rPr>
                      <w:rFonts w:hint="eastAsia" w:cs="Times New Roman"/>
                      <w:color w:val="auto"/>
                      <w:lang w:val="en-US" w:eastAsia="zh-CN"/>
                    </w:rPr>
                    <w:t>不涉及有挥发性或化工恶臭的固体废物，不产生渗滤液。</w:t>
                  </w:r>
                </w:p>
              </w:tc>
              <w:tc>
                <w:tcPr>
                  <w:tcW w:w="538" w:type="pct"/>
                  <w:tcBorders>
                    <w:tl2br w:val="nil"/>
                    <w:tr2bl w:val="nil"/>
                  </w:tcBorders>
                  <w:noWrap w:val="0"/>
                  <w:vAlign w:val="center"/>
                </w:tcPr>
                <w:p w14:paraId="1614BCF6">
                  <w:pPr>
                    <w:pStyle w:val="46"/>
                    <w:bidi w:val="0"/>
                    <w:rPr>
                      <w:rFonts w:hint="default" w:ascii="Times New Roman" w:hAnsi="Times New Roman" w:cs="Times New Roman"/>
                      <w:b w:val="0"/>
                      <w:bCs w:val="0"/>
                      <w:color w:val="auto"/>
                      <w:lang w:val="en-US" w:eastAsia="zh-CN"/>
                    </w:rPr>
                  </w:pPr>
                </w:p>
              </w:tc>
            </w:tr>
            <w:tr w14:paraId="63C82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7529C7A3">
                  <w:pPr>
                    <w:pStyle w:val="46"/>
                    <w:bidi w:val="0"/>
                    <w:rPr>
                      <w:rFonts w:hint="default" w:ascii="Times New Roman" w:hAnsi="Times New Roman" w:cs="Times New Roman"/>
                      <w:color w:val="auto"/>
                      <w:lang w:val="en-US" w:eastAsia="zh-CN"/>
                    </w:rPr>
                  </w:pPr>
                  <w:r>
                    <w:rPr>
                      <w:rFonts w:hint="eastAsia" w:cs="Times New Roman"/>
                      <w:color w:val="auto"/>
                      <w:lang w:val="en-US" w:eastAsia="zh-CN"/>
                    </w:rPr>
                    <w:t>3</w:t>
                  </w:r>
                </w:p>
              </w:tc>
              <w:tc>
                <w:tcPr>
                  <w:tcW w:w="2753" w:type="pct"/>
                  <w:tcBorders>
                    <w:tl2br w:val="nil"/>
                    <w:tr2bl w:val="nil"/>
                  </w:tcBorders>
                  <w:noWrap w:val="0"/>
                  <w:vAlign w:val="center"/>
                </w:tcPr>
                <w:p w14:paraId="6A1EC944">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在生产处置厂区内可采用机械、气力、汽车等方式输送、转运固体废物，输送、转运过程中要有防扬尘、防异味发散、防泄漏等技术措施。厂区内宜有明确的机械、气力等输送装备或车辆专门通道，并设有明确醒目的标志标识；废气、废液的输送、转运管道应有明确醒目的方向、速度等标志标识。危险废物的输送、转运应满足HJ 2025的要求。输送、转运管道应根据物料的安全等级设置对应的防爆技术措施。有挥发性或化工恶臭的固体废物，应在密闭或负压条件下输送、转运，产生的废气应导入水泥窑中或是通过空气过滤装置后达标排放</w:t>
                  </w:r>
                  <w:r>
                    <w:rPr>
                      <w:rFonts w:hint="default" w:ascii="Times New Roman" w:hAnsi="Times New Roman" w:cs="Times New Roman"/>
                      <w:color w:val="auto"/>
                      <w:lang w:eastAsia="zh-CN"/>
                    </w:rPr>
                    <w:t>。</w:t>
                  </w:r>
                </w:p>
              </w:tc>
              <w:tc>
                <w:tcPr>
                  <w:tcW w:w="1285" w:type="pct"/>
                  <w:tcBorders>
                    <w:tl2br w:val="nil"/>
                    <w:tr2bl w:val="nil"/>
                  </w:tcBorders>
                  <w:noWrap w:val="0"/>
                  <w:vAlign w:val="center"/>
                </w:tcPr>
                <w:p w14:paraId="2B5CE272">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w:t>
                  </w:r>
                  <w:r>
                    <w:rPr>
                      <w:rFonts w:hint="eastAsia" w:cs="Times New Roman"/>
                      <w:color w:val="auto"/>
                      <w:lang w:val="en-US" w:eastAsia="zh-CN"/>
                    </w:rPr>
                    <w:t>利用固体废物</w:t>
                  </w:r>
                  <w:r>
                    <w:rPr>
                      <w:rFonts w:hint="default" w:ascii="Times New Roman" w:hAnsi="Times New Roman" w:cs="Times New Roman"/>
                      <w:color w:val="auto"/>
                      <w:lang w:val="en-US" w:eastAsia="zh-CN"/>
                    </w:rPr>
                    <w:t>输送、上料等过程密闭，具有防扬尘异味等技术措施。</w:t>
                  </w:r>
                  <w:r>
                    <w:rPr>
                      <w:rFonts w:hint="eastAsia" w:cs="Times New Roman"/>
                      <w:color w:val="auto"/>
                      <w:lang w:val="en-US" w:eastAsia="zh-CN"/>
                    </w:rPr>
                    <w:t>不涉及废气、废液、危险废物的输送，不涉及</w:t>
                  </w:r>
                  <w:r>
                    <w:rPr>
                      <w:rFonts w:hint="default" w:ascii="Times New Roman" w:hAnsi="Times New Roman" w:cs="Times New Roman"/>
                      <w:color w:val="auto"/>
                    </w:rPr>
                    <w:t>有挥发性或化工恶臭的固体废物</w:t>
                  </w:r>
                  <w:r>
                    <w:rPr>
                      <w:rFonts w:hint="eastAsia" w:cs="Times New Roman"/>
                      <w:color w:val="auto"/>
                      <w:lang w:val="en-US" w:eastAsia="zh-CN"/>
                    </w:rPr>
                    <w:t>的输送。</w:t>
                  </w:r>
                </w:p>
              </w:tc>
              <w:tc>
                <w:tcPr>
                  <w:tcW w:w="538" w:type="pct"/>
                  <w:tcBorders>
                    <w:tl2br w:val="nil"/>
                    <w:tr2bl w:val="nil"/>
                  </w:tcBorders>
                  <w:noWrap w:val="0"/>
                  <w:vAlign w:val="center"/>
                </w:tcPr>
                <w:p w14:paraId="510FC568">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5C9BD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3938132C">
                  <w:pPr>
                    <w:pStyle w:val="46"/>
                    <w:bidi w:val="0"/>
                    <w:rPr>
                      <w:rFonts w:hint="default" w:ascii="Times New Roman" w:hAnsi="Times New Roman" w:cs="Times New Roman"/>
                      <w:color w:val="auto"/>
                      <w:lang w:val="en-US" w:eastAsia="zh-CN"/>
                    </w:rPr>
                  </w:pPr>
                  <w:r>
                    <w:rPr>
                      <w:rFonts w:hint="eastAsia" w:cs="Times New Roman"/>
                      <w:color w:val="auto"/>
                      <w:lang w:val="en-US" w:eastAsia="zh-CN"/>
                    </w:rPr>
                    <w:t>4</w:t>
                  </w:r>
                </w:p>
              </w:tc>
              <w:tc>
                <w:tcPr>
                  <w:tcW w:w="2753" w:type="pct"/>
                  <w:tcBorders>
                    <w:tl2br w:val="nil"/>
                    <w:tr2bl w:val="nil"/>
                  </w:tcBorders>
                  <w:noWrap w:val="0"/>
                  <w:vAlign w:val="center"/>
                </w:tcPr>
                <w:p w14:paraId="3DA8C9E2">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为适应水泥窑处置的要求，可在生产处置厂区内对固体废物进行预处理，包括化学处理，如酸碱中和、氧化等；物理处理，如浮选、磁选、水洗、破碎、粉磨、烘干等；生物处理，如厌氧发酵、好氧发酵、生物分解等。预处理工艺过程应有防扬尘、防异味发散、防泄漏、防噪音等技术措施；宜在密闭或负压条件下进行预处理。预处理过程产生的废气和废液，应根据各自的性质，按照GB 30485、GB 8978相关要求处理和排放。</w:t>
                  </w:r>
                </w:p>
              </w:tc>
              <w:tc>
                <w:tcPr>
                  <w:tcW w:w="1285" w:type="pct"/>
                  <w:tcBorders>
                    <w:tl2br w:val="nil"/>
                    <w:tr2bl w:val="nil"/>
                  </w:tcBorders>
                  <w:noWrap w:val="0"/>
                  <w:vAlign w:val="center"/>
                </w:tcPr>
                <w:p w14:paraId="5FA581F4">
                  <w:pPr>
                    <w:pStyle w:val="46"/>
                    <w:bidi w:val="0"/>
                    <w:jc w:val="left"/>
                    <w:rPr>
                      <w:rFonts w:hint="default" w:ascii="Times New Roman" w:hAnsi="Times New Roman" w:cs="Times New Roman"/>
                      <w:color w:val="auto"/>
                      <w:lang w:val="en-US"/>
                    </w:rPr>
                  </w:pPr>
                  <w:r>
                    <w:rPr>
                      <w:rFonts w:hint="default" w:ascii="Times New Roman" w:hAnsi="Times New Roman" w:cs="Times New Roman"/>
                      <w:color w:val="auto"/>
                      <w:lang w:val="en-US" w:eastAsia="zh-CN"/>
                    </w:rPr>
                    <w:t>项目</w:t>
                  </w:r>
                  <w:r>
                    <w:rPr>
                      <w:rFonts w:hint="eastAsia" w:cs="Times New Roman"/>
                      <w:color w:val="auto"/>
                      <w:lang w:val="en-US" w:eastAsia="zh-CN"/>
                    </w:rPr>
                    <w:t>利用固体废物</w:t>
                  </w:r>
                  <w:r>
                    <w:rPr>
                      <w:rFonts w:hint="default" w:ascii="Times New Roman" w:hAnsi="Times New Roman" w:cs="Times New Roman"/>
                      <w:color w:val="auto"/>
                      <w:lang w:val="en-US" w:eastAsia="zh-CN"/>
                    </w:rPr>
                    <w:t>进厂后无需预处理。</w:t>
                  </w:r>
                </w:p>
              </w:tc>
              <w:tc>
                <w:tcPr>
                  <w:tcW w:w="538" w:type="pct"/>
                  <w:tcBorders>
                    <w:tl2br w:val="nil"/>
                    <w:tr2bl w:val="nil"/>
                  </w:tcBorders>
                  <w:noWrap w:val="0"/>
                  <w:vAlign w:val="center"/>
                </w:tcPr>
                <w:p w14:paraId="37BA23CA">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02B16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4B3E71C4">
                  <w:pPr>
                    <w:pStyle w:val="46"/>
                    <w:bidi w:val="0"/>
                    <w:rPr>
                      <w:rFonts w:hint="default" w:ascii="Times New Roman" w:hAnsi="Times New Roman" w:cs="Times New Roman"/>
                      <w:color w:val="auto"/>
                      <w:lang w:val="en-US" w:eastAsia="zh-CN"/>
                    </w:rPr>
                  </w:pPr>
                  <w:r>
                    <w:rPr>
                      <w:rFonts w:hint="eastAsia" w:cs="Times New Roman"/>
                      <w:color w:val="auto"/>
                      <w:lang w:val="en-US" w:eastAsia="zh-CN"/>
                    </w:rPr>
                    <w:t>5</w:t>
                  </w:r>
                </w:p>
              </w:tc>
              <w:tc>
                <w:tcPr>
                  <w:tcW w:w="2753" w:type="pct"/>
                  <w:tcBorders>
                    <w:tl2br w:val="nil"/>
                    <w:tr2bl w:val="nil"/>
                  </w:tcBorders>
                  <w:noWrap w:val="0"/>
                  <w:vAlign w:val="center"/>
                </w:tcPr>
                <w:p w14:paraId="0F352E6C">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协同处置固体废物的水泥窑应是新型干法预分解窑，应具备生产质量控制系统、生产管理信息分析系统。水泥窑在协同处置固体废物时，应保证窑炉及其他工艺设备的正常稳定运行。在水泥窑或烟气除尘设备出现不正常状况时，应自动联机停止固体废物投料。窑炉烟气排放采用高效除尘器作为除尘设施，除尘器的同步运转率为100%。水泥窑及窑尾余热利用系统窑尾排气筒应满足HJ 76要求，安装与当地环境保护主管部门联网的颗粒物、氮氧化物(NO)、二氧化硫(SO₂)等大气污染物浓度在线监测设备。</w:t>
                  </w:r>
                </w:p>
              </w:tc>
              <w:tc>
                <w:tcPr>
                  <w:tcW w:w="1285" w:type="pct"/>
                  <w:tcBorders>
                    <w:tl2br w:val="nil"/>
                    <w:tr2bl w:val="nil"/>
                  </w:tcBorders>
                  <w:noWrap w:val="0"/>
                  <w:vAlign w:val="center"/>
                </w:tcPr>
                <w:p w14:paraId="6F1B43EA">
                  <w:pPr>
                    <w:pStyle w:val="46"/>
                    <w:bidi w:val="0"/>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项目依托的水泥窑为新型干法水泥窑，规模为4500</w:t>
                  </w:r>
                  <w:r>
                    <w:rPr>
                      <w:rFonts w:hint="default" w:ascii="Times New Roman" w:hAnsi="Times New Roman" w:cs="Times New Roman"/>
                      <w:color w:val="auto"/>
                    </w:rPr>
                    <w:t>t/d，生产过程控制采用现场总线或DCS或PLC控制系统、生料质量控制系统、生产管理信息分析系统；窑尾安装大气污染物连续监测装置。</w:t>
                  </w:r>
                </w:p>
              </w:tc>
              <w:tc>
                <w:tcPr>
                  <w:tcW w:w="538" w:type="pct"/>
                  <w:tcBorders>
                    <w:tl2br w:val="nil"/>
                    <w:tr2bl w:val="nil"/>
                  </w:tcBorders>
                  <w:noWrap w:val="0"/>
                  <w:vAlign w:val="center"/>
                </w:tcPr>
                <w:p w14:paraId="443B8C5B">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78039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17869FDA">
                  <w:pPr>
                    <w:pStyle w:val="46"/>
                    <w:bidi w:val="0"/>
                    <w:rPr>
                      <w:rFonts w:hint="default" w:ascii="Times New Roman" w:hAnsi="Times New Roman" w:cs="Times New Roman"/>
                      <w:color w:val="auto"/>
                      <w:lang w:val="en-US" w:eastAsia="zh-CN"/>
                    </w:rPr>
                  </w:pPr>
                  <w:r>
                    <w:rPr>
                      <w:rFonts w:hint="eastAsia" w:cs="Times New Roman"/>
                      <w:color w:val="auto"/>
                      <w:lang w:val="en-US" w:eastAsia="zh-CN"/>
                    </w:rPr>
                    <w:t>6</w:t>
                  </w:r>
                </w:p>
              </w:tc>
              <w:tc>
                <w:tcPr>
                  <w:tcW w:w="2753" w:type="pct"/>
                  <w:tcBorders>
                    <w:tl2br w:val="nil"/>
                    <w:tr2bl w:val="nil"/>
                  </w:tcBorders>
                  <w:noWrap w:val="0"/>
                  <w:vAlign w:val="center"/>
                </w:tcPr>
                <w:p w14:paraId="2C0133EA">
                  <w:pPr>
                    <w:pStyle w:val="46"/>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水泥窑协同处置固体废物投料点可设在生料制备系统、窑尾烟室、分解炉和回转窑系统。具体要求如下：a)设在分解炉和回转窑系统上的投料点应保持负压操作；b)含挥发性有害物质或化工恶臭的固体废物，不能投入生料制备系统；c)含有机难降解或高毒性有机物的固体废物优先从窑头(窑头主燃烧器或窑门罩)投加；d)半固态或大粒径固态废物宜优先从窑尾烟室或分解炉投加；e)可燃或有机质含量较高的固体废物优先从分解炉投加，投加位置宜选择在分解炉的煤粉或三次风入口附近，并在保证分解炉内氧化气氛稳定的前提下，尽可能靠近分解炉下部，以确保足够的烟气停留时间。</w:t>
                  </w:r>
                </w:p>
                <w:p w14:paraId="23F20C23">
                  <w:pPr>
                    <w:pStyle w:val="46"/>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水泥窑协同处置固体废物投料应有计量和自动控制进料装置。在水泥窑达到正常工况并稳定运行至少4h后，可开始投加固体废物；在水泥窑计划停机前至少4 h内不应投加固体废物。</w:t>
                  </w:r>
                </w:p>
                <w:p w14:paraId="73F4B5A3">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5.6.3固体废物机械输送投加装置的卸料点应设置防风、防雨设施。采用非密闭机械输送投加装置(如传送带、提升机等)的入料端口和人工投加口应设置在线监视系统，并将监视视频实时传输至中央控制室显示屏幕</w:t>
                  </w:r>
                  <w:r>
                    <w:rPr>
                      <w:rFonts w:hint="eastAsia" w:cs="Times New Roman"/>
                      <w:color w:val="auto"/>
                      <w:lang w:eastAsia="zh-CN"/>
                    </w:rPr>
                    <w:t>。</w:t>
                  </w:r>
                </w:p>
              </w:tc>
              <w:tc>
                <w:tcPr>
                  <w:tcW w:w="1285" w:type="pct"/>
                  <w:tcBorders>
                    <w:tl2br w:val="nil"/>
                    <w:tr2bl w:val="nil"/>
                  </w:tcBorders>
                  <w:noWrap w:val="0"/>
                  <w:vAlign w:val="center"/>
                </w:tcPr>
                <w:p w14:paraId="3F9DD81C">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本项目固废在窑尾分解炉、生料配料系统（生料磨）两处投加，负压操作</w:t>
                  </w:r>
                  <w:r>
                    <w:rPr>
                      <w:rFonts w:hint="default" w:ascii="Times New Roman" w:hAnsi="Times New Roman" w:cs="Times New Roman"/>
                      <w:color w:val="auto"/>
                      <w:lang w:val="en-US" w:eastAsia="zh-CN"/>
                    </w:rPr>
                    <w:t>。项目投料配置</w:t>
                  </w:r>
                  <w:r>
                    <w:rPr>
                      <w:rFonts w:hint="default" w:ascii="Times New Roman" w:hAnsi="Times New Roman" w:cs="Times New Roman"/>
                      <w:color w:val="auto"/>
                    </w:rPr>
                    <w:t>准确计量和自动控制装置。在水泥窑或烟气除尘设备出现不正常状况时，自动联机停止固体废物投料。</w:t>
                  </w:r>
                  <w:r>
                    <w:rPr>
                      <w:rFonts w:hint="default" w:ascii="Times New Roman" w:hAnsi="Times New Roman" w:cs="Times New Roman"/>
                      <w:color w:val="auto"/>
                      <w:lang w:val="en-US" w:eastAsia="zh-CN"/>
                    </w:rPr>
                    <w:t>项目在</w:t>
                  </w:r>
                  <w:r>
                    <w:rPr>
                      <w:rFonts w:hint="default" w:ascii="Times New Roman" w:hAnsi="Times New Roman" w:cs="Times New Roman"/>
                      <w:color w:val="auto"/>
                    </w:rPr>
                    <w:t>水泥窑达到正常工况并稳定运行至少4小时后开始投加固体废物</w:t>
                  </w:r>
                  <w:r>
                    <w:rPr>
                      <w:rFonts w:hint="default" w:ascii="Times New Roman" w:hAnsi="Times New Roman" w:cs="Times New Roman"/>
                      <w:color w:val="auto"/>
                      <w:lang w:eastAsia="zh-CN"/>
                    </w:rPr>
                    <w:t>。</w:t>
                  </w:r>
                </w:p>
              </w:tc>
              <w:tc>
                <w:tcPr>
                  <w:tcW w:w="538" w:type="pct"/>
                  <w:tcBorders>
                    <w:tl2br w:val="nil"/>
                    <w:tr2bl w:val="nil"/>
                  </w:tcBorders>
                  <w:noWrap w:val="0"/>
                  <w:vAlign w:val="center"/>
                </w:tcPr>
                <w:p w14:paraId="26AF3512">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r w14:paraId="18667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036535BA">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w:t>
                  </w:r>
                </w:p>
              </w:tc>
              <w:tc>
                <w:tcPr>
                  <w:tcW w:w="4578" w:type="pct"/>
                  <w:gridSpan w:val="3"/>
                  <w:tcBorders>
                    <w:tl2br w:val="nil"/>
                    <w:tr2bl w:val="nil"/>
                  </w:tcBorders>
                  <w:noWrap w:val="0"/>
                  <w:vAlign w:val="center"/>
                </w:tcPr>
                <w:p w14:paraId="034AB2A1">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大气污染物排放量限值及监测</w:t>
                  </w:r>
                </w:p>
              </w:tc>
            </w:tr>
            <w:tr w14:paraId="6D0C0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 w:type="pct"/>
                  <w:tcBorders>
                    <w:tl2br w:val="nil"/>
                    <w:tr2bl w:val="nil"/>
                  </w:tcBorders>
                  <w:noWrap w:val="0"/>
                  <w:vAlign w:val="center"/>
                </w:tcPr>
                <w:p w14:paraId="100D1FA9">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2753" w:type="pct"/>
                  <w:tcBorders>
                    <w:tl2br w:val="nil"/>
                    <w:tr2bl w:val="nil"/>
                  </w:tcBorders>
                  <w:noWrap w:val="0"/>
                  <w:vAlign w:val="center"/>
                </w:tcPr>
                <w:p w14:paraId="78BAE8F8">
                  <w:pPr>
                    <w:pStyle w:val="46"/>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水泥窑协同处置固体废物时，水泥窑排放的大气污染物应按照GB 4915、GB 30485和HJ 662进行检测并满足相关的要求。</w:t>
                  </w:r>
                </w:p>
              </w:tc>
              <w:tc>
                <w:tcPr>
                  <w:tcW w:w="1285" w:type="pct"/>
                  <w:tcBorders>
                    <w:tl2br w:val="nil"/>
                    <w:tr2bl w:val="nil"/>
                  </w:tcBorders>
                  <w:noWrap w:val="0"/>
                  <w:vAlign w:val="center"/>
                </w:tcPr>
                <w:p w14:paraId="52BBAADE">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w:t>
                  </w:r>
                  <w:r>
                    <w:rPr>
                      <w:rFonts w:hint="eastAsia" w:cs="Times New Roman"/>
                      <w:color w:val="auto"/>
                      <w:lang w:val="en-US" w:eastAsia="zh-CN"/>
                    </w:rPr>
                    <w:t>水泥窑</w:t>
                  </w:r>
                  <w:r>
                    <w:rPr>
                      <w:rFonts w:hint="default" w:ascii="Times New Roman" w:hAnsi="Times New Roman" w:cs="Times New Roman"/>
                      <w:color w:val="auto"/>
                      <w:lang w:val="en-US" w:eastAsia="zh-CN"/>
                    </w:rPr>
                    <w:t>排放的大气污染物</w:t>
                  </w:r>
                  <w:r>
                    <w:rPr>
                      <w:rFonts w:hint="eastAsia" w:cs="Times New Roman"/>
                      <w:color w:val="auto"/>
                      <w:lang w:val="en-US" w:eastAsia="zh-CN"/>
                    </w:rPr>
                    <w:t>满足</w:t>
                  </w:r>
                  <w:r>
                    <w:rPr>
                      <w:rFonts w:hint="default" w:ascii="Times New Roman" w:hAnsi="Times New Roman" w:cs="Times New Roman"/>
                      <w:color w:val="auto"/>
                    </w:rPr>
                    <w:t>GB4915、GB30485和HJ662的要求</w:t>
                  </w:r>
                  <w:r>
                    <w:rPr>
                      <w:rFonts w:hint="default" w:ascii="Times New Roman" w:hAnsi="Times New Roman" w:cs="Times New Roman"/>
                      <w:color w:val="auto"/>
                      <w:lang w:eastAsia="zh-CN"/>
                    </w:rPr>
                    <w:t>。</w:t>
                  </w:r>
                </w:p>
              </w:tc>
              <w:tc>
                <w:tcPr>
                  <w:tcW w:w="538" w:type="pct"/>
                  <w:tcBorders>
                    <w:tl2br w:val="nil"/>
                    <w:tr2bl w:val="nil"/>
                  </w:tcBorders>
                  <w:noWrap w:val="0"/>
                  <w:vAlign w:val="center"/>
                </w:tcPr>
                <w:p w14:paraId="1C2D490A">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符合</w:t>
                  </w:r>
                </w:p>
              </w:tc>
            </w:tr>
          </w:tbl>
          <w:p w14:paraId="0C20AEA2">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ascii="Times New Roman" w:hAnsi="Times New Roman" w:cs="Times New Roman"/>
                <w:color w:val="auto"/>
                <w:lang w:val="en-US" w:eastAsia="zh-CN"/>
              </w:rPr>
            </w:pPr>
            <w:r>
              <w:rPr>
                <w:rFonts w:hint="default" w:cs="Times New Roman"/>
                <w:b/>
                <w:bCs/>
                <w:color w:val="auto"/>
                <w:sz w:val="24"/>
                <w:highlight w:val="none"/>
                <w:lang w:val="en-US" w:eastAsia="zh-CN"/>
              </w:rPr>
              <w:t>1</w:t>
            </w:r>
            <w:r>
              <w:rPr>
                <w:rFonts w:hint="eastAsia" w:cs="Times New Roman"/>
                <w:b/>
                <w:bCs/>
                <w:color w:val="auto"/>
                <w:sz w:val="24"/>
                <w:highlight w:val="none"/>
                <w:lang w:val="en-US" w:eastAsia="zh-CN"/>
              </w:rPr>
              <w:t>4</w:t>
            </w:r>
            <w:r>
              <w:rPr>
                <w:rFonts w:hint="default" w:cs="Times New Roman"/>
                <w:b/>
                <w:bCs/>
                <w:color w:val="auto"/>
                <w:sz w:val="24"/>
                <w:highlight w:val="none"/>
                <w:lang w:val="en-US" w:eastAsia="zh-CN"/>
              </w:rPr>
              <w:t>、与《水泥窑协同处置固体废物污染控制标准》（GB30485-2013）符合性分析</w:t>
            </w:r>
          </w:p>
          <w:p w14:paraId="75014994">
            <w:pPr>
              <w:keepNext w:val="0"/>
              <w:keepLines w:val="0"/>
              <w:pageBreakBefore w:val="0"/>
              <w:widowControl w:val="0"/>
              <w:kinsoku/>
              <w:wordWrap/>
              <w:overflowPunct/>
              <w:topLinePunct w:val="0"/>
              <w:autoSpaceDE/>
              <w:autoSpaceDN/>
              <w:bidi w:val="0"/>
              <w:adjustRightInd w:val="0"/>
              <w:snapToGrid/>
              <w:spacing w:line="240" w:lineRule="auto"/>
              <w:ind w:firstLine="439" w:firstLineChars="182"/>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表1-</w:t>
            </w:r>
            <w:r>
              <w:rPr>
                <w:rFonts w:hint="eastAsia" w:cs="Times New Roman"/>
                <w:b/>
                <w:bCs/>
                <w:color w:val="auto"/>
                <w:sz w:val="24"/>
                <w:highlight w:val="none"/>
                <w:lang w:val="en-US" w:eastAsia="zh-CN"/>
              </w:rPr>
              <w:t>9</w:t>
            </w:r>
            <w:r>
              <w:rPr>
                <w:rFonts w:hint="default" w:cs="Times New Roman"/>
                <w:b/>
                <w:bCs/>
                <w:color w:val="auto"/>
                <w:sz w:val="24"/>
                <w:highlight w:val="none"/>
                <w:lang w:val="en-US" w:eastAsia="zh-CN"/>
              </w:rPr>
              <w:t xml:space="preserve"> 与《水泥窑协同处置固体废物污染控制标准》符合性分析</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520"/>
              <w:gridCol w:w="2383"/>
              <w:gridCol w:w="874"/>
            </w:tblGrid>
            <w:tr w14:paraId="53DEA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23" w:type="pct"/>
                  <w:gridSpan w:val="2"/>
                  <w:tcBorders>
                    <w:tl2br w:val="nil"/>
                    <w:tr2bl w:val="nil"/>
                  </w:tcBorders>
                  <w:noWrap w:val="0"/>
                  <w:vAlign w:val="center"/>
                </w:tcPr>
                <w:p w14:paraId="6C74165C">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文件</w:t>
                  </w:r>
                  <w:r>
                    <w:rPr>
                      <w:rFonts w:hint="default" w:ascii="Times New Roman" w:hAnsi="Times New Roman" w:cs="Times New Roman"/>
                      <w:b/>
                      <w:bCs/>
                      <w:color w:val="auto"/>
                    </w:rPr>
                    <w:t>要求</w:t>
                  </w:r>
                </w:p>
              </w:tc>
              <w:tc>
                <w:tcPr>
                  <w:tcW w:w="1446" w:type="pct"/>
                  <w:tcBorders>
                    <w:tl2br w:val="nil"/>
                    <w:tr2bl w:val="nil"/>
                  </w:tcBorders>
                  <w:noWrap w:val="0"/>
                  <w:vAlign w:val="center"/>
                </w:tcPr>
                <w:p w14:paraId="725F9F4C">
                  <w:pPr>
                    <w:pStyle w:val="46"/>
                    <w:bidi w:val="0"/>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530" w:type="pct"/>
                  <w:tcBorders>
                    <w:tl2br w:val="nil"/>
                    <w:tr2bl w:val="nil"/>
                  </w:tcBorders>
                  <w:noWrap w:val="0"/>
                  <w:vAlign w:val="center"/>
                </w:tcPr>
                <w:p w14:paraId="297CD3C2">
                  <w:pPr>
                    <w:pStyle w:val="46"/>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10C85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restart"/>
                  <w:tcBorders>
                    <w:tl2br w:val="nil"/>
                    <w:tr2bl w:val="nil"/>
                  </w:tcBorders>
                  <w:noWrap w:val="0"/>
                  <w:vAlign w:val="center"/>
                </w:tcPr>
                <w:p w14:paraId="6E05C864">
                  <w:pPr>
                    <w:pStyle w:val="46"/>
                    <w:bidi w:val="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协同处置</w:t>
                  </w:r>
                </w:p>
                <w:p w14:paraId="4C0C56EF">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val="0"/>
                      <w:bCs w:val="0"/>
                      <w:color w:val="auto"/>
                      <w:lang w:val="en-US" w:eastAsia="zh-CN"/>
                    </w:rPr>
                    <w:t>设施</w:t>
                  </w:r>
                </w:p>
              </w:tc>
              <w:tc>
                <w:tcPr>
                  <w:tcW w:w="2743" w:type="pct"/>
                  <w:tcBorders>
                    <w:tl2br w:val="nil"/>
                    <w:tr2bl w:val="nil"/>
                  </w:tcBorders>
                  <w:noWrap w:val="0"/>
                  <w:vAlign w:val="center"/>
                </w:tcPr>
                <w:p w14:paraId="18A2F08F">
                  <w:pPr>
                    <w:pStyle w:val="46"/>
                    <w:bidi w:val="0"/>
                    <w:jc w:val="left"/>
                    <w:rPr>
                      <w:rFonts w:hint="default" w:ascii="Times New Roman" w:hAnsi="Times New Roman" w:cs="Times New Roman"/>
                      <w:color w:val="auto"/>
                    </w:rPr>
                  </w:pPr>
                  <w:r>
                    <w:rPr>
                      <w:rFonts w:hint="default" w:ascii="Times New Roman" w:hAnsi="Times New Roman" w:cs="Times New Roman"/>
                      <w:color w:val="auto"/>
                    </w:rPr>
                    <w:t>4.1用于协同处置固体废物的水泥窑应满足以下条件：</w:t>
                  </w:r>
                </w:p>
                <w:p w14:paraId="689DAAA5">
                  <w:pPr>
                    <w:pStyle w:val="46"/>
                    <w:bidi w:val="0"/>
                    <w:jc w:val="left"/>
                    <w:rPr>
                      <w:rFonts w:hint="default" w:ascii="Times New Roman" w:hAnsi="Times New Roman" w:cs="Times New Roman"/>
                      <w:color w:val="auto"/>
                    </w:rPr>
                  </w:pPr>
                  <w:r>
                    <w:rPr>
                      <w:rFonts w:hint="default" w:ascii="Times New Roman" w:hAnsi="Times New Roman" w:cs="Times New Roman"/>
                      <w:color w:val="auto"/>
                    </w:rPr>
                    <w:t>a）单线设计熟料生产规模不小于2000吨/天的新型干法水泥窑；</w:t>
                  </w:r>
                </w:p>
                <w:p w14:paraId="2AD134D3">
                  <w:pPr>
                    <w:pStyle w:val="46"/>
                    <w:bidi w:val="0"/>
                    <w:jc w:val="left"/>
                    <w:rPr>
                      <w:rFonts w:hint="default" w:ascii="Times New Roman" w:hAnsi="Times New Roman" w:cs="Times New Roman"/>
                      <w:color w:val="auto"/>
                    </w:rPr>
                  </w:pPr>
                  <w:r>
                    <w:rPr>
                      <w:rFonts w:hint="default" w:ascii="Times New Roman" w:hAnsi="Times New Roman" w:cs="Times New Roman"/>
                      <w:color w:val="auto"/>
                    </w:rPr>
                    <w:t>b）采用窑磨一体机模式；</w:t>
                  </w:r>
                </w:p>
                <w:p w14:paraId="3EAC0E4B">
                  <w:pPr>
                    <w:pStyle w:val="46"/>
                    <w:bidi w:val="0"/>
                    <w:jc w:val="left"/>
                    <w:rPr>
                      <w:rFonts w:hint="default" w:ascii="Times New Roman" w:hAnsi="Times New Roman" w:cs="Times New Roman"/>
                      <w:color w:val="auto"/>
                    </w:rPr>
                  </w:pPr>
                  <w:r>
                    <w:rPr>
                      <w:rFonts w:hint="default" w:ascii="Times New Roman" w:hAnsi="Times New Roman" w:cs="Times New Roman"/>
                      <w:color w:val="auto"/>
                    </w:rPr>
                    <w:t>c）水泥窑及窑尾余热利用系统采用高效布袋除尘器作为烟气除尘设施；</w:t>
                  </w:r>
                </w:p>
                <w:p w14:paraId="52A750C2">
                  <w:pPr>
                    <w:pStyle w:val="46"/>
                    <w:bidi w:val="0"/>
                    <w:jc w:val="left"/>
                    <w:rPr>
                      <w:rFonts w:hint="default" w:ascii="Times New Roman" w:hAnsi="Times New Roman" w:cs="Times New Roman"/>
                      <w:color w:val="auto"/>
                    </w:rPr>
                  </w:pPr>
                  <w:r>
                    <w:rPr>
                      <w:rFonts w:hint="default" w:ascii="Times New Roman" w:hAnsi="Times New Roman" w:cs="Times New Roman"/>
                      <w:color w:val="auto"/>
                    </w:rPr>
                    <w:t>d）协同处置危险废物的水泥窑，按 HJ 662 要求测定的焚毁去除率应不小于99.9999%；</w:t>
                  </w:r>
                </w:p>
                <w:p w14:paraId="1D5DC34F">
                  <w:pPr>
                    <w:pStyle w:val="46"/>
                    <w:bidi w:val="0"/>
                    <w:jc w:val="left"/>
                    <w:rPr>
                      <w:rFonts w:hint="default" w:ascii="Times New Roman" w:hAnsi="Times New Roman" w:cs="Times New Roman"/>
                      <w:color w:val="auto"/>
                    </w:rPr>
                  </w:pPr>
                  <w:r>
                    <w:rPr>
                      <w:rFonts w:hint="default" w:ascii="Times New Roman" w:hAnsi="Times New Roman" w:cs="Times New Roman"/>
                      <w:color w:val="auto"/>
                    </w:rPr>
                    <w:t>e）对于改造利用原有设施协同处置固体废物的水泥窑，在进行改造之前原有设施应连续两年达到GB4915的要求。</w:t>
                  </w:r>
                </w:p>
              </w:tc>
              <w:tc>
                <w:tcPr>
                  <w:tcW w:w="1446" w:type="pct"/>
                  <w:tcBorders>
                    <w:tl2br w:val="nil"/>
                    <w:tr2bl w:val="nil"/>
                  </w:tcBorders>
                  <w:noWrap w:val="0"/>
                  <w:vAlign w:val="center"/>
                </w:tcPr>
                <w:p w14:paraId="197D2715">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项目依托的水泥窑为新型干法水泥窑，规模为4500t/d；采用窑磨一体机模式；水泥窑及窑尾余热利用系统采用高效布袋除尘器作为烟气除尘设施；连续两年满足《水泥工业大气污染物排放标准》（GB4915-2013。</w:t>
                  </w:r>
                </w:p>
                <w:p w14:paraId="0694332D">
                  <w:pPr>
                    <w:pStyle w:val="46"/>
                    <w:bidi w:val="0"/>
                    <w:jc w:val="left"/>
                    <w:rPr>
                      <w:rFonts w:hint="default" w:ascii="Times New Roman" w:hAnsi="Times New Roman" w:cs="Times New Roman"/>
                      <w:b/>
                      <w:bCs/>
                      <w:color w:val="auto"/>
                    </w:rPr>
                  </w:pPr>
                </w:p>
              </w:tc>
              <w:tc>
                <w:tcPr>
                  <w:tcW w:w="530" w:type="pct"/>
                  <w:tcBorders>
                    <w:tl2br w:val="nil"/>
                    <w:tr2bl w:val="nil"/>
                  </w:tcBorders>
                  <w:noWrap w:val="0"/>
                  <w:vAlign w:val="center"/>
                </w:tcPr>
                <w:p w14:paraId="6FB70079">
                  <w:pPr>
                    <w:pStyle w:val="46"/>
                    <w:bidi w:val="0"/>
                    <w:rPr>
                      <w:rFonts w:hint="default" w:ascii="Times New Roman" w:hAnsi="Times New Roman" w:eastAsia="宋体" w:cs="Times New Roman"/>
                      <w:b/>
                      <w:bCs/>
                      <w:color w:val="auto"/>
                      <w:lang w:val="en-US" w:eastAsia="zh-CN"/>
                    </w:rPr>
                  </w:pPr>
                  <w:r>
                    <w:rPr>
                      <w:rFonts w:hint="default" w:ascii="Times New Roman" w:hAnsi="Times New Roman" w:cs="Times New Roman"/>
                      <w:b w:val="0"/>
                      <w:bCs w:val="0"/>
                      <w:color w:val="auto"/>
                      <w:lang w:val="en-US" w:eastAsia="zh-CN"/>
                    </w:rPr>
                    <w:t>符合</w:t>
                  </w:r>
                </w:p>
              </w:tc>
            </w:tr>
            <w:tr w14:paraId="0F31B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7AF89DB2">
                  <w:pPr>
                    <w:pStyle w:val="46"/>
                    <w:bidi w:val="0"/>
                    <w:rPr>
                      <w:rFonts w:hint="default" w:ascii="Times New Roman" w:hAnsi="Times New Roman" w:cs="Times New Roman"/>
                      <w:b/>
                      <w:bCs/>
                      <w:color w:val="auto"/>
                      <w:lang w:val="en-US" w:eastAsia="zh-CN"/>
                    </w:rPr>
                  </w:pPr>
                </w:p>
              </w:tc>
              <w:tc>
                <w:tcPr>
                  <w:tcW w:w="2743" w:type="pct"/>
                  <w:tcBorders>
                    <w:tl2br w:val="nil"/>
                    <w:tr2bl w:val="nil"/>
                  </w:tcBorders>
                  <w:noWrap w:val="0"/>
                  <w:vAlign w:val="center"/>
                </w:tcPr>
                <w:p w14:paraId="7F7819C2">
                  <w:pPr>
                    <w:pStyle w:val="46"/>
                    <w:bidi w:val="0"/>
                    <w:jc w:val="left"/>
                    <w:rPr>
                      <w:rFonts w:hint="default" w:ascii="Times New Roman" w:hAnsi="Times New Roman" w:cs="Times New Roman"/>
                      <w:color w:val="auto"/>
                    </w:rPr>
                  </w:pPr>
                  <w:r>
                    <w:rPr>
                      <w:rFonts w:hint="default" w:ascii="Times New Roman" w:hAnsi="Times New Roman" w:cs="Times New Roman"/>
                      <w:color w:val="auto"/>
                    </w:rPr>
                    <w:t>4.2用于协同处置固体废物的水泥窑所处地理位置应满足以下条件：</w:t>
                  </w:r>
                </w:p>
                <w:p w14:paraId="2F7148E8">
                  <w:pPr>
                    <w:pStyle w:val="46"/>
                    <w:bidi w:val="0"/>
                    <w:jc w:val="left"/>
                    <w:rPr>
                      <w:rFonts w:hint="default" w:ascii="Times New Roman" w:hAnsi="Times New Roman" w:cs="Times New Roman"/>
                      <w:color w:val="auto"/>
                    </w:rPr>
                  </w:pPr>
                  <w:r>
                    <w:rPr>
                      <w:rFonts w:hint="default" w:ascii="Times New Roman" w:hAnsi="Times New Roman" w:cs="Times New Roman"/>
                      <w:color w:val="auto"/>
                    </w:rPr>
                    <w:t>a）符合城市总体发展规划、城市工业发展规划要求；</w:t>
                  </w:r>
                </w:p>
                <w:p w14:paraId="3039C6A4">
                  <w:pPr>
                    <w:pStyle w:val="46"/>
                    <w:bidi w:val="0"/>
                    <w:jc w:val="left"/>
                    <w:rPr>
                      <w:rFonts w:hint="default" w:ascii="Times New Roman" w:hAnsi="Times New Roman" w:cs="Times New Roman"/>
                      <w:color w:val="auto"/>
                    </w:rPr>
                  </w:pPr>
                  <w:r>
                    <w:rPr>
                      <w:rFonts w:hint="default" w:ascii="Times New Roman" w:hAnsi="Times New Roman" w:cs="Times New Roman"/>
                      <w:color w:val="auto"/>
                    </w:rPr>
                    <w:t>b）所在区域无洪水、潮水或内涝威胁。设施所在标高应位于重现期不小于100年一遇的洪水位之上，并建设在现有和各类规划中的水库等人工蓄水设施的淹没区和保护区之外。</w:t>
                  </w:r>
                </w:p>
              </w:tc>
              <w:tc>
                <w:tcPr>
                  <w:tcW w:w="1446" w:type="pct"/>
                  <w:tcBorders>
                    <w:tl2br w:val="nil"/>
                    <w:tr2bl w:val="nil"/>
                  </w:tcBorders>
                  <w:noWrap w:val="0"/>
                  <w:vAlign w:val="center"/>
                </w:tcPr>
                <w:p w14:paraId="16FDA0B2">
                  <w:pPr>
                    <w:pStyle w:val="46"/>
                    <w:bidi w:val="0"/>
                    <w:rPr>
                      <w:rFonts w:hint="eastAsia" w:cs="Times New Roman"/>
                      <w:color w:val="auto"/>
                      <w:lang w:val="en-US" w:eastAsia="zh-CN"/>
                    </w:rPr>
                  </w:pPr>
                  <w:r>
                    <w:rPr>
                      <w:rFonts w:hint="eastAsia" w:cs="Times New Roman"/>
                      <w:color w:val="auto"/>
                      <w:lang w:val="en-US" w:eastAsia="zh-CN"/>
                    </w:rPr>
                    <w:t>本项目符合城市总体规划等相关规划要求。</w:t>
                  </w:r>
                </w:p>
                <w:p w14:paraId="0B58C896">
                  <w:pPr>
                    <w:pStyle w:val="46"/>
                    <w:bidi w:val="0"/>
                    <w:rPr>
                      <w:rFonts w:hint="default" w:ascii="Times New Roman" w:hAnsi="Times New Roman" w:cs="Times New Roman"/>
                      <w:b/>
                      <w:bCs/>
                      <w:color w:val="auto"/>
                      <w:lang w:val="en-US"/>
                    </w:rPr>
                  </w:pPr>
                  <w:r>
                    <w:rPr>
                      <w:rFonts w:hint="eastAsia" w:cs="Times New Roman"/>
                      <w:color w:val="auto"/>
                      <w:lang w:val="en-US" w:eastAsia="zh-CN"/>
                    </w:rPr>
                    <w:t>所在区域没有受到洪水、潮水或内涝威胁。设施所在标高位于重现期不小于100年一遇的洪水位之上，周边无各类规划中的水库等人工蓄水设施的淹没区和保护区。</w:t>
                  </w:r>
                </w:p>
              </w:tc>
              <w:tc>
                <w:tcPr>
                  <w:tcW w:w="530" w:type="pct"/>
                  <w:tcBorders>
                    <w:tl2br w:val="nil"/>
                    <w:tr2bl w:val="nil"/>
                  </w:tcBorders>
                  <w:noWrap w:val="0"/>
                  <w:vAlign w:val="center"/>
                </w:tcPr>
                <w:p w14:paraId="588F05D1">
                  <w:pPr>
                    <w:pStyle w:val="46"/>
                    <w:bidi w:val="0"/>
                    <w:rPr>
                      <w:rFonts w:hint="default" w:ascii="Times New Roman" w:hAnsi="Times New Roman" w:cs="Times New Roman"/>
                      <w:b/>
                      <w:bCs/>
                      <w:color w:val="auto"/>
                    </w:rPr>
                  </w:pPr>
                  <w:r>
                    <w:rPr>
                      <w:rFonts w:hint="default" w:ascii="Times New Roman" w:hAnsi="Times New Roman" w:cs="Times New Roman"/>
                      <w:b w:val="0"/>
                      <w:bCs w:val="0"/>
                      <w:color w:val="auto"/>
                      <w:lang w:val="en-US" w:eastAsia="zh-CN"/>
                    </w:rPr>
                    <w:t>符合</w:t>
                  </w:r>
                </w:p>
              </w:tc>
            </w:tr>
            <w:tr w14:paraId="1F3E5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0" w:type="pct"/>
                  <w:vMerge w:val="continue"/>
                  <w:tcBorders>
                    <w:tl2br w:val="nil"/>
                    <w:tr2bl w:val="nil"/>
                  </w:tcBorders>
                  <w:noWrap w:val="0"/>
                  <w:vAlign w:val="center"/>
                </w:tcPr>
                <w:p w14:paraId="2D858F54">
                  <w:pPr>
                    <w:pStyle w:val="46"/>
                    <w:bidi w:val="0"/>
                    <w:jc w:val="left"/>
                    <w:rPr>
                      <w:rFonts w:hint="default" w:ascii="Times New Roman" w:hAnsi="Times New Roman" w:cs="Times New Roman"/>
                      <w:color w:val="auto"/>
                    </w:rPr>
                  </w:pPr>
                </w:p>
              </w:tc>
              <w:tc>
                <w:tcPr>
                  <w:tcW w:w="2743" w:type="pct"/>
                  <w:tcBorders>
                    <w:tl2br w:val="nil"/>
                    <w:tr2bl w:val="nil"/>
                  </w:tcBorders>
                  <w:noWrap w:val="0"/>
                  <w:vAlign w:val="center"/>
                </w:tcPr>
                <w:p w14:paraId="7F0DDACA">
                  <w:pPr>
                    <w:pStyle w:val="46"/>
                    <w:numPr>
                      <w:ilvl w:val="0"/>
                      <w:numId w:val="0"/>
                    </w:numPr>
                    <w:bidi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4.3 危险废物贮存设施应满足GB18597</w:t>
                  </w:r>
                  <w:r>
                    <w:rPr>
                      <w:rFonts w:hint="eastAsia" w:cs="Times New Roman"/>
                      <w:color w:val="auto"/>
                      <w:lang w:val="en-US" w:eastAsia="zh-CN"/>
                    </w:rPr>
                    <w:t>和</w:t>
                  </w:r>
                  <w:r>
                    <w:rPr>
                      <w:rFonts w:hint="default" w:ascii="Times New Roman" w:hAnsi="Times New Roman" w:cs="Times New Roman"/>
                      <w:color w:val="auto"/>
                    </w:rPr>
                    <w:t>HJ/T176的规定。生活垃圾和城市污水处理厂污泥的贮存设施应有良好的防渗性能并设置污水收集装置；贮存设施应采用封闭措施，保证其中有生活垃圾或污泥存放时处于负压状态；贮存设施内抽取的空气应导入水泥窑高温区焚烧处理，或经过其他处理措施达标后排放。前述两款规定之外的其他固体废物的贮存设施应有良好的防渗性能，以及必要的防雨、防尘功能。</w:t>
                  </w:r>
                </w:p>
              </w:tc>
              <w:tc>
                <w:tcPr>
                  <w:tcW w:w="1446" w:type="pct"/>
                  <w:tcBorders>
                    <w:tl2br w:val="nil"/>
                    <w:tr2bl w:val="nil"/>
                  </w:tcBorders>
                  <w:noWrap w:val="0"/>
                  <w:vAlign w:val="center"/>
                </w:tcPr>
                <w:p w14:paraId="698AEDD0">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本项目不涉及危险废物、生活垃圾、城市污水处理厂污泥处置。</w:t>
                  </w:r>
                </w:p>
              </w:tc>
              <w:tc>
                <w:tcPr>
                  <w:tcW w:w="530" w:type="pct"/>
                  <w:tcBorders>
                    <w:tl2br w:val="nil"/>
                    <w:tr2bl w:val="nil"/>
                  </w:tcBorders>
                  <w:noWrap w:val="0"/>
                  <w:vAlign w:val="center"/>
                </w:tcPr>
                <w:p w14:paraId="19585FB5">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766DA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64A2A3D8">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top"/>
                </w:tcPr>
                <w:p w14:paraId="33123D1C">
                  <w:pPr>
                    <w:pStyle w:val="46"/>
                    <w:bidi w:val="0"/>
                    <w:jc w:val="left"/>
                    <w:rPr>
                      <w:rFonts w:hint="default" w:ascii="Times New Roman" w:hAnsi="Times New Roman" w:cs="Times New Roman"/>
                      <w:color w:val="auto"/>
                      <w:lang w:val="en-US" w:eastAsia="en-US"/>
                    </w:rPr>
                  </w:pPr>
                  <w:r>
                    <w:rPr>
                      <w:rFonts w:hint="default" w:ascii="Times New Roman" w:hAnsi="Times New Roman" w:cs="Times New Roman"/>
                      <w:color w:val="auto"/>
                    </w:rPr>
                    <w:t>4.4应根据所需要协同处置的固体废物特性设置专用固体废物投加设施。固体废物投加设施应满足HJ662的要求。</w:t>
                  </w:r>
                </w:p>
              </w:tc>
              <w:tc>
                <w:tcPr>
                  <w:tcW w:w="1446" w:type="pct"/>
                  <w:tcBorders>
                    <w:tl2br w:val="nil"/>
                    <w:tr2bl w:val="nil"/>
                  </w:tcBorders>
                  <w:shd w:val="clear" w:color="auto" w:fill="auto"/>
                  <w:noWrap w:val="0"/>
                  <w:vAlign w:val="top"/>
                </w:tcPr>
                <w:p w14:paraId="7FBCC254">
                  <w:pPr>
                    <w:pStyle w:val="46"/>
                    <w:bidi w:val="0"/>
                    <w:jc w:val="left"/>
                    <w:rPr>
                      <w:rFonts w:hint="default" w:ascii="Times New Roman" w:hAnsi="Times New Roman" w:cs="Times New Roman"/>
                      <w:color w:val="auto"/>
                      <w:lang w:val="en-US" w:eastAsia="zh-CN"/>
                    </w:rPr>
                  </w:pPr>
                  <w:r>
                    <w:rPr>
                      <w:rFonts w:hint="default" w:ascii="Times New Roman" w:hAnsi="Times New Roman" w:cs="Times New Roman"/>
                      <w:color w:val="auto"/>
                    </w:rPr>
                    <w:t>根据原料的种类和形态，设有不同的投加设施，满足HJ662的要求。</w:t>
                  </w:r>
                </w:p>
              </w:tc>
              <w:tc>
                <w:tcPr>
                  <w:tcW w:w="530" w:type="pct"/>
                  <w:tcBorders>
                    <w:tl2br w:val="nil"/>
                    <w:tr2bl w:val="nil"/>
                  </w:tcBorders>
                  <w:noWrap w:val="0"/>
                  <w:vAlign w:val="center"/>
                </w:tcPr>
                <w:p w14:paraId="7E6B43A9">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714B8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1CA740AE">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top"/>
                </w:tcPr>
                <w:p w14:paraId="1598ADF7">
                  <w:pPr>
                    <w:pStyle w:val="46"/>
                    <w:bidi w:val="0"/>
                    <w:jc w:val="left"/>
                    <w:rPr>
                      <w:rFonts w:hint="default" w:ascii="Times New Roman" w:hAnsi="Times New Roman" w:eastAsia="宋体" w:cs="Times New Roman"/>
                      <w:color w:val="auto"/>
                      <w:kern w:val="0"/>
                      <w:sz w:val="21"/>
                      <w:szCs w:val="21"/>
                      <w:lang w:val="en-US" w:eastAsia="en-US" w:bidi="ar-SA"/>
                    </w:rPr>
                  </w:pPr>
                  <w:r>
                    <w:rPr>
                      <w:rFonts w:hint="default" w:ascii="Times New Roman" w:hAnsi="Times New Roman" w:cs="Times New Roman"/>
                      <w:color w:val="auto"/>
                    </w:rPr>
                    <w:t>4.5固体废物的协同处置应确保不会对水泥生产和污染控制产生不利影响。如果无法满足这一要求，应根据所需要协同处置固体废物的特性设置必要的预处理设施对其进行预处理；如果经过预处理后仍然无法满足这一要求，则不应在水泥窑中处置这类废物。</w:t>
                  </w:r>
                </w:p>
              </w:tc>
              <w:tc>
                <w:tcPr>
                  <w:tcW w:w="1446" w:type="pct"/>
                  <w:tcBorders>
                    <w:tl2br w:val="nil"/>
                    <w:tr2bl w:val="nil"/>
                  </w:tcBorders>
                  <w:shd w:val="clear" w:color="auto" w:fill="auto"/>
                  <w:noWrap w:val="0"/>
                  <w:vAlign w:val="top"/>
                </w:tcPr>
                <w:p w14:paraId="2FCCA30C">
                  <w:pPr>
                    <w:pStyle w:val="46"/>
                    <w:bidi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本项目不会对水泥生产和污染控制无害化处置产生不利影响。水泥产品可达相关产品标准要求，各项污染物排放可达相关排放标准要求。</w:t>
                  </w:r>
                </w:p>
              </w:tc>
              <w:tc>
                <w:tcPr>
                  <w:tcW w:w="530" w:type="pct"/>
                  <w:tcBorders>
                    <w:tl2br w:val="nil"/>
                    <w:tr2bl w:val="nil"/>
                  </w:tcBorders>
                  <w:shd w:val="clear" w:color="auto" w:fill="auto"/>
                  <w:noWrap w:val="0"/>
                  <w:vAlign w:val="center"/>
                </w:tcPr>
                <w:p w14:paraId="5D1D91DA">
                  <w:pPr>
                    <w:pStyle w:val="46"/>
                    <w:bidi w:val="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符合</w:t>
                  </w:r>
                </w:p>
              </w:tc>
            </w:tr>
            <w:tr w14:paraId="05150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restart"/>
                  <w:tcBorders>
                    <w:tl2br w:val="nil"/>
                    <w:tr2bl w:val="nil"/>
                  </w:tcBorders>
                  <w:noWrap w:val="0"/>
                  <w:vAlign w:val="center"/>
                </w:tcPr>
                <w:p w14:paraId="37CC8B9A">
                  <w:pPr>
                    <w:pStyle w:val="46"/>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入窑协同处置危险废物特性</w:t>
                  </w:r>
                </w:p>
                <w:p w14:paraId="4881D1E3">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center"/>
                </w:tcPr>
                <w:p w14:paraId="5790169A">
                  <w:pPr>
                    <w:pStyle w:val="46"/>
                    <w:bidi w:val="0"/>
                    <w:jc w:val="both"/>
                    <w:rPr>
                      <w:rFonts w:hint="default" w:ascii="Times New Roman" w:hAnsi="Times New Roman" w:cs="Times New Roman"/>
                      <w:color w:val="auto"/>
                    </w:rPr>
                  </w:pPr>
                  <w:r>
                    <w:rPr>
                      <w:rFonts w:hint="default" w:ascii="Times New Roman" w:hAnsi="Times New Roman" w:cs="Times New Roman"/>
                      <w:color w:val="auto"/>
                    </w:rPr>
                    <w:t>5.1 禁止下列固体废物入窑进行协同处置：</w:t>
                  </w:r>
                </w:p>
                <w:p w14:paraId="71FEB199">
                  <w:pPr>
                    <w:pStyle w:val="46"/>
                    <w:bidi w:val="0"/>
                    <w:jc w:val="both"/>
                    <w:rPr>
                      <w:rFonts w:hint="default" w:ascii="Times New Roman" w:hAnsi="Times New Roman" w:cs="Times New Roman"/>
                      <w:color w:val="auto"/>
                    </w:rPr>
                  </w:pPr>
                  <w:r>
                    <w:rPr>
                      <w:rFonts w:hint="default" w:ascii="Times New Roman" w:hAnsi="Times New Roman" w:cs="Times New Roman"/>
                      <w:color w:val="auto"/>
                    </w:rPr>
                    <w:t>—放射性废物；</w:t>
                  </w:r>
                </w:p>
                <w:p w14:paraId="2497075F">
                  <w:pPr>
                    <w:pStyle w:val="46"/>
                    <w:bidi w:val="0"/>
                    <w:jc w:val="both"/>
                    <w:rPr>
                      <w:rFonts w:hint="default" w:ascii="Times New Roman" w:hAnsi="Times New Roman" w:cs="Times New Roman"/>
                      <w:color w:val="auto"/>
                    </w:rPr>
                  </w:pPr>
                  <w:r>
                    <w:rPr>
                      <w:rFonts w:hint="default" w:ascii="Times New Roman" w:hAnsi="Times New Roman" w:cs="Times New Roman"/>
                      <w:color w:val="auto"/>
                    </w:rPr>
                    <w:t>—爆炸物及反应性废物；</w:t>
                  </w:r>
                </w:p>
                <w:p w14:paraId="2987F284">
                  <w:pPr>
                    <w:pStyle w:val="46"/>
                    <w:bidi w:val="0"/>
                    <w:jc w:val="both"/>
                    <w:rPr>
                      <w:rFonts w:hint="default" w:ascii="Times New Roman" w:hAnsi="Times New Roman" w:cs="Times New Roman"/>
                      <w:color w:val="auto"/>
                    </w:rPr>
                  </w:pPr>
                  <w:r>
                    <w:rPr>
                      <w:rFonts w:hint="default" w:ascii="Times New Roman" w:hAnsi="Times New Roman" w:cs="Times New Roman"/>
                      <w:color w:val="auto"/>
                    </w:rPr>
                    <w:t>—未经拆解的废电池、废家用电器和电子产品； —含汞的温度计、血压计、荧光灯管和开关；</w:t>
                  </w:r>
                </w:p>
                <w:p w14:paraId="3042D5E7">
                  <w:pPr>
                    <w:pStyle w:val="46"/>
                    <w:bidi w:val="0"/>
                    <w:jc w:val="both"/>
                    <w:rPr>
                      <w:rFonts w:hint="default" w:ascii="Times New Roman" w:hAnsi="Times New Roman" w:cs="Times New Roman"/>
                      <w:color w:val="auto"/>
                    </w:rPr>
                  </w:pPr>
                  <w:r>
                    <w:rPr>
                      <w:rFonts w:hint="default" w:ascii="Times New Roman" w:hAnsi="Times New Roman" w:cs="Times New Roman"/>
                      <w:color w:val="auto"/>
                    </w:rPr>
                    <w:t>—铬渣；</w:t>
                  </w:r>
                </w:p>
                <w:p w14:paraId="617F0406">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—未知特性和未经鉴定的废物。</w:t>
                  </w:r>
                </w:p>
              </w:tc>
              <w:tc>
                <w:tcPr>
                  <w:tcW w:w="1446" w:type="pct"/>
                  <w:tcBorders>
                    <w:tl2br w:val="nil"/>
                    <w:tr2bl w:val="nil"/>
                  </w:tcBorders>
                  <w:shd w:val="clear" w:color="auto" w:fill="auto"/>
                  <w:noWrap w:val="0"/>
                  <w:vAlign w:val="center"/>
                </w:tcPr>
                <w:p w14:paraId="7A9587C8">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本项目入窑的固废不含有标准中禁止入窑的固体废物。</w:t>
                  </w:r>
                </w:p>
              </w:tc>
              <w:tc>
                <w:tcPr>
                  <w:tcW w:w="530" w:type="pct"/>
                  <w:tcBorders>
                    <w:tl2br w:val="nil"/>
                    <w:tr2bl w:val="nil"/>
                  </w:tcBorders>
                  <w:noWrap w:val="0"/>
                  <w:vAlign w:val="center"/>
                </w:tcPr>
                <w:p w14:paraId="0D90B895">
                  <w:pPr>
                    <w:pStyle w:val="46"/>
                    <w:bidi w:val="0"/>
                    <w:jc w:val="both"/>
                    <w:rPr>
                      <w:rFonts w:hint="default" w:ascii="Times New Roman" w:hAnsi="Times New Roman" w:cs="Times New Roman"/>
                      <w:color w:val="auto"/>
                    </w:rPr>
                  </w:pPr>
                </w:p>
              </w:tc>
            </w:tr>
            <w:tr w14:paraId="6B67A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44B81E82">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center"/>
                </w:tcPr>
                <w:p w14:paraId="02D7979B">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5.2入窑固体废物应具有相对稳定的化学组成和物理特性，其重金属以及氯、氟、硫等有害元素的含量及投加量应满足 HJ 662 的要求。</w:t>
                  </w:r>
                </w:p>
              </w:tc>
              <w:tc>
                <w:tcPr>
                  <w:tcW w:w="1446" w:type="pct"/>
                  <w:tcBorders>
                    <w:tl2br w:val="nil"/>
                    <w:tr2bl w:val="nil"/>
                  </w:tcBorders>
                  <w:shd w:val="clear" w:color="auto" w:fill="auto"/>
                  <w:noWrap w:val="0"/>
                  <w:vAlign w:val="center"/>
                </w:tcPr>
                <w:p w14:paraId="414C997E">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本项目入窑废物具有相对稳定的化学组成和物理特性，经配料后，其重金属以及氯、氟、硫等有害元素的含量及投加量满足《水泥窑协同处置固体废物环境保护技术规范》的要求。</w:t>
                  </w:r>
                </w:p>
              </w:tc>
              <w:tc>
                <w:tcPr>
                  <w:tcW w:w="530" w:type="pct"/>
                  <w:tcBorders>
                    <w:tl2br w:val="nil"/>
                    <w:tr2bl w:val="nil"/>
                  </w:tcBorders>
                  <w:noWrap w:val="0"/>
                  <w:vAlign w:val="center"/>
                </w:tcPr>
                <w:p w14:paraId="4FCBBA50">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234A6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restart"/>
                  <w:tcBorders>
                    <w:tl2br w:val="nil"/>
                    <w:tr2bl w:val="nil"/>
                  </w:tcBorders>
                  <w:noWrap w:val="0"/>
                  <w:vAlign w:val="center"/>
                </w:tcPr>
                <w:p w14:paraId="200B33DB">
                  <w:pPr>
                    <w:pStyle w:val="46"/>
                    <w:bidi w:val="0"/>
                    <w:jc w:val="left"/>
                    <w:rPr>
                      <w:rFonts w:hint="default" w:ascii="Times New Roman" w:hAnsi="Times New Roman" w:cs="Times New Roman"/>
                      <w:color w:val="auto"/>
                    </w:rPr>
                  </w:pPr>
                  <w:r>
                    <w:rPr>
                      <w:rFonts w:hint="default" w:ascii="Times New Roman" w:hAnsi="Times New Roman" w:cs="Times New Roman"/>
                      <w:color w:val="auto"/>
                    </w:rPr>
                    <w:t>运行技术</w:t>
                  </w:r>
                </w:p>
                <w:p w14:paraId="591C7801">
                  <w:pPr>
                    <w:pStyle w:val="46"/>
                    <w:bidi w:val="0"/>
                    <w:jc w:val="left"/>
                    <w:rPr>
                      <w:rFonts w:hint="default" w:ascii="Times New Roman" w:hAnsi="Times New Roman" w:cs="Times New Roman"/>
                      <w:color w:val="auto"/>
                    </w:rPr>
                  </w:pPr>
                  <w:r>
                    <w:rPr>
                      <w:rFonts w:hint="default" w:ascii="Times New Roman" w:hAnsi="Times New Roman" w:cs="Times New Roman"/>
                      <w:color w:val="auto"/>
                    </w:rPr>
                    <w:t>要求</w:t>
                  </w:r>
                </w:p>
              </w:tc>
              <w:tc>
                <w:tcPr>
                  <w:tcW w:w="2743" w:type="pct"/>
                  <w:tcBorders>
                    <w:tl2br w:val="nil"/>
                    <w:tr2bl w:val="nil"/>
                  </w:tcBorders>
                  <w:shd w:val="clear" w:color="auto" w:fill="auto"/>
                  <w:noWrap w:val="0"/>
                  <w:vAlign w:val="center"/>
                </w:tcPr>
                <w:p w14:paraId="11709EA6">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6.1 在运行过程中，应根据固体废物特性按照《水泥窑协同处置固体废物环境保护技术规范》中的要求正确选择固体废物投加点和投加方式。</w:t>
                  </w:r>
                </w:p>
              </w:tc>
              <w:tc>
                <w:tcPr>
                  <w:tcW w:w="1446" w:type="pct"/>
                  <w:tcBorders>
                    <w:tl2br w:val="nil"/>
                    <w:tr2bl w:val="nil"/>
                  </w:tcBorders>
                  <w:shd w:val="clear" w:color="auto" w:fill="auto"/>
                  <w:noWrap w:val="0"/>
                  <w:vAlign w:val="center"/>
                </w:tcPr>
                <w:p w14:paraId="22C90F1E">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本项目在运行过程中根据固废特性以及预处理后的固废状态，确定物料投入点位。</w:t>
                  </w:r>
                </w:p>
              </w:tc>
              <w:tc>
                <w:tcPr>
                  <w:tcW w:w="530" w:type="pct"/>
                  <w:tcBorders>
                    <w:tl2br w:val="nil"/>
                    <w:tr2bl w:val="nil"/>
                  </w:tcBorders>
                  <w:noWrap w:val="0"/>
                  <w:vAlign w:val="center"/>
                </w:tcPr>
                <w:p w14:paraId="46986808">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36592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6E0792A6">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center"/>
                </w:tcPr>
                <w:p w14:paraId="2023FD3D">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6.2  固体废物的投加过程和在水泥窑中的协同处置过程应不影响水泥的正常生产。</w:t>
                  </w:r>
                </w:p>
              </w:tc>
              <w:tc>
                <w:tcPr>
                  <w:tcW w:w="1446" w:type="pct"/>
                  <w:tcBorders>
                    <w:tl2br w:val="nil"/>
                    <w:tr2bl w:val="nil"/>
                  </w:tcBorders>
                  <w:shd w:val="clear" w:color="auto" w:fill="auto"/>
                  <w:noWrap w:val="0"/>
                  <w:vAlign w:val="center"/>
                </w:tcPr>
                <w:p w14:paraId="16C5EF28">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本项目废物投加过程和在水泥窑中的协同处置过程不影响水泥的正常生产。</w:t>
                  </w:r>
                </w:p>
              </w:tc>
              <w:tc>
                <w:tcPr>
                  <w:tcW w:w="530" w:type="pct"/>
                  <w:tcBorders>
                    <w:tl2br w:val="nil"/>
                    <w:tr2bl w:val="nil"/>
                  </w:tcBorders>
                  <w:noWrap w:val="0"/>
                  <w:vAlign w:val="center"/>
                </w:tcPr>
                <w:p w14:paraId="089F7784">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11DE7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5620C5DD">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center"/>
                </w:tcPr>
                <w:p w14:paraId="6B62DD90">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6.3 在水泥窑达到正常生产工况并稳定运行至少4小时后，方可开始投加固体废物；因水泥窑维修、事故检修等原因停窑前至少4小时内禁止投加固体废物。</w:t>
                  </w:r>
                </w:p>
              </w:tc>
              <w:tc>
                <w:tcPr>
                  <w:tcW w:w="1446" w:type="pct"/>
                  <w:tcBorders>
                    <w:tl2br w:val="nil"/>
                    <w:tr2bl w:val="nil"/>
                  </w:tcBorders>
                  <w:shd w:val="clear" w:color="auto" w:fill="auto"/>
                  <w:noWrap w:val="0"/>
                  <w:vAlign w:val="center"/>
                </w:tcPr>
                <w:p w14:paraId="7B3A7EF7">
                  <w:pPr>
                    <w:pStyle w:val="46"/>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本项目在水泥窑正常生产并稳定运行至少4小时后，方开始投加工业固废。在水泥窑停窑前至少4小时内禁止投加工业固废。</w:t>
                  </w:r>
                </w:p>
              </w:tc>
              <w:tc>
                <w:tcPr>
                  <w:tcW w:w="530" w:type="pct"/>
                  <w:tcBorders>
                    <w:tl2br w:val="nil"/>
                    <w:tr2bl w:val="nil"/>
                  </w:tcBorders>
                  <w:noWrap w:val="0"/>
                  <w:vAlign w:val="center"/>
                </w:tcPr>
                <w:p w14:paraId="6107F3C8">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34DD2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6B298117">
                  <w:pPr>
                    <w:pStyle w:val="46"/>
                    <w:bidi w:val="0"/>
                    <w:jc w:val="left"/>
                    <w:rPr>
                      <w:rFonts w:hint="default" w:ascii="Times New Roman" w:hAnsi="Times New Roman" w:cs="Times New Roman"/>
                      <w:color w:val="auto"/>
                    </w:rPr>
                  </w:pPr>
                </w:p>
              </w:tc>
              <w:tc>
                <w:tcPr>
                  <w:tcW w:w="2743" w:type="pct"/>
                  <w:tcBorders>
                    <w:tl2br w:val="nil"/>
                    <w:tr2bl w:val="nil"/>
                  </w:tcBorders>
                  <w:shd w:val="clear" w:color="auto" w:fill="auto"/>
                  <w:noWrap w:val="0"/>
                  <w:vAlign w:val="center"/>
                </w:tcPr>
                <w:p w14:paraId="557C584E">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6.4 当水泥窑出现故障或事故造成运行工况不正常，如窑内温度明显下降、烟气中污染物浓度明显升高等情况时，必须立即停止投加固体废物，待查明原因并恢复正常运行后方可恢复投加。</w:t>
                  </w:r>
                </w:p>
              </w:tc>
              <w:tc>
                <w:tcPr>
                  <w:tcW w:w="1446" w:type="pct"/>
                  <w:tcBorders>
                    <w:tl2br w:val="nil"/>
                    <w:tr2bl w:val="nil"/>
                  </w:tcBorders>
                  <w:shd w:val="clear" w:color="auto" w:fill="auto"/>
                  <w:noWrap w:val="0"/>
                  <w:vAlign w:val="center"/>
                </w:tcPr>
                <w:p w14:paraId="0BDA02CD">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按标准要求操作。</w:t>
                  </w:r>
                </w:p>
              </w:tc>
              <w:tc>
                <w:tcPr>
                  <w:tcW w:w="530" w:type="pct"/>
                  <w:tcBorders>
                    <w:tl2br w:val="nil"/>
                    <w:tr2bl w:val="nil"/>
                  </w:tcBorders>
                  <w:noWrap w:val="0"/>
                  <w:vAlign w:val="center"/>
                </w:tcPr>
                <w:p w14:paraId="3C2CC889">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07C5F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restart"/>
                  <w:tcBorders>
                    <w:tl2br w:val="nil"/>
                    <w:tr2bl w:val="nil"/>
                  </w:tcBorders>
                  <w:noWrap w:val="0"/>
                  <w:vAlign w:val="center"/>
                </w:tcPr>
                <w:p w14:paraId="002DC8BE">
                  <w:pPr>
                    <w:pStyle w:val="46"/>
                    <w:bidi w:val="0"/>
                    <w:jc w:val="left"/>
                    <w:rPr>
                      <w:rFonts w:hint="default" w:ascii="Times New Roman" w:hAnsi="Times New Roman" w:cs="Times New Roman"/>
                      <w:color w:val="auto"/>
                    </w:rPr>
                  </w:pPr>
                  <w:r>
                    <w:rPr>
                      <w:rFonts w:hint="default" w:ascii="Times New Roman" w:hAnsi="Times New Roman" w:cs="Times New Roman"/>
                      <w:color w:val="auto"/>
                    </w:rPr>
                    <w:t>大气污染物排放限值</w:t>
                  </w:r>
                </w:p>
              </w:tc>
              <w:tc>
                <w:tcPr>
                  <w:tcW w:w="2743" w:type="pct"/>
                  <w:tcBorders>
                    <w:tl2br w:val="nil"/>
                    <w:tr2bl w:val="nil"/>
                  </w:tcBorders>
                  <w:shd w:val="clear" w:color="auto" w:fill="auto"/>
                  <w:noWrap w:val="0"/>
                  <w:vAlign w:val="center"/>
                </w:tcPr>
                <w:p w14:paraId="07545F48">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7.1 利用水泥窑协同处置固体废物时，水泥窑及窑尾余热利用系统排气筒大气污染物中颗粒物、二氧化硫、氮氧化物和氨的排放限值按 GB4915 中的要求执行。</w:t>
                  </w:r>
                </w:p>
              </w:tc>
              <w:tc>
                <w:tcPr>
                  <w:tcW w:w="1446" w:type="pct"/>
                  <w:tcBorders>
                    <w:tl2br w:val="nil"/>
                    <w:tr2bl w:val="nil"/>
                  </w:tcBorders>
                  <w:shd w:val="clear" w:color="auto" w:fill="auto"/>
                  <w:noWrap w:val="0"/>
                  <w:vAlign w:val="center"/>
                </w:tcPr>
                <w:p w14:paraId="530D2303">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本项目实施后颗粒物、二氧化硫、氮氧化物、氨的排放浓度满足GB4915-2013要求。</w:t>
                  </w:r>
                </w:p>
              </w:tc>
              <w:tc>
                <w:tcPr>
                  <w:tcW w:w="530" w:type="pct"/>
                  <w:tcBorders>
                    <w:tl2br w:val="nil"/>
                    <w:tr2bl w:val="nil"/>
                  </w:tcBorders>
                  <w:noWrap w:val="0"/>
                  <w:vAlign w:val="center"/>
                </w:tcPr>
                <w:p w14:paraId="5E3B2329">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7E636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5ACAB233">
                  <w:pPr>
                    <w:pStyle w:val="46"/>
                    <w:bidi w:val="0"/>
                    <w:jc w:val="left"/>
                    <w:rPr>
                      <w:rFonts w:hint="default" w:ascii="Times New Roman" w:hAnsi="Times New Roman" w:cs="Times New Roman"/>
                      <w:color w:val="auto"/>
                    </w:rPr>
                  </w:pPr>
                </w:p>
              </w:tc>
              <w:tc>
                <w:tcPr>
                  <w:tcW w:w="0" w:type="auto"/>
                  <w:shd w:val="clear" w:color="auto" w:fill="auto"/>
                  <w:vAlign w:val="center"/>
                </w:tcPr>
                <w:p w14:paraId="7348D63E">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7.2 利用水泥窑协同处置固体废物时，水泥窑及窑尾余热利用系统排气筒大气污染物中除列入本标准7.1条外的其他污染物执行表 1 规定的最高允许排放浓度。</w:t>
                  </w:r>
                </w:p>
              </w:tc>
              <w:tc>
                <w:tcPr>
                  <w:tcW w:w="0" w:type="auto"/>
                  <w:shd w:val="clear" w:color="auto" w:fill="auto"/>
                  <w:vAlign w:val="center"/>
                </w:tcPr>
                <w:p w14:paraId="5A349549">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经分析，本项目重金属等其他污染物满足表1规定的最高允许排放浓度。</w:t>
                  </w:r>
                </w:p>
              </w:tc>
              <w:tc>
                <w:tcPr>
                  <w:tcW w:w="0" w:type="auto"/>
                  <w:vAlign w:val="center"/>
                </w:tcPr>
                <w:p w14:paraId="3166706E">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52FC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1D3B99CC">
                  <w:pPr>
                    <w:pStyle w:val="46"/>
                    <w:bidi w:val="0"/>
                    <w:jc w:val="left"/>
                    <w:rPr>
                      <w:rFonts w:hint="default" w:ascii="Times New Roman" w:hAnsi="Times New Roman" w:cs="Times New Roman"/>
                      <w:color w:val="auto"/>
                    </w:rPr>
                  </w:pPr>
                </w:p>
              </w:tc>
              <w:tc>
                <w:tcPr>
                  <w:tcW w:w="0" w:type="auto"/>
                  <w:shd w:val="clear" w:color="auto" w:fill="auto"/>
                  <w:vAlign w:val="center"/>
                </w:tcPr>
                <w:p w14:paraId="21F2EAE8">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7.3 在本标准第6.4条规定的情况下，所获得的监测数据不作为执行本标准烟气排放限值的监测数据。每次故障或事故持续排放污染物时间不应超过4小时，每年累计不得超过60小时。</w:t>
                  </w:r>
                </w:p>
              </w:tc>
              <w:tc>
                <w:tcPr>
                  <w:tcW w:w="0" w:type="auto"/>
                  <w:shd w:val="clear" w:color="auto" w:fill="auto"/>
                  <w:vAlign w:val="center"/>
                </w:tcPr>
                <w:p w14:paraId="5A4B8932">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本项目按标准要求操作。</w:t>
                  </w:r>
                </w:p>
              </w:tc>
              <w:tc>
                <w:tcPr>
                  <w:tcW w:w="0" w:type="auto"/>
                  <w:vAlign w:val="center"/>
                </w:tcPr>
                <w:p w14:paraId="741799BB">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294ED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3BEB0534">
                  <w:pPr>
                    <w:pStyle w:val="46"/>
                    <w:bidi w:val="0"/>
                    <w:jc w:val="left"/>
                    <w:rPr>
                      <w:rFonts w:hint="default" w:ascii="Times New Roman" w:hAnsi="Times New Roman" w:cs="Times New Roman"/>
                      <w:color w:val="auto"/>
                    </w:rPr>
                  </w:pPr>
                </w:p>
              </w:tc>
              <w:tc>
                <w:tcPr>
                  <w:tcW w:w="0" w:type="auto"/>
                  <w:shd w:val="clear" w:color="auto" w:fill="auto"/>
                  <w:vAlign w:val="center"/>
                </w:tcPr>
                <w:p w14:paraId="62536FEE">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7.4  固体废物贮存、预处理等设施产生的废气应导入水泥窑高温区焚烧；或经过处理达到 GB14554规定的限值后排放。</w:t>
                  </w:r>
                </w:p>
              </w:tc>
              <w:tc>
                <w:tcPr>
                  <w:tcW w:w="0" w:type="auto"/>
                  <w:shd w:val="clear" w:color="auto" w:fill="auto"/>
                  <w:vAlign w:val="center"/>
                </w:tcPr>
                <w:p w14:paraId="0907ED54">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w:t>
                  </w:r>
                  <w:r>
                    <w:rPr>
                      <w:rFonts w:hint="eastAsia" w:cs="Times New Roman"/>
                      <w:color w:val="auto"/>
                      <w:lang w:val="en-US" w:eastAsia="zh-CN"/>
                    </w:rPr>
                    <w:t>利用</w:t>
                  </w:r>
                  <w:r>
                    <w:rPr>
                      <w:rFonts w:hint="default" w:ascii="Times New Roman" w:hAnsi="Times New Roman" w:cs="Times New Roman"/>
                      <w:color w:val="auto"/>
                    </w:rPr>
                    <w:t>固体废物</w:t>
                  </w:r>
                  <w:r>
                    <w:rPr>
                      <w:rFonts w:hint="eastAsia" w:cs="Times New Roman"/>
                      <w:color w:val="auto"/>
                      <w:lang w:val="en-US" w:eastAsia="zh-CN"/>
                    </w:rPr>
                    <w:t>不需要进行预处理，不产生废气。</w:t>
                  </w:r>
                </w:p>
              </w:tc>
              <w:tc>
                <w:tcPr>
                  <w:tcW w:w="0" w:type="auto"/>
                  <w:vAlign w:val="center"/>
                </w:tcPr>
                <w:p w14:paraId="6374FB6B">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3FEDB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6AD37CA1">
                  <w:pPr>
                    <w:pStyle w:val="46"/>
                    <w:bidi w:val="0"/>
                    <w:jc w:val="left"/>
                    <w:rPr>
                      <w:rFonts w:hint="default" w:ascii="Times New Roman" w:hAnsi="Times New Roman" w:cs="Times New Roman"/>
                      <w:color w:val="auto"/>
                    </w:rPr>
                  </w:pPr>
                </w:p>
              </w:tc>
              <w:tc>
                <w:tcPr>
                  <w:tcW w:w="0" w:type="auto"/>
                  <w:shd w:val="clear" w:color="auto" w:fill="auto"/>
                  <w:vAlign w:val="center"/>
                </w:tcPr>
                <w:p w14:paraId="01D4FDAE">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7.5 车辆清洗废水以及水泥窑协同处置固体废物过程产生的其他废水收集后可采用喷入水泥窑内焚烧处置、采用密闭运输送到城市污水处理厂处理、排入城市排水管道进入城市污水处理厂处理或者自行处理等方式。废水排放应符合国家相关水污染物排放标准要求。</w:t>
                  </w:r>
                </w:p>
              </w:tc>
              <w:tc>
                <w:tcPr>
                  <w:tcW w:w="0" w:type="auto"/>
                  <w:shd w:val="clear" w:color="auto" w:fill="auto"/>
                  <w:vAlign w:val="center"/>
                </w:tcPr>
                <w:p w14:paraId="04A3B3C9">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本项目无生产废水产生。</w:t>
                  </w:r>
                </w:p>
              </w:tc>
              <w:tc>
                <w:tcPr>
                  <w:tcW w:w="0" w:type="auto"/>
                  <w:vAlign w:val="center"/>
                </w:tcPr>
                <w:p w14:paraId="78CA040C">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32961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3EF6C192">
                  <w:pPr>
                    <w:pStyle w:val="46"/>
                    <w:bidi w:val="0"/>
                    <w:jc w:val="left"/>
                    <w:rPr>
                      <w:rFonts w:hint="default" w:ascii="Times New Roman" w:hAnsi="Times New Roman" w:cs="Times New Roman"/>
                      <w:color w:val="auto"/>
                    </w:rPr>
                  </w:pPr>
                </w:p>
              </w:tc>
              <w:tc>
                <w:tcPr>
                  <w:tcW w:w="0" w:type="auto"/>
                  <w:shd w:val="clear" w:color="auto" w:fill="auto"/>
                  <w:vAlign w:val="center"/>
                </w:tcPr>
                <w:p w14:paraId="4F1B1923">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7.6 协同处置固体废物的水泥生产企业厂界恶臭污染物限值应按照 GB14554 执行。</w:t>
                  </w:r>
                </w:p>
              </w:tc>
              <w:tc>
                <w:tcPr>
                  <w:tcW w:w="0" w:type="auto"/>
                  <w:shd w:val="clear" w:color="auto" w:fill="auto"/>
                  <w:vAlign w:val="center"/>
                </w:tcPr>
                <w:p w14:paraId="69F29E2F">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水泥厂厂界恶臭污染物限值执行GB14554。</w:t>
                  </w:r>
                </w:p>
              </w:tc>
              <w:tc>
                <w:tcPr>
                  <w:tcW w:w="0" w:type="auto"/>
                  <w:vAlign w:val="center"/>
                </w:tcPr>
                <w:p w14:paraId="58CAC832">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2AA0C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652783A3">
                  <w:pPr>
                    <w:pStyle w:val="46"/>
                    <w:bidi w:val="0"/>
                    <w:jc w:val="left"/>
                    <w:rPr>
                      <w:rFonts w:hint="default" w:ascii="Times New Roman" w:hAnsi="Times New Roman" w:cs="Times New Roman"/>
                      <w:color w:val="auto"/>
                    </w:rPr>
                  </w:pPr>
                </w:p>
              </w:tc>
              <w:tc>
                <w:tcPr>
                  <w:tcW w:w="0" w:type="auto"/>
                  <w:shd w:val="clear" w:color="auto" w:fill="auto"/>
                  <w:vAlign w:val="center"/>
                </w:tcPr>
                <w:p w14:paraId="44DB9FE8">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7.7 水泥窑旁路放风排气筒大气污染物排放限值按照本标准第7.1和7.2条执行。</w:t>
                  </w:r>
                </w:p>
              </w:tc>
              <w:tc>
                <w:tcPr>
                  <w:tcW w:w="0" w:type="auto"/>
                  <w:shd w:val="clear" w:color="auto" w:fill="auto"/>
                  <w:vAlign w:val="center"/>
                </w:tcPr>
                <w:p w14:paraId="6874C26B">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本项目不进行旁路放风。</w:t>
                  </w:r>
                </w:p>
              </w:tc>
              <w:tc>
                <w:tcPr>
                  <w:tcW w:w="0" w:type="auto"/>
                  <w:vAlign w:val="center"/>
                </w:tcPr>
                <w:p w14:paraId="703C982E">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5F11B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54BA5EA1">
                  <w:pPr>
                    <w:pStyle w:val="46"/>
                    <w:bidi w:val="0"/>
                    <w:jc w:val="left"/>
                    <w:rPr>
                      <w:rFonts w:hint="default" w:ascii="Times New Roman" w:hAnsi="Times New Roman" w:cs="Times New Roman"/>
                      <w:color w:val="auto"/>
                    </w:rPr>
                  </w:pPr>
                </w:p>
              </w:tc>
              <w:tc>
                <w:tcPr>
                  <w:tcW w:w="0" w:type="auto"/>
                  <w:shd w:val="clear" w:color="auto" w:fill="auto"/>
                  <w:vAlign w:val="center"/>
                </w:tcPr>
                <w:p w14:paraId="6F8C5DAE">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7.8 协同处置固体废物的水泥生产企业，除水泥窑及窑尾余热利用系统、旁路放风、固体废物贮存及预处理等设施排气筒外的其他原料、产品的加工、贮存、生产设施的排气筒大气污染物排放和无组织排放限值及周边环境质量监控按照 GB4915 执行。</w:t>
                  </w:r>
                </w:p>
              </w:tc>
              <w:tc>
                <w:tcPr>
                  <w:tcW w:w="0" w:type="auto"/>
                  <w:shd w:val="clear" w:color="auto" w:fill="auto"/>
                  <w:vAlign w:val="center"/>
                </w:tcPr>
                <w:p w14:paraId="3167E168">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本项目其他原料、产品的加工、贮存、生产设施的排气筒大气污染物排放限值满足GB4915。</w:t>
                  </w:r>
                </w:p>
              </w:tc>
              <w:tc>
                <w:tcPr>
                  <w:tcW w:w="0" w:type="auto"/>
                  <w:vAlign w:val="center"/>
                </w:tcPr>
                <w:p w14:paraId="26253C31">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14:paraId="2325C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Pr>
                <w:p w14:paraId="6B271B3D">
                  <w:pPr>
                    <w:pStyle w:val="46"/>
                    <w:bidi w:val="0"/>
                    <w:jc w:val="left"/>
                    <w:rPr>
                      <w:rFonts w:hint="default" w:ascii="Times New Roman" w:hAnsi="Times New Roman" w:cs="Times New Roman"/>
                      <w:color w:val="auto"/>
                    </w:rPr>
                  </w:pPr>
                </w:p>
              </w:tc>
              <w:tc>
                <w:tcPr>
                  <w:tcW w:w="0" w:type="auto"/>
                  <w:shd w:val="clear" w:color="auto" w:fill="auto"/>
                  <w:vAlign w:val="center"/>
                </w:tcPr>
                <w:p w14:paraId="69D0534C">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7.9 从水泥窑循环系统排出的窑灰和旁路放风收集的粉尘如直接掺加入水泥熟料，应严格控制其掺加比例， 确保满足本标准第8章要求。如果窑灰和旁路放风粉尘需要送至厂外进行处理处置，应按危险废物进行管理。</w:t>
                  </w:r>
                </w:p>
              </w:tc>
              <w:tc>
                <w:tcPr>
                  <w:tcW w:w="0" w:type="auto"/>
                  <w:shd w:val="clear" w:color="auto" w:fill="auto"/>
                  <w:vAlign w:val="center"/>
                </w:tcPr>
                <w:p w14:paraId="1644730B">
                  <w:pPr>
                    <w:pStyle w:val="46"/>
                    <w:bidi w:val="0"/>
                    <w:jc w:val="both"/>
                    <w:rPr>
                      <w:rFonts w:hint="default" w:ascii="Times New Roman" w:hAnsi="Times New Roman" w:cs="Times New Roman"/>
                      <w:color w:val="auto"/>
                      <w:lang w:val="en-US" w:eastAsia="en-US"/>
                    </w:rPr>
                  </w:pPr>
                  <w:r>
                    <w:rPr>
                      <w:rFonts w:hint="default" w:ascii="Times New Roman" w:hAnsi="Times New Roman" w:cs="Times New Roman"/>
                      <w:color w:val="auto"/>
                    </w:rPr>
                    <w:t>本项目窑灰返回水泥窑。</w:t>
                  </w:r>
                </w:p>
              </w:tc>
              <w:tc>
                <w:tcPr>
                  <w:tcW w:w="0" w:type="auto"/>
                  <w:vAlign w:val="center"/>
                </w:tcPr>
                <w:p w14:paraId="374CD5F6">
                  <w:pPr>
                    <w:pStyle w:val="46"/>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bl>
          <w:p w14:paraId="07FD5FBC">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ascii="Times New Roman" w:hAnsi="Times New Roman" w:cs="Times New Roman"/>
                <w:color w:val="auto"/>
                <w:lang w:val="en-US" w:eastAsia="zh-CN"/>
              </w:rPr>
            </w:pPr>
            <w:r>
              <w:rPr>
                <w:rFonts w:hint="default" w:cs="Times New Roman"/>
                <w:b/>
                <w:bCs/>
                <w:color w:val="auto"/>
                <w:sz w:val="24"/>
                <w:highlight w:val="none"/>
                <w:lang w:val="en-US" w:eastAsia="zh-CN"/>
              </w:rPr>
              <w:t>1</w:t>
            </w:r>
            <w:r>
              <w:rPr>
                <w:rFonts w:hint="eastAsia" w:cs="Times New Roman"/>
                <w:b/>
                <w:bCs/>
                <w:color w:val="auto"/>
                <w:sz w:val="24"/>
                <w:highlight w:val="none"/>
                <w:lang w:val="en-US" w:eastAsia="zh-CN"/>
              </w:rPr>
              <w:t>5</w:t>
            </w:r>
            <w:r>
              <w:rPr>
                <w:rFonts w:hint="default" w:cs="Times New Roman"/>
                <w:b/>
                <w:bCs/>
                <w:color w:val="auto"/>
                <w:sz w:val="24"/>
                <w:highlight w:val="none"/>
                <w:lang w:val="en-US" w:eastAsia="zh-CN"/>
              </w:rPr>
              <w:t>、与《水泥窑协同处置固体废物污染防治技术政策》（环保部公告2016年第72号）符合性分析</w:t>
            </w:r>
          </w:p>
          <w:p w14:paraId="46C40A03">
            <w:pPr>
              <w:keepNext w:val="0"/>
              <w:keepLines w:val="0"/>
              <w:pageBreakBefore w:val="0"/>
              <w:widowControl w:val="0"/>
              <w:kinsoku/>
              <w:wordWrap/>
              <w:overflowPunct/>
              <w:topLinePunct w:val="0"/>
              <w:autoSpaceDE/>
              <w:autoSpaceDN/>
              <w:bidi w:val="0"/>
              <w:adjustRightInd w:val="0"/>
              <w:snapToGrid/>
              <w:spacing w:line="240" w:lineRule="auto"/>
              <w:ind w:firstLine="439" w:firstLineChars="182"/>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表1-</w:t>
            </w:r>
            <w:r>
              <w:rPr>
                <w:rFonts w:hint="eastAsia" w:cs="Times New Roman"/>
                <w:b/>
                <w:bCs/>
                <w:color w:val="auto"/>
                <w:sz w:val="24"/>
                <w:highlight w:val="none"/>
                <w:lang w:val="en-US" w:eastAsia="zh-CN"/>
              </w:rPr>
              <w:t>10</w:t>
            </w:r>
            <w:r>
              <w:rPr>
                <w:rFonts w:hint="default" w:cs="Times New Roman"/>
                <w:b/>
                <w:bCs/>
                <w:color w:val="auto"/>
                <w:sz w:val="24"/>
                <w:highlight w:val="none"/>
                <w:lang w:val="en-US" w:eastAsia="zh-CN"/>
              </w:rPr>
              <w:t xml:space="preserve"> 与《水泥窑协同处置固体废物污染防治技术政策》符合性分析</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982"/>
              <w:gridCol w:w="1921"/>
              <w:gridCol w:w="874"/>
            </w:tblGrid>
            <w:tr w14:paraId="4E009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03" w:type="pct"/>
                  <w:gridSpan w:val="2"/>
                  <w:tcBorders>
                    <w:tl2br w:val="nil"/>
                    <w:tr2bl w:val="nil"/>
                  </w:tcBorders>
                  <w:noWrap w:val="0"/>
                  <w:vAlign w:val="center"/>
                </w:tcPr>
                <w:p w14:paraId="702F6D19">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文件</w:t>
                  </w:r>
                  <w:r>
                    <w:rPr>
                      <w:rFonts w:hint="default" w:ascii="Times New Roman" w:hAnsi="Times New Roman" w:cs="Times New Roman"/>
                      <w:b/>
                      <w:bCs/>
                      <w:color w:val="auto"/>
                    </w:rPr>
                    <w:t>要求</w:t>
                  </w:r>
                </w:p>
              </w:tc>
              <w:tc>
                <w:tcPr>
                  <w:tcW w:w="1165" w:type="pct"/>
                  <w:tcBorders>
                    <w:tl2br w:val="nil"/>
                    <w:tr2bl w:val="nil"/>
                  </w:tcBorders>
                  <w:noWrap w:val="0"/>
                  <w:vAlign w:val="center"/>
                </w:tcPr>
                <w:p w14:paraId="32DFD14D">
                  <w:pPr>
                    <w:pStyle w:val="46"/>
                    <w:bidi w:val="0"/>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530" w:type="pct"/>
                  <w:tcBorders>
                    <w:tl2br w:val="nil"/>
                    <w:tr2bl w:val="nil"/>
                  </w:tcBorders>
                  <w:noWrap w:val="0"/>
                  <w:vAlign w:val="center"/>
                </w:tcPr>
                <w:p w14:paraId="4823BA5F">
                  <w:pPr>
                    <w:pStyle w:val="46"/>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14995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restart"/>
                  <w:tcBorders>
                    <w:tl2br w:val="nil"/>
                    <w:tr2bl w:val="nil"/>
                  </w:tcBorders>
                  <w:noWrap w:val="0"/>
                  <w:vAlign w:val="center"/>
                </w:tcPr>
                <w:p w14:paraId="56C7EC01">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源头控制</w:t>
                  </w:r>
                </w:p>
                <w:p w14:paraId="14D1CD73">
                  <w:pPr>
                    <w:pStyle w:val="46"/>
                    <w:bidi w:val="0"/>
                    <w:rPr>
                      <w:rFonts w:hint="default" w:ascii="Times New Roman" w:hAnsi="Times New Roman" w:cs="Times New Roman"/>
                      <w:b/>
                      <w:bCs/>
                      <w:color w:val="auto"/>
                      <w:lang w:val="en-US" w:eastAsia="zh-CN"/>
                    </w:rPr>
                  </w:pPr>
                </w:p>
              </w:tc>
              <w:tc>
                <w:tcPr>
                  <w:tcW w:w="3023" w:type="pct"/>
                  <w:tcBorders>
                    <w:tl2br w:val="nil"/>
                    <w:tr2bl w:val="nil"/>
                  </w:tcBorders>
                  <w:noWrap w:val="0"/>
                  <w:vAlign w:val="center"/>
                </w:tcPr>
                <w:p w14:paraId="4362D0D6">
                  <w:pPr>
                    <w:pStyle w:val="46"/>
                    <w:bidi w:val="0"/>
                    <w:rPr>
                      <w:rFonts w:hint="default" w:ascii="Times New Roman" w:hAnsi="Times New Roman" w:cs="Times New Roman"/>
                      <w:color w:val="auto"/>
                    </w:rPr>
                  </w:pPr>
                  <w:r>
                    <w:rPr>
                      <w:rFonts w:hint="default" w:ascii="Times New Roman" w:hAnsi="Times New Roman" w:cs="Times New Roman"/>
                      <w:color w:val="auto"/>
                    </w:rPr>
                    <w:t>（一）协同处置固体废物应利用现有新型干法水泥窑，并采用窑磨一体化运行方式。处置固体废物应采用单线设计熟料生产规模2000吨/日及以上的水泥窑。本技术政策发布之后新建、改建或扩建处置危险废物的水泥企业，应选择单线设计熟料生产规模4000吨/日及以上水泥窑；新建、改建或扩建处置其他固体废物的水泥企业，应选择单线设计熟料生产规模3000吨/日及以上水泥窑。鼓励利用符合《水泥行业规范条件（2015年本）》的水泥窑协同处置固体废物，拟改造前应符合《水泥窑协同处置固体废物污染控制标准》（GB30485-2013）的要求。</w:t>
                  </w:r>
                </w:p>
              </w:tc>
              <w:tc>
                <w:tcPr>
                  <w:tcW w:w="1165" w:type="pct"/>
                  <w:tcBorders>
                    <w:tl2br w:val="nil"/>
                    <w:tr2bl w:val="nil"/>
                  </w:tcBorders>
                  <w:noWrap w:val="0"/>
                  <w:vAlign w:val="center"/>
                </w:tcPr>
                <w:p w14:paraId="77F23A62">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本项目依托的水泥窑为产能4500t/d的新型干法水泥窑。</w:t>
                  </w:r>
                </w:p>
                <w:p w14:paraId="17E16007">
                  <w:pPr>
                    <w:pStyle w:val="46"/>
                    <w:bidi w:val="0"/>
                    <w:rPr>
                      <w:rFonts w:hint="default" w:ascii="Times New Roman" w:hAnsi="Times New Roman" w:cs="Times New Roman"/>
                      <w:b/>
                      <w:bCs/>
                      <w:color w:val="auto"/>
                    </w:rPr>
                  </w:pPr>
                </w:p>
              </w:tc>
              <w:tc>
                <w:tcPr>
                  <w:tcW w:w="530" w:type="pct"/>
                  <w:tcBorders>
                    <w:tl2br w:val="nil"/>
                    <w:tr2bl w:val="nil"/>
                  </w:tcBorders>
                  <w:noWrap w:val="0"/>
                  <w:vAlign w:val="center"/>
                </w:tcPr>
                <w:p w14:paraId="2EACAF94">
                  <w:pPr>
                    <w:pStyle w:val="46"/>
                    <w:bidi w:val="0"/>
                    <w:rPr>
                      <w:rFonts w:hint="default" w:ascii="Times New Roman" w:hAnsi="Times New Roman" w:eastAsia="宋体" w:cs="Times New Roman"/>
                      <w:b/>
                      <w:bCs/>
                      <w:color w:val="auto"/>
                      <w:lang w:val="en-US" w:eastAsia="zh-CN"/>
                    </w:rPr>
                  </w:pPr>
                  <w:r>
                    <w:rPr>
                      <w:rFonts w:hint="default" w:ascii="Times New Roman" w:hAnsi="Times New Roman" w:cs="Times New Roman"/>
                      <w:b w:val="0"/>
                      <w:bCs w:val="0"/>
                      <w:color w:val="auto"/>
                      <w:lang w:val="en-US" w:eastAsia="zh-CN"/>
                    </w:rPr>
                    <w:t>符合</w:t>
                  </w:r>
                </w:p>
              </w:tc>
            </w:tr>
            <w:tr w14:paraId="6D48A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4541A865">
                  <w:pPr>
                    <w:pStyle w:val="46"/>
                    <w:bidi w:val="0"/>
                    <w:rPr>
                      <w:rFonts w:hint="default" w:ascii="Times New Roman" w:hAnsi="Times New Roman" w:cs="Times New Roman"/>
                      <w:b/>
                      <w:bCs/>
                      <w:color w:val="auto"/>
                      <w:lang w:val="en-US" w:eastAsia="zh-CN"/>
                    </w:rPr>
                  </w:pPr>
                </w:p>
              </w:tc>
              <w:tc>
                <w:tcPr>
                  <w:tcW w:w="3023" w:type="pct"/>
                  <w:tcBorders>
                    <w:tl2br w:val="nil"/>
                    <w:tr2bl w:val="nil"/>
                  </w:tcBorders>
                  <w:noWrap w:val="0"/>
                  <w:vAlign w:val="center"/>
                </w:tcPr>
                <w:p w14:paraId="7C60E897">
                  <w:pPr>
                    <w:pStyle w:val="46"/>
                    <w:bidi w:val="0"/>
                    <w:rPr>
                      <w:rFonts w:hint="default" w:ascii="Times New Roman" w:hAnsi="Times New Roman" w:cs="Times New Roman"/>
                      <w:color w:val="auto"/>
                    </w:rPr>
                  </w:pPr>
                  <w:r>
                    <w:rPr>
                      <w:rFonts w:hint="default" w:ascii="Times New Roman" w:hAnsi="Times New Roman" w:cs="Times New Roman"/>
                      <w:color w:val="auto"/>
                    </w:rPr>
                    <w:t>（二）应根据生产工艺与技术装备，合理确定水泥窑协同处置固体废物的种类及处置规模。严禁利用水泥窑协同处置具有放射性、爆炸性和反应性废物，未经拆解的废家用电器、废电池和电子产品，含汞的温度计、血压计、荧光灯管和开关，铬渣，以及未知特性和未经过检测的不明性质废物。</w:t>
                  </w:r>
                </w:p>
              </w:tc>
              <w:tc>
                <w:tcPr>
                  <w:tcW w:w="1165" w:type="pct"/>
                  <w:tcBorders>
                    <w:tl2br w:val="nil"/>
                    <w:tr2bl w:val="nil"/>
                  </w:tcBorders>
                  <w:noWrap w:val="0"/>
                  <w:vAlign w:val="center"/>
                </w:tcPr>
                <w:p w14:paraId="70FB76D7">
                  <w:pPr>
                    <w:pStyle w:val="46"/>
                    <w:bidi w:val="0"/>
                    <w:rPr>
                      <w:rFonts w:hint="default" w:ascii="Times New Roman" w:hAnsi="Times New Roman" w:cs="Times New Roman"/>
                      <w:b/>
                      <w:bCs/>
                      <w:color w:val="auto"/>
                      <w:lang w:val="en-US"/>
                    </w:rPr>
                  </w:pPr>
                  <w:r>
                    <w:rPr>
                      <w:rFonts w:hint="default" w:ascii="Times New Roman" w:hAnsi="Times New Roman" w:eastAsia="宋体" w:cs="Times New Roman"/>
                      <w:color w:val="auto"/>
                      <w:lang w:val="en-US" w:eastAsia="zh-CN"/>
                    </w:rPr>
                    <w:t>本项目协同处置的</w:t>
                  </w:r>
                  <w:r>
                    <w:rPr>
                      <w:rFonts w:hint="eastAsia" w:cs="Times New Roman"/>
                      <w:color w:val="auto"/>
                      <w:lang w:val="en-US" w:eastAsia="zh-CN"/>
                    </w:rPr>
                    <w:t>固体废物不涉及左述废物。</w:t>
                  </w:r>
                </w:p>
              </w:tc>
              <w:tc>
                <w:tcPr>
                  <w:tcW w:w="530" w:type="pct"/>
                  <w:tcBorders>
                    <w:tl2br w:val="nil"/>
                    <w:tr2bl w:val="nil"/>
                  </w:tcBorders>
                  <w:noWrap w:val="0"/>
                  <w:vAlign w:val="center"/>
                </w:tcPr>
                <w:p w14:paraId="45C9C041">
                  <w:pPr>
                    <w:pStyle w:val="46"/>
                    <w:bidi w:val="0"/>
                    <w:rPr>
                      <w:rFonts w:hint="default" w:ascii="Times New Roman" w:hAnsi="Times New Roman" w:cs="Times New Roman"/>
                      <w:b/>
                      <w:bCs/>
                      <w:color w:val="auto"/>
                    </w:rPr>
                  </w:pPr>
                  <w:r>
                    <w:rPr>
                      <w:rFonts w:hint="default" w:ascii="Times New Roman" w:hAnsi="Times New Roman" w:cs="Times New Roman"/>
                      <w:b w:val="0"/>
                      <w:bCs w:val="0"/>
                      <w:color w:val="auto"/>
                      <w:lang w:val="en-US" w:eastAsia="zh-CN"/>
                    </w:rPr>
                    <w:t>符合</w:t>
                  </w:r>
                </w:p>
              </w:tc>
            </w:tr>
            <w:tr w14:paraId="230C1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0" w:type="pct"/>
                  <w:vMerge w:val="continue"/>
                  <w:tcBorders>
                    <w:tl2br w:val="nil"/>
                    <w:tr2bl w:val="nil"/>
                  </w:tcBorders>
                  <w:noWrap w:val="0"/>
                  <w:vAlign w:val="center"/>
                </w:tcPr>
                <w:p w14:paraId="03BB35F0">
                  <w:pPr>
                    <w:pStyle w:val="46"/>
                    <w:bidi w:val="0"/>
                    <w:jc w:val="left"/>
                    <w:rPr>
                      <w:rFonts w:hint="default" w:ascii="Times New Roman" w:hAnsi="Times New Roman" w:cs="Times New Roman"/>
                      <w:color w:val="auto"/>
                    </w:rPr>
                  </w:pPr>
                </w:p>
              </w:tc>
              <w:tc>
                <w:tcPr>
                  <w:tcW w:w="3023" w:type="pct"/>
                  <w:tcBorders>
                    <w:tl2br w:val="nil"/>
                    <w:tr2bl w:val="nil"/>
                  </w:tcBorders>
                  <w:noWrap w:val="0"/>
                  <w:vAlign w:val="center"/>
                </w:tcPr>
                <w:p w14:paraId="404B5817">
                  <w:pPr>
                    <w:pStyle w:val="46"/>
                    <w:numPr>
                      <w:ilvl w:val="0"/>
                      <w:numId w:val="0"/>
                    </w:numPr>
                    <w:bidi w:val="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（三）</w:t>
                  </w:r>
                  <w:r>
                    <w:rPr>
                      <w:rFonts w:hint="default" w:ascii="Times New Roman" w:hAnsi="Times New Roman" w:cs="Times New Roman"/>
                      <w:color w:val="auto"/>
                    </w:rPr>
                    <w:t>新建水泥窑协同处置危险废物的企业在试生产期间，应按照《水泥窑协同处置固体废物环境保护技术规范》（HJ662-2013）要求对水泥窑协同处置设施进行性能测试，以检验和评价水泥窑在协同处置危险废物的过程中对有机化合物的焚毁去除能力以及对污染物排放的控制效果。利用水泥窑协同处置医疗废物，必须满足《水泥窑协同处置固体废物环境保护技术规范》（HJ662-2013）的相关要求。</w:t>
                  </w:r>
                </w:p>
              </w:tc>
              <w:tc>
                <w:tcPr>
                  <w:tcW w:w="1165" w:type="pct"/>
                  <w:vMerge w:val="restart"/>
                  <w:tcBorders>
                    <w:tl2br w:val="nil"/>
                    <w:tr2bl w:val="nil"/>
                  </w:tcBorders>
                  <w:noWrap w:val="0"/>
                  <w:vAlign w:val="center"/>
                </w:tcPr>
                <w:p w14:paraId="1E2023AB">
                  <w:pPr>
                    <w:pStyle w:val="46"/>
                    <w:bidi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本项目协同处置的</w:t>
                  </w:r>
                  <w:r>
                    <w:rPr>
                      <w:rFonts w:hint="eastAsia" w:cs="Times New Roman"/>
                      <w:color w:val="auto"/>
                      <w:lang w:val="en-US" w:eastAsia="zh-CN"/>
                    </w:rPr>
                    <w:t>固体废物不涉及</w:t>
                  </w:r>
                  <w:r>
                    <w:rPr>
                      <w:rFonts w:hint="default" w:ascii="Times New Roman" w:hAnsi="Times New Roman" w:eastAsia="宋体" w:cs="Times New Roman"/>
                      <w:color w:val="auto"/>
                      <w:lang w:val="en-US" w:eastAsia="zh-CN"/>
                    </w:rPr>
                    <w:t>危险废物、处置应急事件废物。</w:t>
                  </w:r>
                </w:p>
              </w:tc>
              <w:tc>
                <w:tcPr>
                  <w:tcW w:w="530" w:type="pct"/>
                  <w:tcBorders>
                    <w:tl2br w:val="nil"/>
                    <w:tr2bl w:val="nil"/>
                  </w:tcBorders>
                  <w:noWrap w:val="0"/>
                  <w:vAlign w:val="center"/>
                </w:tcPr>
                <w:p w14:paraId="6CEF3E58">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r w14:paraId="0053C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tcBorders>
                    <w:tl2br w:val="nil"/>
                    <w:tr2bl w:val="nil"/>
                  </w:tcBorders>
                  <w:noWrap w:val="0"/>
                  <w:vAlign w:val="center"/>
                </w:tcPr>
                <w:p w14:paraId="2E6294C0">
                  <w:pPr>
                    <w:pStyle w:val="46"/>
                    <w:bidi w:val="0"/>
                    <w:jc w:val="left"/>
                    <w:rPr>
                      <w:rFonts w:hint="default" w:ascii="Times New Roman" w:hAnsi="Times New Roman" w:cs="Times New Roman"/>
                      <w:color w:val="auto"/>
                    </w:rPr>
                  </w:pPr>
                </w:p>
              </w:tc>
              <w:tc>
                <w:tcPr>
                  <w:tcW w:w="3023" w:type="pct"/>
                  <w:tcBorders>
                    <w:tl2br w:val="nil"/>
                    <w:tr2bl w:val="nil"/>
                  </w:tcBorders>
                  <w:noWrap w:val="0"/>
                  <w:vAlign w:val="center"/>
                </w:tcPr>
                <w:p w14:paraId="66EFE590">
                  <w:pPr>
                    <w:pStyle w:val="46"/>
                    <w:numPr>
                      <w:ilvl w:val="0"/>
                      <w:numId w:val="0"/>
                    </w:numPr>
                    <w:bidi w:val="0"/>
                    <w:jc w:val="left"/>
                    <w:rPr>
                      <w:rFonts w:hint="default" w:ascii="Times New Roman" w:hAnsi="Times New Roman" w:cs="Times New Roman"/>
                      <w:color w:val="auto"/>
                    </w:rPr>
                  </w:pPr>
                  <w:r>
                    <w:rPr>
                      <w:rFonts w:hint="default" w:ascii="Times New Roman" w:hAnsi="Times New Roman" w:cs="Times New Roman"/>
                      <w:color w:val="auto"/>
                    </w:rPr>
                    <w:t>（四）处置应急事件废物，应选择具有同类型危险废物经营许可证的水泥窑进行协同处置。如无法满足条件时，应按照当地省级环境保护主管部门批准的应急处置方案，选择适宜的水泥窑进行协同处置。</w:t>
                  </w:r>
                </w:p>
              </w:tc>
              <w:tc>
                <w:tcPr>
                  <w:tcW w:w="1165" w:type="pct"/>
                  <w:vMerge w:val="continue"/>
                  <w:tcBorders>
                    <w:tl2br w:val="nil"/>
                    <w:tr2bl w:val="nil"/>
                  </w:tcBorders>
                  <w:noWrap w:val="0"/>
                  <w:vAlign w:val="center"/>
                </w:tcPr>
                <w:p w14:paraId="7CAD1D88">
                  <w:pPr>
                    <w:pStyle w:val="46"/>
                    <w:bidi w:val="0"/>
                    <w:jc w:val="left"/>
                    <w:rPr>
                      <w:rFonts w:hint="default" w:ascii="Times New Roman" w:hAnsi="Times New Roman" w:eastAsia="宋体" w:cs="Times New Roman"/>
                      <w:color w:val="auto"/>
                      <w:lang w:val="en-US" w:eastAsia="zh-CN"/>
                    </w:rPr>
                  </w:pPr>
                </w:p>
              </w:tc>
              <w:tc>
                <w:tcPr>
                  <w:tcW w:w="530" w:type="pct"/>
                  <w:tcBorders>
                    <w:tl2br w:val="nil"/>
                    <w:tr2bl w:val="nil"/>
                  </w:tcBorders>
                  <w:noWrap w:val="0"/>
                  <w:vAlign w:val="center"/>
                </w:tcPr>
                <w:p w14:paraId="771D964B">
                  <w:pPr>
                    <w:pStyle w:val="46"/>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42E82D8C">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1</w:t>
            </w:r>
            <w:r>
              <w:rPr>
                <w:rFonts w:hint="eastAsia" w:cs="Times New Roman"/>
                <w:b/>
                <w:bCs/>
                <w:color w:val="auto"/>
                <w:sz w:val="24"/>
                <w:highlight w:val="none"/>
                <w:lang w:val="en-US" w:eastAsia="zh-CN"/>
              </w:rPr>
              <w:t>6</w:t>
            </w:r>
            <w:r>
              <w:rPr>
                <w:rFonts w:hint="default" w:cs="Times New Roman"/>
                <w:b/>
                <w:bCs/>
                <w:color w:val="auto"/>
                <w:sz w:val="24"/>
                <w:highlight w:val="none"/>
                <w:lang w:val="en-US" w:eastAsia="zh-CN"/>
              </w:rPr>
              <w:t>、与《关于进一步加强环保设备设施安全生产工作的通知》（安委办明电〔2022〕17号）符合性</w:t>
            </w:r>
          </w:p>
          <w:p w14:paraId="1A2E2EB8">
            <w:pPr>
              <w:keepNext w:val="0"/>
              <w:keepLines w:val="0"/>
              <w:pageBreakBefore w:val="0"/>
              <w:widowControl w:val="0"/>
              <w:kinsoku/>
              <w:wordWrap/>
              <w:overflowPunct/>
              <w:topLinePunct w:val="0"/>
              <w:autoSpaceDE/>
              <w:autoSpaceDN/>
              <w:bidi w:val="0"/>
              <w:adjustRightInd w:val="0"/>
              <w:snapToGrid/>
              <w:spacing w:line="240" w:lineRule="auto"/>
              <w:ind w:firstLine="439" w:firstLineChars="182"/>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表1-</w:t>
            </w:r>
            <w:r>
              <w:rPr>
                <w:rFonts w:hint="eastAsia" w:cs="Times New Roman"/>
                <w:b/>
                <w:bCs/>
                <w:color w:val="auto"/>
                <w:sz w:val="24"/>
                <w:highlight w:val="none"/>
                <w:lang w:val="en-US" w:eastAsia="zh-CN"/>
              </w:rPr>
              <w:t>11</w:t>
            </w:r>
            <w:r>
              <w:rPr>
                <w:rFonts w:hint="default" w:cs="Times New Roman"/>
                <w:b/>
                <w:bCs/>
                <w:color w:val="auto"/>
                <w:sz w:val="24"/>
                <w:highlight w:val="none"/>
                <w:lang w:val="en-US" w:eastAsia="zh-CN"/>
              </w:rPr>
              <w:t xml:space="preserve"> 与安委办明电〔2022〕17号文符合情况</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428"/>
              <w:gridCol w:w="2601"/>
              <w:gridCol w:w="1213"/>
            </w:tblGrid>
            <w:tr w14:paraId="7FAA35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4364" w:type="dxa"/>
                  <w:tcBorders>
                    <w:tl2br w:val="nil"/>
                    <w:tr2bl w:val="nil"/>
                  </w:tcBorders>
                  <w:noWrap/>
                  <w:vAlign w:val="center"/>
                </w:tcPr>
                <w:p w14:paraId="32C5ACB6">
                  <w:pPr>
                    <w:pStyle w:val="46"/>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2562" w:type="dxa"/>
                  <w:tcBorders>
                    <w:tl2br w:val="nil"/>
                    <w:tr2bl w:val="nil"/>
                  </w:tcBorders>
                  <w:noWrap/>
                  <w:vAlign w:val="center"/>
                </w:tcPr>
                <w:p w14:paraId="340F78F1">
                  <w:pPr>
                    <w:pStyle w:val="46"/>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1195" w:type="dxa"/>
                  <w:tcBorders>
                    <w:tl2br w:val="nil"/>
                    <w:tr2bl w:val="nil"/>
                  </w:tcBorders>
                  <w:noWrap/>
                  <w:vAlign w:val="center"/>
                </w:tcPr>
                <w:p w14:paraId="5927CA5C">
                  <w:pPr>
                    <w:pStyle w:val="46"/>
                    <w:bidi w:val="0"/>
                    <w:rPr>
                      <w:rFonts w:hint="default" w:ascii="Times New Roman" w:hAnsi="Times New Roman" w:cs="Times New Roman"/>
                      <w:b/>
                      <w:bCs/>
                      <w:color w:val="auto"/>
                    </w:rPr>
                  </w:pPr>
                  <w:r>
                    <w:rPr>
                      <w:rFonts w:hint="default" w:ascii="Times New Roman" w:hAnsi="Times New Roman" w:cs="Times New Roman"/>
                      <w:b/>
                      <w:bCs/>
                      <w:color w:val="auto"/>
                    </w:rPr>
                    <w:t>建议要求</w:t>
                  </w:r>
                </w:p>
              </w:tc>
            </w:tr>
            <w:tr w14:paraId="2C15C9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4364" w:type="dxa"/>
                  <w:tcBorders>
                    <w:tl2br w:val="nil"/>
                    <w:tr2bl w:val="nil"/>
                  </w:tcBorders>
                  <w:noWrap/>
                  <w:vAlign w:val="center"/>
                </w:tcPr>
                <w:p w14:paraId="0B4E3D16">
                  <w:pPr>
                    <w:pStyle w:val="46"/>
                    <w:bidi w:val="0"/>
                    <w:jc w:val="left"/>
                    <w:rPr>
                      <w:rFonts w:hint="default" w:ascii="Times New Roman" w:hAnsi="Times New Roman" w:cs="Times New Roman"/>
                      <w:color w:val="auto"/>
                    </w:rPr>
                  </w:pPr>
                  <w:r>
                    <w:rPr>
                      <w:rFonts w:hint="default" w:ascii="Times New Roman" w:hAnsi="Times New Roman" w:cs="Times New Roman"/>
                      <w:color w:val="auto"/>
                    </w:rPr>
                    <w:t>进一步落实部门监管指导责任。</w:t>
                  </w:r>
                </w:p>
                <w:p w14:paraId="5709E671">
                  <w:pPr>
                    <w:pStyle w:val="46"/>
                    <w:bidi w:val="0"/>
                    <w:jc w:val="left"/>
                    <w:rPr>
                      <w:rFonts w:hint="default" w:ascii="Times New Roman" w:hAnsi="Times New Roman" w:cs="Times New Roman"/>
                      <w:color w:val="auto"/>
                    </w:rPr>
                  </w:pPr>
                  <w:r>
                    <w:rPr>
                      <w:rFonts w:hint="default" w:ascii="Times New Roman" w:hAnsi="Times New Roman" w:cs="Times New Roman"/>
                      <w:color w:val="auto"/>
                    </w:rPr>
                    <w:t>要紧盯具有脱硫脱硝、挥发性有机物回收、污水处理、粉尘治理、蓄热式焚烧炉5类重点环保设备设施的企业，指导督促企业按照相关法律法规和技术标准规范要求，开展环保设备设施安全风险辨识评估和隐患排查治理，落实安全生产各项责任措施。</w:t>
                  </w:r>
                </w:p>
              </w:tc>
              <w:tc>
                <w:tcPr>
                  <w:tcW w:w="2562" w:type="dxa"/>
                  <w:tcBorders>
                    <w:tl2br w:val="nil"/>
                    <w:tr2bl w:val="nil"/>
                  </w:tcBorders>
                  <w:noWrap/>
                  <w:vAlign w:val="center"/>
                </w:tcPr>
                <w:p w14:paraId="5669E88F">
                  <w:pPr>
                    <w:pStyle w:val="46"/>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项目窑尾废气依托现有“低氮燃烧+高温+碱性环境+SCR+袋式除尘器”设施处理后达标排放；</w:t>
                  </w:r>
                  <w:r>
                    <w:rPr>
                      <w:rFonts w:hint="eastAsia" w:cs="Times New Roman"/>
                      <w:color w:val="auto"/>
                      <w:lang w:val="en-US" w:eastAsia="zh-CN"/>
                    </w:rPr>
                    <w:t>依托物料上料、转运除尘器采用布袋除尘器。</w:t>
                  </w:r>
                </w:p>
              </w:tc>
              <w:tc>
                <w:tcPr>
                  <w:tcW w:w="1195" w:type="dxa"/>
                  <w:tcBorders>
                    <w:tl2br w:val="nil"/>
                    <w:tr2bl w:val="nil"/>
                  </w:tcBorders>
                  <w:noWrap/>
                  <w:vAlign w:val="center"/>
                </w:tcPr>
                <w:p w14:paraId="35D0A343">
                  <w:pPr>
                    <w:pStyle w:val="46"/>
                    <w:bidi w:val="0"/>
                    <w:rPr>
                      <w:rFonts w:hint="default" w:ascii="Times New Roman" w:hAnsi="Times New Roman" w:cs="Times New Roman"/>
                      <w:color w:val="auto"/>
                    </w:rPr>
                  </w:pPr>
                  <w:r>
                    <w:rPr>
                      <w:rFonts w:hint="default" w:ascii="Times New Roman" w:hAnsi="Times New Roman" w:cs="Times New Roman"/>
                      <w:color w:val="auto"/>
                    </w:rPr>
                    <w:t>营运期开展环保设备设施安全风险辨识评估和隐患排查治理，落实安全生产各项责任措施</w:t>
                  </w:r>
                </w:p>
              </w:tc>
            </w:tr>
            <w:tr w14:paraId="0935A5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54" w:hRule="atLeast"/>
                <w:jc w:val="center"/>
              </w:trPr>
              <w:tc>
                <w:tcPr>
                  <w:tcW w:w="4364" w:type="dxa"/>
                  <w:tcBorders>
                    <w:tl2br w:val="nil"/>
                    <w:tr2bl w:val="nil"/>
                  </w:tcBorders>
                  <w:noWrap/>
                  <w:vAlign w:val="center"/>
                </w:tcPr>
                <w:p w14:paraId="3665B8A8">
                  <w:pPr>
                    <w:pStyle w:val="46"/>
                    <w:bidi w:val="0"/>
                    <w:jc w:val="left"/>
                    <w:rPr>
                      <w:rFonts w:hint="default" w:ascii="Times New Roman" w:hAnsi="Times New Roman" w:cs="Times New Roman"/>
                      <w:color w:val="auto"/>
                    </w:rPr>
                  </w:pPr>
                  <w:r>
                    <w:rPr>
                      <w:rFonts w:hint="default" w:ascii="Times New Roman" w:hAnsi="Times New Roman" w:cs="Times New Roman"/>
                      <w:color w:val="auto"/>
                    </w:rPr>
                    <w:t>进一步落实企业主体责任。</w:t>
                  </w:r>
                </w:p>
                <w:p w14:paraId="08C0B6F5">
                  <w:pPr>
                    <w:pStyle w:val="46"/>
                    <w:bidi w:val="0"/>
                    <w:jc w:val="left"/>
                    <w:rPr>
                      <w:rFonts w:hint="default" w:ascii="Times New Roman" w:hAnsi="Times New Roman" w:cs="Times New Roman"/>
                      <w:color w:val="auto"/>
                    </w:rPr>
                  </w:pPr>
                  <w:r>
                    <w:rPr>
                      <w:rFonts w:hint="default" w:ascii="Times New Roman" w:hAnsi="Times New Roman" w:cs="Times New Roman"/>
                      <w:color w:val="auto"/>
                    </w:rPr>
                    <w:t>推动企业主要负责人严格履行第一责任人责任，将环保设备设施安全作为企业安全管理的重要组成部分，全面负责落实本单位的环保设备设施安全生产工作。</w:t>
                  </w:r>
                </w:p>
                <w:p w14:paraId="46175B27">
                  <w:pPr>
                    <w:pStyle w:val="46"/>
                    <w:bidi w:val="0"/>
                    <w:jc w:val="left"/>
                    <w:rPr>
                      <w:rFonts w:hint="default" w:ascii="Times New Roman" w:hAnsi="Times New Roman" w:cs="Times New Roman"/>
                      <w:color w:val="auto"/>
                    </w:rPr>
                  </w:pPr>
                  <w:r>
                    <w:rPr>
                      <w:rFonts w:hint="default" w:ascii="Times New Roman" w:hAnsi="Times New Roman" w:cs="Times New Roman"/>
                      <w:color w:val="auto"/>
                    </w:rPr>
                    <w:t>严格落实涉环保设备设施新、改、扩建项目环保和安全“ 三同时"有关要求，委托有资质的设计单位进行正规设计，在选用污染防治技术时要充分考虑安全因素；在环保设备设施改造中必须依法开展安全风险评估，按要求设置安全监测监控系统和联锁保护装置，做好安全防范。</w:t>
                  </w:r>
                </w:p>
                <w:p w14:paraId="2912FAF0">
                  <w:pPr>
                    <w:pStyle w:val="46"/>
                    <w:bidi w:val="0"/>
                    <w:jc w:val="left"/>
                    <w:rPr>
                      <w:rFonts w:hint="default" w:ascii="Times New Roman" w:hAnsi="Times New Roman" w:cs="Times New Roman"/>
                      <w:color w:val="auto"/>
                    </w:rPr>
                  </w:pPr>
                  <w:r>
                    <w:rPr>
                      <w:rFonts w:hint="default" w:ascii="Times New Roman" w:hAnsi="Times New Roman" w:cs="Times New Roman"/>
                      <w:color w:val="auto"/>
                    </w:rPr>
                    <w:t>对涉环保设备设施相关岗位人员进行操作规程、风险管控、应急处置、典型事故警示等专项安全培训教育。</w:t>
                  </w:r>
                </w:p>
                <w:p w14:paraId="7F234A52">
                  <w:pPr>
                    <w:pStyle w:val="46"/>
                    <w:bidi w:val="0"/>
                    <w:jc w:val="left"/>
                    <w:rPr>
                      <w:rFonts w:hint="default" w:ascii="Times New Roman" w:hAnsi="Times New Roman" w:cs="Times New Roman"/>
                      <w:color w:val="auto"/>
                    </w:rPr>
                  </w:pPr>
                  <w:r>
                    <w:rPr>
                      <w:rFonts w:hint="default" w:ascii="Times New Roman" w:hAnsi="Times New Roman" w:cs="Times New Roman"/>
                      <w:color w:val="auto"/>
                    </w:rPr>
                    <w:t>开展环保设备设施安全风险辨识评估，系统排查隐患，依法建立隐患整改台账，明确整改责任人、措施、资金、时限和应急救援预案，及时消除隐患。</w:t>
                  </w:r>
                </w:p>
                <w:p w14:paraId="7EAFC08C">
                  <w:pPr>
                    <w:pStyle w:val="46"/>
                    <w:bidi w:val="0"/>
                    <w:jc w:val="left"/>
                    <w:rPr>
                      <w:rFonts w:hint="default" w:ascii="Times New Roman" w:hAnsi="Times New Roman" w:cs="Times New Roman"/>
                      <w:color w:val="auto"/>
                    </w:rPr>
                  </w:pPr>
                  <w:r>
                    <w:rPr>
                      <w:rFonts w:hint="default" w:ascii="Times New Roman" w:hAnsi="Times New Roman" w:cs="Times New Roman"/>
                      <w:color w:val="auto"/>
                    </w:rPr>
                    <w:t>认真落实相关技术标准规范，严格执行吊装、动火、高处等危险作业审批制度，加强有限空间、检维修作业安全管理，采取有效隔离措施，实施现场安全监护和科学施救。</w:t>
                  </w:r>
                </w:p>
                <w:p w14:paraId="4CA1362E">
                  <w:pPr>
                    <w:pStyle w:val="46"/>
                    <w:bidi w:val="0"/>
                    <w:jc w:val="left"/>
                    <w:rPr>
                      <w:rFonts w:hint="default" w:ascii="Times New Roman" w:hAnsi="Times New Roman" w:cs="Times New Roman"/>
                      <w:color w:val="auto"/>
                    </w:rPr>
                  </w:pPr>
                  <w:r>
                    <w:rPr>
                      <w:rFonts w:hint="default" w:ascii="Times New Roman" w:hAnsi="Times New Roman" w:cs="Times New Roman"/>
                      <w:color w:val="auto"/>
                    </w:rPr>
                    <w:t>对受委托开展环保设备设施建设、运营和检维修第三方的安全生产工作进行统一协调、管理，定期进行安全检查，发现安全问题的，及时督促整改，不得“一包了之"，不管不问。</w:t>
                  </w:r>
                </w:p>
              </w:tc>
              <w:tc>
                <w:tcPr>
                  <w:tcW w:w="2562" w:type="dxa"/>
                  <w:tcBorders>
                    <w:tl2br w:val="nil"/>
                    <w:tr2bl w:val="nil"/>
                  </w:tcBorders>
                  <w:noWrap/>
                  <w:vAlign w:val="center"/>
                </w:tcPr>
                <w:p w14:paraId="092BCE67">
                  <w:pPr>
                    <w:pStyle w:val="46"/>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rPr>
                    <w:t>建设单位法人为厂区安全管理责任人，负责环保设备设施安全生产工作；</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2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②</w:t>
                  </w:r>
                  <w:r>
                    <w:rPr>
                      <w:rFonts w:hint="default" w:ascii="Times New Roman" w:hAnsi="Times New Roman" w:cs="Times New Roman"/>
                      <w:color w:val="auto"/>
                    </w:rPr>
                    <w:fldChar w:fldCharType="end"/>
                  </w:r>
                  <w:r>
                    <w:rPr>
                      <w:rFonts w:hint="default" w:ascii="Times New Roman" w:hAnsi="Times New Roman" w:cs="Times New Roman"/>
                      <w:color w:val="auto"/>
                    </w:rPr>
                    <w:t>本项目采用的废气治理设备落实环保和安全“ 三同时"有关要求，由有资质单位进行设计、生产、安装；</w:t>
                  </w:r>
                </w:p>
                <w:p w14:paraId="3A34A983">
                  <w:pPr>
                    <w:pStyle w:val="46"/>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3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③</w:t>
                  </w:r>
                  <w:r>
                    <w:rPr>
                      <w:rFonts w:hint="default" w:ascii="Times New Roman" w:hAnsi="Times New Roman" w:cs="Times New Roman"/>
                      <w:color w:val="auto"/>
                    </w:rPr>
                    <w:fldChar w:fldCharType="end"/>
                  </w:r>
                  <w:r>
                    <w:rPr>
                      <w:rFonts w:hint="default" w:ascii="Times New Roman" w:hAnsi="Times New Roman" w:cs="Times New Roman"/>
                      <w:color w:val="auto"/>
                    </w:rPr>
                    <w:t>建设单位对环保设备操作人员进行岗位培训；</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4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④</w:t>
                  </w:r>
                  <w:r>
                    <w:rPr>
                      <w:rFonts w:hint="default" w:ascii="Times New Roman" w:hAnsi="Times New Roman" w:cs="Times New Roman"/>
                      <w:color w:val="auto"/>
                    </w:rPr>
                    <w:fldChar w:fldCharType="end"/>
                  </w:r>
                  <w:r>
                    <w:rPr>
                      <w:rFonts w:hint="default" w:ascii="Times New Roman" w:hAnsi="Times New Roman" w:cs="Times New Roman"/>
                      <w:color w:val="auto"/>
                    </w:rPr>
                    <w:t>通过分析，项目使用的废</w:t>
                  </w:r>
                  <w:r>
                    <w:rPr>
                      <w:rFonts w:hint="default" w:ascii="Times New Roman" w:hAnsi="Times New Roman" w:cs="Times New Roman"/>
                      <w:color w:val="auto"/>
                      <w:lang w:val="en-US" w:eastAsia="zh-CN"/>
                    </w:rPr>
                    <w:t>水</w:t>
                  </w:r>
                  <w:r>
                    <w:rPr>
                      <w:rFonts w:hint="default" w:ascii="Times New Roman" w:hAnsi="Times New Roman" w:cs="Times New Roman"/>
                      <w:color w:val="auto"/>
                    </w:rPr>
                    <w:t>处理设施安全风险较低；</w:t>
                  </w:r>
                </w:p>
                <w:p w14:paraId="5B50AAA2">
                  <w:pPr>
                    <w:pStyle w:val="46"/>
                    <w:bidi w:val="0"/>
                    <w:rPr>
                      <w:rFonts w:hint="default" w:ascii="Times New Roman" w:hAnsi="Times New Roman" w:cs="Times New Roman"/>
                      <w:color w:val="auto"/>
                    </w:rPr>
                  </w:pPr>
                  <w:r>
                    <w:rPr>
                      <w:rFonts w:hint="default" w:ascii="Times New Roman" w:hAnsi="Times New Roman" w:cs="Times New Roman"/>
                      <w:color w:val="auto"/>
                    </w:rPr>
                    <w:t>建设单位委托专业技术单位对环保设备进行安装、检修。</w:t>
                  </w:r>
                </w:p>
              </w:tc>
              <w:tc>
                <w:tcPr>
                  <w:tcW w:w="1195" w:type="dxa"/>
                  <w:tcBorders>
                    <w:tl2br w:val="nil"/>
                    <w:tr2bl w:val="nil"/>
                  </w:tcBorders>
                  <w:noWrap/>
                  <w:vAlign w:val="center"/>
                </w:tcPr>
                <w:p w14:paraId="111E782A">
                  <w:pPr>
                    <w:pStyle w:val="46"/>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rPr>
                    <w:t>建设单位作为厂区安全管理第一责任人，制定厂区环保设施安全管理制度；</w:t>
                  </w:r>
                </w:p>
                <w:p w14:paraId="68BD3357">
                  <w:pPr>
                    <w:pStyle w:val="46"/>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2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②</w:t>
                  </w:r>
                  <w:r>
                    <w:rPr>
                      <w:rFonts w:hint="default" w:ascii="Times New Roman" w:hAnsi="Times New Roman" w:cs="Times New Roman"/>
                      <w:color w:val="auto"/>
                    </w:rPr>
                    <w:fldChar w:fldCharType="end"/>
                  </w:r>
                  <w:r>
                    <w:rPr>
                      <w:rFonts w:hint="default" w:ascii="Times New Roman" w:hAnsi="Times New Roman" w:cs="Times New Roman"/>
                      <w:color w:val="auto"/>
                    </w:rPr>
                    <w:t>环保设备由有资质单位进行设计、生产、安装、维护、检修，制定定期进行安全检查制度。</w:t>
                  </w:r>
                </w:p>
              </w:tc>
            </w:tr>
          </w:tbl>
          <w:p w14:paraId="46067C2C">
            <w:pPr>
              <w:keepNext w:val="0"/>
              <w:keepLines w:val="0"/>
              <w:pageBreakBefore w:val="0"/>
              <w:widowControl w:val="0"/>
              <w:kinsoku/>
              <w:wordWrap/>
              <w:overflowPunct/>
              <w:topLinePunct w:val="0"/>
              <w:autoSpaceDE/>
              <w:autoSpaceDN/>
              <w:bidi w:val="0"/>
              <w:adjustRightInd w:val="0"/>
              <w:snapToGrid/>
              <w:spacing w:line="360" w:lineRule="auto"/>
              <w:ind w:firstLine="439" w:firstLineChars="182"/>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1</w:t>
            </w:r>
            <w:r>
              <w:rPr>
                <w:rFonts w:hint="eastAsia" w:cs="Times New Roman"/>
                <w:b/>
                <w:bCs/>
                <w:color w:val="auto"/>
                <w:sz w:val="24"/>
                <w:highlight w:val="none"/>
                <w:lang w:val="en-US" w:eastAsia="zh-CN"/>
              </w:rPr>
              <w:t>7</w:t>
            </w:r>
            <w:r>
              <w:rPr>
                <w:rFonts w:hint="default" w:cs="Times New Roman"/>
                <w:b/>
                <w:bCs/>
                <w:color w:val="auto"/>
                <w:sz w:val="24"/>
                <w:highlight w:val="none"/>
                <w:lang w:val="en-US" w:eastAsia="zh-CN"/>
              </w:rPr>
              <w:t>、项目与南水北调工程的关系</w:t>
            </w:r>
          </w:p>
          <w:p w14:paraId="42019757">
            <w:pPr>
              <w:snapToGrid w:val="0"/>
              <w:ind w:firstLine="480" w:firstLineChars="200"/>
              <w:jc w:val="left"/>
              <w:rPr>
                <w:rFonts w:hint="default" w:ascii="Times New Roman" w:hAnsi="Times New Roman" w:cs="Times New Roman"/>
                <w:color w:val="auto"/>
                <w:szCs w:val="24"/>
              </w:rPr>
            </w:pPr>
            <w:r>
              <w:rPr>
                <w:rFonts w:hint="eastAsia" w:ascii="Times New Roman" w:hAnsi="Times New Roman" w:cs="Times New Roman"/>
                <w:color w:val="auto"/>
                <w:sz w:val="24"/>
                <w:szCs w:val="24"/>
                <w:highlight w:val="none"/>
                <w:lang w:eastAsia="zh-CN"/>
              </w:rPr>
              <w:t>根据《</w:t>
            </w:r>
            <w:r>
              <w:rPr>
                <w:rFonts w:hint="eastAsia" w:ascii="Times New Roman" w:hAnsi="Times New Roman" w:cs="Times New Roman"/>
                <w:color w:val="auto"/>
                <w:sz w:val="24"/>
                <w:szCs w:val="24"/>
                <w:highlight w:val="none"/>
                <w:lang w:val="en-US" w:eastAsia="zh-CN"/>
              </w:rPr>
              <w:t>山东省南四湖流域核心、重点和一般保护区域涉及具体范围的公示</w:t>
            </w:r>
            <w:r>
              <w:rPr>
                <w:rFonts w:hint="eastAsia" w:ascii="Times New Roman" w:hAnsi="Times New Roman" w:cs="Times New Roman"/>
                <w:color w:val="auto"/>
                <w:sz w:val="24"/>
                <w:szCs w:val="24"/>
                <w:highlight w:val="none"/>
                <w:lang w:eastAsia="zh-CN"/>
              </w:rPr>
              <w:t>》（山东省生态环境厅，</w:t>
            </w:r>
            <w:r>
              <w:rPr>
                <w:rFonts w:hint="eastAsia" w:ascii="Times New Roman" w:hAnsi="Times New Roman" w:cs="Times New Roman"/>
                <w:color w:val="auto"/>
                <w:sz w:val="24"/>
                <w:szCs w:val="24"/>
                <w:highlight w:val="none"/>
                <w:lang w:val="en-US" w:eastAsia="zh-CN"/>
              </w:rPr>
              <w:t>2024.5</w:t>
            </w:r>
            <w:r>
              <w:rPr>
                <w:rFonts w:hint="eastAsia" w:ascii="Times New Roman" w:hAnsi="Times New Roman" w:cs="Times New Roman"/>
                <w:color w:val="auto"/>
                <w:sz w:val="24"/>
                <w:szCs w:val="24"/>
                <w:highlight w:val="none"/>
                <w:lang w:eastAsia="zh-CN"/>
              </w:rPr>
              <w:t>），项目处于南四湖流域</w:t>
            </w:r>
            <w:r>
              <w:rPr>
                <w:rFonts w:hint="eastAsia" w:cs="Times New Roman"/>
                <w:color w:val="auto"/>
                <w:sz w:val="24"/>
                <w:szCs w:val="24"/>
                <w:highlight w:val="none"/>
                <w:lang w:eastAsia="zh-CN"/>
              </w:rPr>
              <w:t>一般</w:t>
            </w:r>
            <w:r>
              <w:rPr>
                <w:rFonts w:hint="eastAsia" w:ascii="Times New Roman" w:hAnsi="Times New Roman" w:cs="Times New Roman"/>
                <w:color w:val="auto"/>
                <w:sz w:val="24"/>
                <w:szCs w:val="24"/>
                <w:highlight w:val="none"/>
                <w:lang w:eastAsia="zh-CN"/>
              </w:rPr>
              <w:t>保护区域，区域内废水排放需满足《流域水污染综合排放标准第1部分：南四湖东平湖流域》（DB37/3416.1-2023）一般保护区域排放标准。</w:t>
            </w:r>
            <w:r>
              <w:rPr>
                <w:rFonts w:hint="eastAsia" w:cs="Times New Roman"/>
                <w:color w:val="auto"/>
                <w:sz w:val="24"/>
                <w:szCs w:val="24"/>
                <w:highlight w:val="none"/>
                <w:lang w:val="en-US" w:eastAsia="zh-CN"/>
              </w:rPr>
              <w:t>本项目不产生废水，</w:t>
            </w:r>
            <w:r>
              <w:rPr>
                <w:rFonts w:hint="default" w:ascii="Times New Roman" w:hAnsi="Times New Roman" w:eastAsia="宋体" w:cs="Times New Roman"/>
                <w:color w:val="auto"/>
                <w:kern w:val="0"/>
                <w:sz w:val="24"/>
                <w:szCs w:val="24"/>
                <w:lang w:val="en-US" w:eastAsia="zh-CN" w:bidi="ar"/>
              </w:rPr>
              <w:t>不会对南水北调工程产生影响</w:t>
            </w:r>
            <w:r>
              <w:rPr>
                <w:rFonts w:hint="eastAsia" w:ascii="Times New Roman" w:hAnsi="Times New Roman" w:eastAsia="宋体" w:cs="Times New Roman"/>
                <w:color w:val="auto"/>
                <w:kern w:val="0"/>
                <w:sz w:val="24"/>
                <w:szCs w:val="24"/>
                <w:lang w:val="en-US" w:eastAsia="zh-CN" w:bidi="ar"/>
              </w:rPr>
              <w:t>。</w:t>
            </w:r>
          </w:p>
          <w:p w14:paraId="68A6E1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w:t>
            </w:r>
            <w:r>
              <w:rPr>
                <w:rFonts w:hint="eastAsia" w:ascii="Times New Roman" w:hAnsi="Times New Roman" w:eastAsia="宋体" w:cs="Times New Roman"/>
                <w:b/>
                <w:color w:val="auto"/>
                <w:sz w:val="24"/>
                <w:lang w:val="en-US" w:eastAsia="zh-CN"/>
              </w:rPr>
              <w:t>8</w:t>
            </w:r>
            <w:r>
              <w:rPr>
                <w:rFonts w:hint="default" w:ascii="Times New Roman" w:hAnsi="Times New Roman" w:eastAsia="宋体" w:cs="Times New Roman"/>
                <w:b/>
                <w:color w:val="auto"/>
                <w:sz w:val="24"/>
              </w:rPr>
              <w:t>、与排污许可制衔接相关要求</w:t>
            </w:r>
          </w:p>
          <w:p w14:paraId="1DDFE314">
            <w:pPr>
              <w:snapToGrid w:val="0"/>
              <w:ind w:firstLine="480" w:firstLineChars="200"/>
              <w:jc w:val="left"/>
              <w:rPr>
                <w:rFonts w:hint="eastAsia" w:ascii="Times New Roman" w:hAnsi="Times New Roman" w:eastAsia="宋体" w:cs="Times New Roman"/>
                <w:color w:val="auto"/>
                <w:szCs w:val="24"/>
                <w:lang w:eastAsia="zh-CN"/>
              </w:rPr>
            </w:pPr>
            <w:r>
              <w:rPr>
                <w:rFonts w:hint="default" w:ascii="Times New Roman" w:hAnsi="Times New Roman" w:eastAsia="宋体" w:cs="Times New Roman"/>
                <w:color w:val="auto"/>
                <w:sz w:val="24"/>
                <w:szCs w:val="22"/>
              </w:rPr>
              <w:t>根据《关于做好环境影响评价制度与排污许可制衔接相关工作的通知》（环办环评[2017]84号），建设项目应做好《建设项目环境影响评价分类管理名录》和《固定污染源排污许可分类管理名录》的衔接。</w:t>
            </w:r>
            <w:r>
              <w:rPr>
                <w:rFonts w:hint="eastAsia" w:ascii="Times New Roman" w:hAnsi="Times New Roman" w:eastAsia="宋体" w:cs="Times New Roman"/>
                <w:color w:val="auto"/>
                <w:sz w:val="24"/>
                <w:szCs w:val="22"/>
              </w:rPr>
              <w:t>项目行业类别属于“N7723固体废物治理”</w:t>
            </w:r>
            <w:r>
              <w:rPr>
                <w:rFonts w:hint="default" w:ascii="Times New Roman" w:hAnsi="Times New Roman" w:eastAsia="宋体" w:cs="Times New Roman"/>
                <w:color w:val="auto"/>
                <w:sz w:val="24"/>
                <w:szCs w:val="22"/>
              </w:rPr>
              <w:t>，根据《固定污染源排污许可分类管理名录》（2019年版），项目实行</w:t>
            </w:r>
            <w:r>
              <w:rPr>
                <w:rFonts w:hint="eastAsia" w:ascii="Times New Roman" w:hAnsi="Times New Roman" w:eastAsia="宋体" w:cs="Times New Roman"/>
                <w:color w:val="auto"/>
                <w:sz w:val="24"/>
                <w:szCs w:val="22"/>
              </w:rPr>
              <w:t>排污许可</w:t>
            </w:r>
            <w:r>
              <w:rPr>
                <w:rFonts w:hint="eastAsia" w:ascii="Times New Roman" w:hAnsi="Times New Roman" w:eastAsia="宋体" w:cs="Times New Roman"/>
                <w:color w:val="auto"/>
                <w:sz w:val="24"/>
                <w:szCs w:val="22"/>
                <w:lang w:val="en-US" w:eastAsia="zh-CN"/>
              </w:rPr>
              <w:t>重点</w:t>
            </w:r>
            <w:r>
              <w:rPr>
                <w:rFonts w:hint="default" w:ascii="Times New Roman" w:hAnsi="Times New Roman" w:eastAsia="宋体" w:cs="Times New Roman"/>
                <w:color w:val="auto"/>
                <w:sz w:val="24"/>
                <w:szCs w:val="22"/>
              </w:rPr>
              <w:t>管理</w:t>
            </w:r>
            <w:r>
              <w:rPr>
                <w:rFonts w:hint="eastAsia" w:ascii="Times New Roman" w:hAnsi="Times New Roman" w:eastAsia="宋体" w:cs="Times New Roman"/>
                <w:color w:val="auto"/>
                <w:sz w:val="24"/>
                <w:szCs w:val="22"/>
              </w:rPr>
              <w:t>，本项目</w:t>
            </w:r>
            <w:r>
              <w:rPr>
                <w:rFonts w:hint="default" w:ascii="Times New Roman" w:hAnsi="Times New Roman" w:eastAsia="宋体" w:cs="Times New Roman"/>
                <w:color w:val="auto"/>
                <w:sz w:val="24"/>
                <w:szCs w:val="22"/>
              </w:rPr>
              <w:t>应当在启动生产设施或者发生实际排污之前，在全国排污许可证管理信息平台</w:t>
            </w:r>
            <w:r>
              <w:rPr>
                <w:rFonts w:hint="eastAsia" w:ascii="Times New Roman" w:hAnsi="Times New Roman" w:eastAsia="宋体" w:cs="Times New Roman"/>
                <w:color w:val="auto"/>
                <w:sz w:val="24"/>
                <w:szCs w:val="22"/>
              </w:rPr>
              <w:t>完成排污许可</w:t>
            </w:r>
            <w:r>
              <w:rPr>
                <w:rFonts w:hint="eastAsia" w:ascii="Times New Roman" w:hAnsi="Times New Roman" w:eastAsia="宋体" w:cs="Times New Roman"/>
                <w:color w:val="auto"/>
                <w:sz w:val="24"/>
                <w:szCs w:val="22"/>
                <w:lang w:val="en-US" w:eastAsia="zh-CN"/>
              </w:rPr>
              <w:t>重点管理申报</w:t>
            </w:r>
            <w:r>
              <w:rPr>
                <w:rFonts w:hint="eastAsia" w:ascii="Times New Roman" w:hAnsi="Times New Roman" w:eastAsia="宋体" w:cs="Times New Roman"/>
                <w:color w:val="auto"/>
                <w:sz w:val="24"/>
                <w:szCs w:val="22"/>
              </w:rPr>
              <w:t>工作</w:t>
            </w:r>
            <w:r>
              <w:rPr>
                <w:rFonts w:hint="eastAsia" w:ascii="Times New Roman" w:hAnsi="Times New Roman" w:eastAsia="宋体" w:cs="Times New Roman"/>
                <w:color w:val="auto"/>
                <w:sz w:val="24"/>
                <w:szCs w:val="22"/>
                <w:lang w:eastAsia="zh-CN"/>
              </w:rPr>
              <w:t>。</w:t>
            </w:r>
          </w:p>
          <w:p w14:paraId="746E855A">
            <w:pPr>
              <w:autoSpaceDE w:val="0"/>
              <w:autoSpaceDN w:val="0"/>
              <w:adjustRightInd w:val="0"/>
              <w:snapToGrid w:val="0"/>
              <w:ind w:firstLine="480" w:firstLineChars="200"/>
              <w:rPr>
                <w:rFonts w:hint="default" w:ascii="Times New Roman" w:hAnsi="Times New Roman" w:cs="Times New Roman"/>
                <w:color w:val="auto"/>
                <w:szCs w:val="24"/>
              </w:rPr>
            </w:pPr>
          </w:p>
          <w:p w14:paraId="7D1FDB8F">
            <w:pPr>
              <w:autoSpaceDE w:val="0"/>
              <w:autoSpaceDN w:val="0"/>
              <w:adjustRightInd w:val="0"/>
              <w:snapToGrid w:val="0"/>
              <w:ind w:firstLine="480" w:firstLineChars="200"/>
              <w:rPr>
                <w:rFonts w:hint="default" w:ascii="Times New Roman" w:hAnsi="Times New Roman" w:cs="Times New Roman"/>
                <w:color w:val="auto"/>
                <w:szCs w:val="24"/>
              </w:rPr>
            </w:pPr>
          </w:p>
          <w:p w14:paraId="3EC5A87B">
            <w:pPr>
              <w:autoSpaceDE w:val="0"/>
              <w:autoSpaceDN w:val="0"/>
              <w:adjustRightInd w:val="0"/>
              <w:snapToGrid w:val="0"/>
              <w:ind w:firstLine="480" w:firstLineChars="200"/>
              <w:rPr>
                <w:rFonts w:hint="default" w:ascii="Times New Roman" w:hAnsi="Times New Roman" w:cs="Times New Roman"/>
                <w:color w:val="auto"/>
                <w:szCs w:val="24"/>
              </w:rPr>
            </w:pPr>
          </w:p>
          <w:p w14:paraId="0B69E003">
            <w:pPr>
              <w:snapToGrid w:val="0"/>
              <w:jc w:val="left"/>
              <w:rPr>
                <w:rFonts w:hint="default" w:ascii="Times New Roman" w:hAnsi="Times New Roman" w:eastAsia="宋体" w:cs="Times New Roman"/>
                <w:color w:val="auto"/>
                <w:kern w:val="0"/>
                <w:szCs w:val="24"/>
                <w:lang w:eastAsia="zh-CN"/>
              </w:rPr>
            </w:pPr>
          </w:p>
        </w:tc>
      </w:tr>
    </w:tbl>
    <w:p w14:paraId="248E16FB">
      <w:pPr>
        <w:outlineLvl w:val="0"/>
        <w:rPr>
          <w:rFonts w:hint="default" w:ascii="Times New Roman" w:hAnsi="Times New Roman" w:cs="Times New Roman"/>
          <w:color w:val="auto"/>
          <w:sz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CDA07BC">
      <w:pPr>
        <w:pStyle w:val="3"/>
        <w:bidi w:val="0"/>
        <w:rPr>
          <w:rFonts w:hint="default" w:ascii="Times New Roman" w:hAnsi="Times New Roman" w:cs="Times New Roman"/>
          <w:color w:val="auto"/>
        </w:rPr>
      </w:pPr>
      <w:r>
        <w:rPr>
          <w:rFonts w:hint="default" w:ascii="Times New Roman" w:hAnsi="Times New Roman" w:cs="Times New Roman"/>
          <w:color w:val="auto"/>
        </w:rPr>
        <w:t>二、建设项目工程分析</w:t>
      </w:r>
    </w:p>
    <w:tbl>
      <w:tblPr>
        <w:tblStyle w:val="31"/>
        <w:tblW w:w="50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418"/>
      </w:tblGrid>
      <w:tr w14:paraId="7C6F8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554" w:hRule="atLeast"/>
          <w:jc w:val="center"/>
        </w:trPr>
        <w:tc>
          <w:tcPr>
            <w:tcW w:w="405" w:type="pct"/>
            <w:noWrap w:val="0"/>
            <w:vAlign w:val="center"/>
          </w:tcPr>
          <w:p w14:paraId="6157172E">
            <w:pPr>
              <w:pStyle w:val="25"/>
              <w:adjustRightInd w:val="0"/>
              <w:snapToGrid w:val="0"/>
              <w:spacing w:before="0" w:beforeAutospacing="0" w:after="0" w:afterAutospacing="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Cs w:val="24"/>
                <w:lang w:val="en-US" w:eastAsia="zh-CN"/>
              </w:rPr>
              <w:t>建设内容</w:t>
            </w:r>
          </w:p>
        </w:tc>
        <w:tc>
          <w:tcPr>
            <w:tcW w:w="4594" w:type="pct"/>
            <w:noWrap w:val="0"/>
            <w:vAlign w:val="top"/>
          </w:tcPr>
          <w:p w14:paraId="69517E06">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一、项目来源</w:t>
            </w:r>
          </w:p>
          <w:p w14:paraId="2CAA3B86">
            <w:pPr>
              <w:ind w:firstLine="480"/>
              <w:rPr>
                <w:rFonts w:hint="default" w:ascii="Times New Roman" w:hAnsi="Times New Roman" w:cs="Times New Roman"/>
                <w:color w:val="auto"/>
                <w:lang w:eastAsia="zh-CN"/>
              </w:rPr>
            </w:pPr>
            <w:r>
              <w:rPr>
                <w:rFonts w:hint="default" w:ascii="Times New Roman" w:hAnsi="Times New Roman" w:cs="Times New Roman"/>
                <w:color w:val="auto"/>
                <w:lang w:eastAsia="zh-CN"/>
              </w:rPr>
              <w:t>济宁海螺水泥有限责任公司</w:t>
            </w:r>
            <w:r>
              <w:rPr>
                <w:rFonts w:hint="eastAsia" w:cs="Times New Roman"/>
                <w:color w:val="auto"/>
                <w:lang w:eastAsia="zh-CN"/>
              </w:rPr>
              <w:t>（</w:t>
            </w:r>
            <w:r>
              <w:rPr>
                <w:rFonts w:hint="eastAsia" w:cs="Times New Roman"/>
                <w:color w:val="auto"/>
                <w:lang w:val="en-US" w:eastAsia="zh-CN"/>
              </w:rPr>
              <w:t>以下简称济宁海螺水泥</w:t>
            </w:r>
            <w:r>
              <w:rPr>
                <w:rFonts w:hint="eastAsia" w:cs="Times New Roman"/>
                <w:color w:val="auto"/>
                <w:lang w:eastAsia="zh-CN"/>
              </w:rPr>
              <w:t>）</w:t>
            </w:r>
            <w:r>
              <w:rPr>
                <w:rFonts w:hint="default" w:ascii="Times New Roman" w:hAnsi="Times New Roman" w:cs="Times New Roman"/>
                <w:color w:val="auto"/>
                <w:lang w:eastAsia="zh-CN"/>
              </w:rPr>
              <w:t>是安徽海螺水泥股份有限公司的全资子公司，公司位于山东省济宁市泗水县苗馆镇，注册资本金2.35亿元，于2009年6月底核准成立。</w:t>
            </w:r>
          </w:p>
          <w:p w14:paraId="433E441B">
            <w:pPr>
              <w:ind w:firstLine="480"/>
              <w:rPr>
                <w:rFonts w:hint="default" w:ascii="Times New Roman" w:hAnsi="Times New Roman" w:cs="Times New Roman"/>
                <w:color w:val="auto"/>
                <w:sz w:val="24"/>
                <w:lang w:val="en-US" w:eastAsia="zh-CN"/>
              </w:rPr>
            </w:pPr>
            <w:r>
              <w:rPr>
                <w:rFonts w:hint="default" w:ascii="Times New Roman" w:hAnsi="Times New Roman" w:cs="Times New Roman"/>
                <w:color w:val="auto"/>
                <w:lang w:eastAsia="zh-CN"/>
              </w:rPr>
              <w:t>公司目前已经建成投产一期工程，主要包括1条4500t/d新型干法水泥熟料生产线、18MW纯低温余热发电工程，配套建设的松山石灰石矿山开采及运输工程均已建成投产，污水处理及生产生活辅助设施等全部一并建成。</w:t>
            </w:r>
          </w:p>
          <w:p w14:paraId="146C0099">
            <w:pPr>
              <w:ind w:firstLine="480" w:firstLineChars="200"/>
              <w:jc w:val="left"/>
              <w:rPr>
                <w:rFonts w:hint="eastAsia" w:cs="Times New Roman"/>
                <w:color w:val="auto"/>
                <w:sz w:val="24"/>
                <w:lang w:val="en-US" w:eastAsia="zh-CN"/>
              </w:rPr>
            </w:pPr>
            <w:r>
              <w:rPr>
                <w:rFonts w:hint="default" w:ascii="Times New Roman" w:hAnsi="Times New Roman" w:cs="Times New Roman"/>
                <w:b w:val="0"/>
                <w:bCs w:val="0"/>
                <w:color w:val="auto"/>
                <w:kern w:val="0"/>
                <w:szCs w:val="24"/>
                <w:lang w:val="en-US" w:eastAsia="zh-CN"/>
              </w:rPr>
              <w:t>济宁海螺环保科技有限责任公司</w:t>
            </w:r>
            <w:r>
              <w:rPr>
                <w:rFonts w:hint="eastAsia" w:ascii="Times New Roman" w:hAnsi="Times New Roman" w:cs="Times New Roman"/>
                <w:b w:val="0"/>
                <w:bCs w:val="0"/>
                <w:color w:val="auto"/>
                <w:kern w:val="0"/>
                <w:szCs w:val="24"/>
                <w:lang w:val="en-US" w:eastAsia="zh-CN"/>
              </w:rPr>
              <w:t>（以下简称</w:t>
            </w:r>
            <w:r>
              <w:rPr>
                <w:rFonts w:hint="eastAsia" w:cs="Times New Roman"/>
                <w:color w:val="auto"/>
                <w:sz w:val="24"/>
                <w:lang w:val="en-US" w:eastAsia="zh-CN"/>
              </w:rPr>
              <w:t>济宁海螺环保</w:t>
            </w:r>
            <w:r>
              <w:rPr>
                <w:rFonts w:hint="eastAsia" w:ascii="Times New Roman" w:hAnsi="Times New Roman" w:cs="Times New Roman"/>
                <w:b w:val="0"/>
                <w:bCs w:val="0"/>
                <w:color w:val="auto"/>
                <w:kern w:val="0"/>
                <w:szCs w:val="24"/>
                <w:lang w:val="en-US" w:eastAsia="zh-CN"/>
              </w:rPr>
              <w:t>）</w:t>
            </w:r>
            <w:r>
              <w:rPr>
                <w:rFonts w:hint="default" w:ascii="Times New Roman" w:hAnsi="Times New Roman" w:cs="Times New Roman"/>
                <w:b w:val="0"/>
                <w:bCs w:val="0"/>
                <w:color w:val="auto"/>
                <w:kern w:val="0"/>
                <w:szCs w:val="24"/>
                <w:lang w:val="en-US" w:eastAsia="zh-CN"/>
              </w:rPr>
              <w:t>原名济宁海螺创业环境科技有限责任</w:t>
            </w:r>
            <w:r>
              <w:rPr>
                <w:rFonts w:hint="eastAsia" w:ascii="Times New Roman" w:hAnsi="Times New Roman" w:cs="Times New Roman"/>
                <w:b w:val="0"/>
                <w:bCs w:val="0"/>
                <w:color w:val="auto"/>
                <w:kern w:val="0"/>
                <w:szCs w:val="24"/>
                <w:lang w:val="en-US" w:eastAsia="zh-CN"/>
              </w:rPr>
              <w:t>公</w:t>
            </w:r>
            <w:r>
              <w:rPr>
                <w:rFonts w:hint="default" w:ascii="Times New Roman" w:hAnsi="Times New Roman" w:cs="Times New Roman"/>
                <w:b w:val="0"/>
                <w:bCs w:val="0"/>
                <w:color w:val="auto"/>
                <w:kern w:val="0"/>
                <w:szCs w:val="24"/>
                <w:lang w:val="en-US" w:eastAsia="zh-CN"/>
              </w:rPr>
              <w:t>司，成立于2017年6月12日，位于泗水县济宁海螺水泥有限责任公司厂区内，是芜湖海螺投资有限公司注册设立的全资子公司</w:t>
            </w:r>
            <w:r>
              <w:rPr>
                <w:rFonts w:hint="eastAsia" w:ascii="Times New Roman" w:hAnsi="Times New Roman" w:cs="Times New Roman"/>
                <w:b w:val="0"/>
                <w:bCs w:val="0"/>
                <w:color w:val="auto"/>
                <w:kern w:val="0"/>
                <w:szCs w:val="24"/>
                <w:lang w:val="en-US" w:eastAsia="zh-CN"/>
              </w:rPr>
              <w:t>。</w:t>
            </w:r>
          </w:p>
          <w:p w14:paraId="0B82A0C6">
            <w:pPr>
              <w:ind w:firstLine="480" w:firstLineChars="200"/>
              <w:jc w:val="left"/>
              <w:rPr>
                <w:rFonts w:hint="default" w:ascii="Times New Roman" w:hAnsi="Times New Roman" w:cs="Times New Roman"/>
                <w:color w:val="auto"/>
                <w:sz w:val="24"/>
                <w:lang w:val="en-US" w:eastAsia="zh-CN"/>
              </w:rPr>
            </w:pPr>
            <w:r>
              <w:rPr>
                <w:rFonts w:hint="eastAsia" w:cs="Times New Roman"/>
                <w:color w:val="auto"/>
                <w:sz w:val="24"/>
                <w:lang w:val="en-US" w:eastAsia="zh-CN"/>
              </w:rPr>
              <w:t>济宁海螺环保与</w:t>
            </w:r>
            <w:r>
              <w:rPr>
                <w:rFonts w:hint="eastAsia" w:cs="Times New Roman"/>
                <w:color w:val="auto"/>
                <w:lang w:val="en-US" w:eastAsia="zh-CN"/>
              </w:rPr>
              <w:t>济宁海螺水泥</w:t>
            </w:r>
            <w:r>
              <w:rPr>
                <w:rFonts w:hint="eastAsia" w:cs="Times New Roman"/>
                <w:color w:val="auto"/>
                <w:sz w:val="24"/>
                <w:lang w:val="en-US" w:eastAsia="zh-CN"/>
              </w:rPr>
              <w:t>合作，以济宁海螺环保为主体建设了“</w:t>
            </w:r>
            <w:r>
              <w:rPr>
                <w:rFonts w:hint="default" w:ascii="Times New Roman" w:hAnsi="Times New Roman" w:cs="Times New Roman"/>
                <w:color w:val="auto"/>
                <w:szCs w:val="21"/>
              </w:rPr>
              <w:t>济宁海创水泥窑综合利用固废危废项目</w:t>
            </w:r>
            <w:r>
              <w:rPr>
                <w:rFonts w:hint="eastAsia" w:cs="Times New Roman"/>
                <w:color w:val="auto"/>
                <w:sz w:val="24"/>
                <w:lang w:val="en-US" w:eastAsia="zh-CN"/>
              </w:rPr>
              <w:t>”、“济宁海创水泥窑综合利用固废危废扩建项目”和“济宁海螺环保替代燃料技改项目”，均已建成投产，依托</w:t>
            </w:r>
            <w:r>
              <w:rPr>
                <w:rFonts w:hint="eastAsia" w:cs="Times New Roman"/>
                <w:color w:val="auto"/>
                <w:lang w:val="en-US" w:eastAsia="zh-CN"/>
              </w:rPr>
              <w:t>济宁海螺水泥1条4500t/d新型干法水泥熟料生产线协同处置危险废物10万t/a、市政污泥6万t/a、污染物4万t/a，使用RDF替代燃料5万t/a。</w:t>
            </w:r>
          </w:p>
          <w:p w14:paraId="095F70DC">
            <w:pPr>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在当前生态文明建设背景下，水泥行业面临“双碳”、能源“双控”双重压力，《高耗能行业重点领域节能降碳改造升级实施指南（2022年版）》（发改产业[2022]200号）要求</w:t>
            </w:r>
            <w:r>
              <w:rPr>
                <w:rFonts w:hint="eastAsia" w:cs="Times New Roman"/>
                <w:color w:val="auto"/>
                <w:sz w:val="24"/>
                <w:lang w:val="en-US" w:eastAsia="zh-CN"/>
              </w:rPr>
              <w:t>：“</w:t>
            </w:r>
            <w:r>
              <w:rPr>
                <w:rFonts w:hint="default" w:ascii="Times New Roman" w:hAnsi="Times New Roman" w:cs="Times New Roman"/>
                <w:color w:val="auto"/>
                <w:sz w:val="24"/>
                <w:lang w:val="en-US" w:eastAsia="zh-CN"/>
              </w:rPr>
              <w:t>推广大比例替代燃料技术，利用生活垃圾、固体废弃物和生物质燃料等替代煤炭，减少化石燃料的消耗量</w:t>
            </w:r>
            <w:r>
              <w:rPr>
                <w:rFonts w:hint="eastAsia" w:cs="Times New Roman"/>
                <w:color w:val="auto"/>
                <w:sz w:val="24"/>
                <w:lang w:val="en-US" w:eastAsia="zh-CN"/>
              </w:rPr>
              <w:t>”</w:t>
            </w:r>
            <w:r>
              <w:rPr>
                <w:rFonts w:hint="default" w:ascii="Times New Roman" w:hAnsi="Times New Roman" w:cs="Times New Roman"/>
                <w:color w:val="auto"/>
                <w:sz w:val="24"/>
                <w:lang w:val="en-US" w:eastAsia="zh-CN"/>
              </w:rPr>
              <w:t>。《山东省工业领域碳达峰实施方案》要求</w:t>
            </w:r>
            <w:r>
              <w:rPr>
                <w:rFonts w:hint="eastAsia" w:cs="Times New Roman"/>
                <w:color w:val="auto"/>
                <w:sz w:val="24"/>
                <w:lang w:val="en-US" w:eastAsia="zh-CN"/>
              </w:rPr>
              <w:t>：“</w:t>
            </w:r>
            <w:r>
              <w:rPr>
                <w:rFonts w:hint="default" w:ascii="Times New Roman" w:hAnsi="Times New Roman" w:cs="Times New Roman"/>
                <w:color w:val="auto"/>
                <w:sz w:val="24"/>
                <w:lang w:val="en-US" w:eastAsia="zh-CN"/>
              </w:rPr>
              <w:t>“十四五”期间，工业产业结构、生产方式绿色低碳转型取得显著成效，能源资源利用效率显著提升，初步建成高效、循环、低碳的现代工业体系，为工业领域碳达峰、碳中和奠定基础。到2025年，全省规模以上工业单位增加值能耗较2020年下降15%，单位工业增加值二氧化碳排放较2020年下降18%</w:t>
            </w:r>
            <w:r>
              <w:rPr>
                <w:rFonts w:hint="eastAsia" w:cs="Times New Roman"/>
                <w:color w:val="auto"/>
                <w:sz w:val="24"/>
                <w:lang w:val="en-US" w:eastAsia="zh-CN"/>
              </w:rPr>
              <w:t>”</w:t>
            </w:r>
            <w:r>
              <w:rPr>
                <w:rFonts w:hint="default" w:ascii="Times New Roman" w:hAnsi="Times New Roman" w:cs="Times New Roman"/>
                <w:color w:val="auto"/>
                <w:sz w:val="24"/>
                <w:lang w:val="en-US" w:eastAsia="zh-CN"/>
              </w:rPr>
              <w:t>。</w:t>
            </w:r>
          </w:p>
          <w:p w14:paraId="762356CB">
            <w:pPr>
              <w:ind w:firstLine="480"/>
              <w:rPr>
                <w:rFonts w:hint="default" w:ascii="Times New Roman" w:hAnsi="Times New Roman" w:cs="Times New Roman"/>
                <w:color w:val="auto"/>
                <w:kern w:val="0"/>
                <w:szCs w:val="24"/>
                <w:lang w:val="en-US" w:eastAsia="zh-CN"/>
              </w:rPr>
            </w:pPr>
            <w:r>
              <w:rPr>
                <w:rFonts w:hint="default" w:ascii="Times New Roman" w:hAnsi="Times New Roman" w:cs="Times New Roman"/>
                <w:color w:val="auto"/>
                <w:kern w:val="0"/>
                <w:szCs w:val="24"/>
                <w:lang w:val="en-US" w:eastAsia="zh-CN"/>
              </w:rPr>
              <w:t>为了响应国家碳减排以及节能环保要求，</w:t>
            </w:r>
            <w:r>
              <w:rPr>
                <w:rFonts w:hint="eastAsia" w:cs="Times New Roman"/>
                <w:color w:val="auto"/>
                <w:kern w:val="0"/>
                <w:szCs w:val="24"/>
                <w:lang w:val="en-US" w:eastAsia="zh-CN"/>
              </w:rPr>
              <w:t>济宁海螺水泥有限责任公司</w:t>
            </w:r>
            <w:r>
              <w:rPr>
                <w:rFonts w:hint="default" w:ascii="Times New Roman" w:hAnsi="Times New Roman" w:cs="Times New Roman"/>
                <w:color w:val="auto"/>
                <w:kern w:val="0"/>
                <w:szCs w:val="24"/>
                <w:lang w:val="en-US" w:eastAsia="zh-CN"/>
              </w:rPr>
              <w:t>拟投资</w:t>
            </w:r>
            <w:r>
              <w:rPr>
                <w:rFonts w:hint="eastAsia" w:cs="Times New Roman"/>
                <w:color w:val="auto"/>
                <w:kern w:val="0"/>
                <w:szCs w:val="24"/>
                <w:lang w:val="en-US" w:eastAsia="zh-CN"/>
              </w:rPr>
              <w:t>170</w:t>
            </w:r>
            <w:r>
              <w:rPr>
                <w:rFonts w:hint="default" w:ascii="Times New Roman" w:hAnsi="Times New Roman" w:cs="Times New Roman"/>
                <w:color w:val="auto"/>
                <w:kern w:val="0"/>
                <w:szCs w:val="24"/>
                <w:lang w:val="en-US" w:eastAsia="zh-CN"/>
              </w:rPr>
              <w:t>万元，在不改变水泥熟料产能的前提下，依托</w:t>
            </w:r>
            <w:r>
              <w:rPr>
                <w:rFonts w:hint="default" w:ascii="Times New Roman" w:hAnsi="Times New Roman" w:cs="Times New Roman"/>
                <w:color w:val="auto"/>
                <w:sz w:val="24"/>
                <w:szCs w:val="24"/>
              </w:rPr>
              <w:t>公司</w:t>
            </w:r>
            <w:r>
              <w:rPr>
                <w:rFonts w:hint="default" w:ascii="Times New Roman" w:hAnsi="Times New Roman" w:cs="Times New Roman"/>
                <w:color w:val="auto"/>
                <w:sz w:val="24"/>
                <w:szCs w:val="24"/>
                <w:lang w:val="en-US" w:eastAsia="zh-CN"/>
              </w:rPr>
              <w:t>现有的一条</w:t>
            </w:r>
            <w:r>
              <w:rPr>
                <w:rFonts w:hint="default" w:ascii="Times New Roman" w:hAnsi="Times New Roman" w:cs="Times New Roman"/>
                <w:color w:val="auto"/>
                <w:sz w:val="24"/>
                <w:szCs w:val="24"/>
              </w:rPr>
              <w:t>4500t/d新型干法水泥熟料生产线</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建设“济宁海螺一般固废综合利用和原燃材料替代技改项目”，</w:t>
            </w:r>
            <w:r>
              <w:rPr>
                <w:rFonts w:hint="eastAsia" w:cs="Times New Roman"/>
                <w:color w:val="auto"/>
                <w:sz w:val="24"/>
                <w:szCs w:val="24"/>
                <w:lang w:val="en-US" w:eastAsia="zh-CN"/>
              </w:rPr>
              <w:t>进一步增加</w:t>
            </w:r>
            <w:r>
              <w:rPr>
                <w:rFonts w:hint="default" w:ascii="Times New Roman" w:hAnsi="Times New Roman" w:cs="Times New Roman"/>
                <w:color w:val="auto"/>
                <w:sz w:val="24"/>
                <w:szCs w:val="24"/>
                <w:lang w:val="en-US" w:eastAsia="zh-CN"/>
              </w:rPr>
              <w:t>一般固废综合利用和原燃材料替代</w:t>
            </w:r>
            <w:r>
              <w:rPr>
                <w:rFonts w:hint="eastAsia" w:ascii="Times New Roman" w:hAnsi="Times New Roman" w:cs="Times New Roman"/>
                <w:color w:val="auto"/>
                <w:sz w:val="24"/>
                <w:szCs w:val="24"/>
                <w:lang w:val="en-US" w:eastAsia="zh-CN"/>
              </w:rPr>
              <w:t>类别和数量，建成后</w:t>
            </w:r>
            <w:r>
              <w:rPr>
                <w:rFonts w:hint="eastAsia" w:cs="Times New Roman"/>
                <w:color w:val="auto"/>
                <w:sz w:val="24"/>
                <w:szCs w:val="24"/>
                <w:lang w:val="en-US" w:eastAsia="zh-CN"/>
              </w:rPr>
              <w:t>增加</w:t>
            </w:r>
            <w:r>
              <w:rPr>
                <w:rFonts w:hint="default" w:ascii="Times New Roman" w:hAnsi="Times New Roman" w:cs="Times New Roman"/>
                <w:color w:val="auto"/>
                <w:sz w:val="24"/>
                <w:szCs w:val="24"/>
                <w:lang w:val="en-US" w:eastAsia="zh-CN"/>
              </w:rPr>
              <w:t>综合利用</w:t>
            </w:r>
            <w:r>
              <w:rPr>
                <w:rFonts w:hint="eastAsia" w:cs="Times New Roman"/>
                <w:color w:val="auto"/>
                <w:sz w:val="24"/>
                <w:szCs w:val="24"/>
                <w:lang w:val="en-US" w:eastAsia="zh-CN"/>
              </w:rPr>
              <w:t>一般固废55</w:t>
            </w:r>
            <w:r>
              <w:rPr>
                <w:color w:val="auto"/>
              </w:rPr>
              <w:t>万</w:t>
            </w:r>
            <w:r>
              <w:rPr>
                <w:rFonts w:ascii="Times New Roman" w:hAnsi="Times New Roman" w:eastAsia="Times New Roman" w:cs="Times New Roman"/>
                <w:color w:val="auto"/>
                <w:spacing w:val="-2"/>
              </w:rPr>
              <w:t>t/a</w:t>
            </w:r>
            <w:r>
              <w:rPr>
                <w:rFonts w:hint="eastAsia" w:ascii="Times New Roman" w:hAnsi="Times New Roman" w:eastAsia="宋体" w:cs="Times New Roman"/>
                <w:color w:val="auto"/>
                <w:spacing w:val="-2"/>
                <w:lang w:eastAsia="zh-CN"/>
              </w:rPr>
              <w:t>。</w:t>
            </w:r>
          </w:p>
          <w:p w14:paraId="18719E15">
            <w:pPr>
              <w:ind w:firstLine="48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kern w:val="0"/>
                <w:szCs w:val="24"/>
                <w:lang w:val="en-US" w:eastAsia="zh-CN"/>
              </w:rPr>
              <w:t>依据《中华人民共和国环境影响评价法》、《建设项目环境保护管理条例》、《建设项目环境影响评价分类管理名录（2021版）》，本项目属于“四十七、生态保护和环境治理业103-一般工业固体废物（含污水处理污泥）、建筑施工废弃物处置及综合利用”中的“其他”，需编制“建设项目环境影响报告表”。据此，</w:t>
            </w:r>
            <w:r>
              <w:rPr>
                <w:rFonts w:hint="eastAsia" w:cs="Times New Roman"/>
                <w:color w:val="auto"/>
                <w:kern w:val="0"/>
                <w:szCs w:val="24"/>
                <w:lang w:val="en-US" w:eastAsia="zh-CN"/>
              </w:rPr>
              <w:t>济宁海螺水泥有限责任公司</w:t>
            </w:r>
            <w:r>
              <w:rPr>
                <w:rFonts w:hint="default" w:ascii="Times New Roman" w:hAnsi="Times New Roman" w:cs="Times New Roman"/>
                <w:color w:val="auto"/>
                <w:kern w:val="0"/>
                <w:szCs w:val="24"/>
                <w:lang w:val="en-US" w:eastAsia="zh-CN"/>
              </w:rPr>
              <w:t>委托我公司对该项目进行环境影响评价。在接受委托后，我公司即派有关人员对该项目进行实地踏勘和资料收集，按有关环评技术规范及相关法律法规的有关规定，编制完成了该项目环境影响报告表。</w:t>
            </w:r>
          </w:p>
          <w:p w14:paraId="62C9E085">
            <w:pPr>
              <w:adjustRightInd w:val="0"/>
              <w:snapToGrid w:val="0"/>
              <w:spacing w:line="240" w:lineRule="auto"/>
              <w:ind w:firstLine="482" w:firstLineChars="20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表2-1 建设项目环境影响评价分类管理目录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7"/>
              <w:gridCol w:w="3375"/>
              <w:gridCol w:w="1150"/>
              <w:gridCol w:w="908"/>
            </w:tblGrid>
            <w:tr w14:paraId="7C2C5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pct"/>
                  <w:tcBorders>
                    <w:tl2br w:val="nil"/>
                    <w:tr2bl w:val="nil"/>
                  </w:tcBorders>
                  <w:noWrap w:val="0"/>
                  <w:vAlign w:val="center"/>
                </w:tcPr>
                <w:p w14:paraId="375A51C0">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项目类别</w:t>
                  </w:r>
                </w:p>
              </w:tc>
              <w:tc>
                <w:tcPr>
                  <w:tcW w:w="946" w:type="pct"/>
                  <w:tcBorders>
                    <w:tl2br w:val="nil"/>
                    <w:tr2bl w:val="nil"/>
                  </w:tcBorders>
                  <w:noWrap w:val="0"/>
                  <w:vAlign w:val="center"/>
                </w:tcPr>
                <w:p w14:paraId="04521562">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环评类别</w:t>
                  </w:r>
                </w:p>
              </w:tc>
              <w:tc>
                <w:tcPr>
                  <w:tcW w:w="2065" w:type="pct"/>
                  <w:tcBorders>
                    <w:tl2br w:val="nil"/>
                    <w:tr2bl w:val="nil"/>
                  </w:tcBorders>
                  <w:noWrap w:val="0"/>
                  <w:vAlign w:val="center"/>
                </w:tcPr>
                <w:p w14:paraId="6F64D8E5">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报告书</w:t>
                  </w:r>
                </w:p>
              </w:tc>
              <w:tc>
                <w:tcPr>
                  <w:tcW w:w="703" w:type="pct"/>
                  <w:tcBorders>
                    <w:tl2br w:val="nil"/>
                    <w:tr2bl w:val="nil"/>
                  </w:tcBorders>
                  <w:noWrap w:val="0"/>
                  <w:vAlign w:val="center"/>
                </w:tcPr>
                <w:p w14:paraId="49C7169B">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报告表</w:t>
                  </w:r>
                </w:p>
              </w:tc>
              <w:tc>
                <w:tcPr>
                  <w:tcW w:w="553" w:type="pct"/>
                  <w:tcBorders>
                    <w:tl2br w:val="nil"/>
                    <w:tr2bl w:val="nil"/>
                  </w:tcBorders>
                  <w:noWrap w:val="0"/>
                  <w:vAlign w:val="center"/>
                </w:tcPr>
                <w:p w14:paraId="64D3007A">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登记表</w:t>
                  </w:r>
                </w:p>
              </w:tc>
            </w:tr>
            <w:tr w14:paraId="2BF16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noWrap w:val="0"/>
                  <w:vAlign w:val="center"/>
                </w:tcPr>
                <w:p w14:paraId="73182DC8">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四十七、生态保护和环境治理业103</w:t>
                  </w:r>
                </w:p>
              </w:tc>
            </w:tr>
            <w:tr w14:paraId="0095B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677" w:type="pct"/>
                  <w:gridSpan w:val="2"/>
                  <w:tcBorders>
                    <w:tl2br w:val="nil"/>
                    <w:tr2bl w:val="nil"/>
                  </w:tcBorders>
                  <w:shd w:val="clear" w:color="auto" w:fill="auto"/>
                  <w:noWrap w:val="0"/>
                  <w:vAlign w:val="center"/>
                </w:tcPr>
                <w:p w14:paraId="2F90C354">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一般工业固体废物（含污水处理污泥）、建筑施工废弃物处置及综合利用</w:t>
                  </w:r>
                </w:p>
              </w:tc>
              <w:tc>
                <w:tcPr>
                  <w:tcW w:w="2065" w:type="pct"/>
                  <w:tcBorders>
                    <w:tl2br w:val="nil"/>
                    <w:tr2bl w:val="nil"/>
                  </w:tcBorders>
                  <w:shd w:val="clear" w:color="auto" w:fill="auto"/>
                  <w:noWrap w:val="0"/>
                  <w:vAlign w:val="center"/>
                </w:tcPr>
                <w:p w14:paraId="40D26E3D">
                  <w:pPr>
                    <w:pStyle w:val="46"/>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一般工业固体废物（含污水处理污泥）采取填埋、焚烧（水泥窑协同处置的改造项目除外）方式的</w:t>
                  </w:r>
                </w:p>
              </w:tc>
              <w:tc>
                <w:tcPr>
                  <w:tcW w:w="703" w:type="pct"/>
                  <w:tcBorders>
                    <w:tl2br w:val="nil"/>
                    <w:tr2bl w:val="nil"/>
                  </w:tcBorders>
                  <w:shd w:val="clear" w:color="auto" w:fill="EEECE1"/>
                  <w:noWrap w:val="0"/>
                  <w:vAlign w:val="center"/>
                </w:tcPr>
                <w:p w14:paraId="4F5053AA">
                  <w:pPr>
                    <w:pStyle w:val="46"/>
                    <w:spacing w:line="240" w:lineRule="auto"/>
                    <w:jc w:val="center"/>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其他</w:t>
                  </w:r>
                </w:p>
              </w:tc>
              <w:tc>
                <w:tcPr>
                  <w:tcW w:w="553" w:type="pct"/>
                  <w:tcBorders>
                    <w:tl2br w:val="nil"/>
                    <w:tr2bl w:val="nil"/>
                  </w:tcBorders>
                  <w:noWrap w:val="0"/>
                  <w:vAlign w:val="center"/>
                </w:tcPr>
                <w:p w14:paraId="24447816">
                  <w:pPr>
                    <w:pStyle w:val="46"/>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14:paraId="3BCDBCA6">
            <w:pPr>
              <w:pStyle w:val="4"/>
              <w:numPr>
                <w:ilvl w:val="0"/>
                <w:numId w:val="0"/>
              </w:numPr>
              <w:bidi w:val="0"/>
              <w:ind w:leftChars="0" w:firstLine="482" w:firstLineChars="200"/>
              <w:rPr>
                <w:rFonts w:hint="default" w:ascii="Times New Roman" w:hAnsi="Times New Roman" w:eastAsia="宋体" w:cs="Times New Roman"/>
                <w:b/>
                <w:bCs w:val="0"/>
                <w:color w:val="auto"/>
                <w:lang w:eastAsia="zh-CN"/>
              </w:rPr>
            </w:pPr>
            <w:r>
              <w:rPr>
                <w:rFonts w:hint="default" w:ascii="Times New Roman" w:hAnsi="Times New Roman" w:eastAsia="宋体" w:cs="Times New Roman"/>
                <w:b/>
                <w:bCs w:val="0"/>
                <w:color w:val="auto"/>
              </w:rPr>
              <w:t>二、项目组成</w:t>
            </w:r>
          </w:p>
          <w:p w14:paraId="3D8620C1">
            <w:pPr>
              <w:bidi w:val="0"/>
              <w:ind w:firstLine="480" w:firstLineChars="200"/>
              <w:rPr>
                <w:rFonts w:hint="default" w:cs="Times New Roman"/>
                <w:color w:val="auto"/>
                <w:lang w:val="en-US" w:eastAsia="zh-CN"/>
              </w:rPr>
            </w:pPr>
            <w:r>
              <w:rPr>
                <w:rFonts w:hint="default" w:ascii="Times New Roman" w:hAnsi="Times New Roman" w:eastAsia="宋体" w:cs="Times New Roman"/>
                <w:color w:val="auto"/>
                <w:lang w:val="en-US" w:eastAsia="zh-CN"/>
              </w:rPr>
              <w:t>本项目在济宁海螺水泥</w:t>
            </w:r>
            <w:r>
              <w:rPr>
                <w:rFonts w:hint="eastAsia" w:ascii="Times New Roman" w:hAnsi="Times New Roman" w:eastAsia="宋体" w:cs="Times New Roman"/>
                <w:color w:val="auto"/>
                <w:lang w:val="en-US" w:eastAsia="zh-CN"/>
              </w:rPr>
              <w:t>现有</w:t>
            </w:r>
            <w:r>
              <w:rPr>
                <w:rFonts w:hint="default" w:ascii="Times New Roman" w:hAnsi="Times New Roman" w:eastAsia="宋体" w:cs="Times New Roman"/>
                <w:color w:val="auto"/>
                <w:lang w:val="en-US" w:eastAsia="zh-CN"/>
              </w:rPr>
              <w:t>厂区内进行，不新建构筑物，主要对</w:t>
            </w:r>
            <w:r>
              <w:rPr>
                <w:rFonts w:hint="eastAsia" w:cs="Times New Roman"/>
                <w:color w:val="auto"/>
                <w:lang w:val="en-US" w:eastAsia="zh-CN"/>
              </w:rPr>
              <w:t>现有</w:t>
            </w:r>
            <w:r>
              <w:rPr>
                <w:rFonts w:hint="default" w:ascii="Times New Roman" w:hAnsi="Times New Roman" w:eastAsia="宋体" w:cs="Times New Roman"/>
                <w:color w:val="auto"/>
                <w:lang w:val="en-US" w:eastAsia="zh-CN"/>
              </w:rPr>
              <w:t>联合储库、辅材堆</w:t>
            </w:r>
            <w:r>
              <w:rPr>
                <w:rFonts w:hint="eastAsia" w:cs="Times New Roman"/>
                <w:color w:val="auto"/>
                <w:lang w:val="en-US" w:eastAsia="zh-CN"/>
              </w:rPr>
              <w:t>棚</w:t>
            </w:r>
            <w:r>
              <w:rPr>
                <w:rFonts w:hint="default" w:ascii="Times New Roman" w:hAnsi="Times New Roman" w:eastAsia="宋体" w:cs="Times New Roman"/>
                <w:color w:val="auto"/>
                <w:lang w:val="en-US" w:eastAsia="zh-CN"/>
              </w:rPr>
              <w:t>进行分区改造用于</w:t>
            </w:r>
            <w:r>
              <w:rPr>
                <w:rFonts w:hint="eastAsia" w:cs="Times New Roman"/>
                <w:color w:val="auto"/>
                <w:lang w:val="en-US" w:eastAsia="zh-CN"/>
              </w:rPr>
              <w:t>替代原料、替代混合材的存放及投加，依托利用</w:t>
            </w:r>
            <w:r>
              <w:rPr>
                <w:rFonts w:hint="default" w:ascii="Times New Roman" w:hAnsi="Times New Roman" w:eastAsia="宋体" w:cs="Times New Roman"/>
                <w:color w:val="auto"/>
                <w:lang w:val="en-US" w:eastAsia="zh-CN"/>
              </w:rPr>
              <w:t>济宁海螺</w:t>
            </w:r>
            <w:r>
              <w:rPr>
                <w:rFonts w:hint="eastAsia" w:ascii="Times New Roman" w:hAnsi="Times New Roman" w:eastAsia="宋体" w:cs="Times New Roman"/>
                <w:color w:val="auto"/>
                <w:lang w:val="en-US" w:eastAsia="zh-CN"/>
              </w:rPr>
              <w:t>环保现有</w:t>
            </w:r>
            <w:r>
              <w:rPr>
                <w:rFonts w:hint="eastAsia" w:cs="Times New Roman"/>
                <w:color w:val="auto"/>
                <w:lang w:val="en-US" w:eastAsia="zh-CN"/>
              </w:rPr>
              <w:t>固废暂存间II进行分区改造，新建替代燃料气体输送投加系统，</w:t>
            </w:r>
            <w:r>
              <w:rPr>
                <w:rFonts w:hint="eastAsia" w:ascii="Times New Roman" w:hAnsi="Times New Roman" w:eastAsia="宋体" w:cs="Times New Roman"/>
                <w:color w:val="auto"/>
                <w:lang w:val="en-US" w:eastAsia="zh-CN"/>
              </w:rPr>
              <w:t>用于替代燃料</w:t>
            </w:r>
            <w:r>
              <w:rPr>
                <w:rFonts w:hint="eastAsia" w:cs="Times New Roman"/>
                <w:color w:val="auto"/>
                <w:lang w:val="en-US" w:eastAsia="zh-CN"/>
              </w:rPr>
              <w:t>的存放及投加</w:t>
            </w:r>
            <w:r>
              <w:rPr>
                <w:rFonts w:hint="eastAsia" w:ascii="Times New Roman" w:hAnsi="Times New Roman" w:eastAsia="宋体" w:cs="Times New Roman"/>
                <w:color w:val="auto"/>
                <w:lang w:val="en-US" w:eastAsia="zh-CN"/>
              </w:rPr>
              <w:t>。</w:t>
            </w:r>
          </w:p>
          <w:p w14:paraId="5BB1717D">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项目主要建设内容见表2-2。</w:t>
            </w:r>
          </w:p>
          <w:p w14:paraId="13D65C88">
            <w:pPr>
              <w:adjustRightInd w:val="0"/>
              <w:snapToGrid w:val="0"/>
              <w:spacing w:line="240" w:lineRule="auto"/>
              <w:ind w:firstLine="482" w:firstLineChars="20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表2-2 项目组成及工程内容一览表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7"/>
              <w:gridCol w:w="1292"/>
              <w:gridCol w:w="4838"/>
              <w:gridCol w:w="1382"/>
            </w:tblGrid>
            <w:tr w14:paraId="113D8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tcBorders>
                    <w:tl2br w:val="nil"/>
                    <w:tr2bl w:val="nil"/>
                  </w:tcBorders>
                  <w:noWrap w:val="0"/>
                  <w:vAlign w:val="center"/>
                </w:tcPr>
                <w:p w14:paraId="3F8C7EC7">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工程类别</w:t>
                  </w:r>
                </w:p>
              </w:tc>
              <w:tc>
                <w:tcPr>
                  <w:tcW w:w="790" w:type="pct"/>
                  <w:tcBorders>
                    <w:tl2br w:val="nil"/>
                    <w:tr2bl w:val="nil"/>
                  </w:tcBorders>
                  <w:noWrap w:val="0"/>
                  <w:vAlign w:val="center"/>
                </w:tcPr>
                <w:p w14:paraId="309A501D">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工程名称</w:t>
                  </w:r>
                </w:p>
              </w:tc>
              <w:tc>
                <w:tcPr>
                  <w:tcW w:w="2961" w:type="pct"/>
                  <w:tcBorders>
                    <w:tl2br w:val="nil"/>
                    <w:tr2bl w:val="nil"/>
                  </w:tcBorders>
                  <w:noWrap w:val="0"/>
                  <w:vAlign w:val="center"/>
                </w:tcPr>
                <w:p w14:paraId="46DE1EE4">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工程内容</w:t>
                  </w:r>
                </w:p>
              </w:tc>
              <w:tc>
                <w:tcPr>
                  <w:tcW w:w="845" w:type="pct"/>
                  <w:tcBorders>
                    <w:tl2br w:val="nil"/>
                    <w:tr2bl w:val="nil"/>
                  </w:tcBorders>
                  <w:noWrap w:val="0"/>
                  <w:vAlign w:val="center"/>
                </w:tcPr>
                <w:p w14:paraId="7FE9DB66">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备注</w:t>
                  </w:r>
                </w:p>
              </w:tc>
            </w:tr>
            <w:tr w14:paraId="36EDC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402" w:type="pct"/>
                  <w:vMerge w:val="restart"/>
                  <w:tcBorders>
                    <w:tl2br w:val="nil"/>
                    <w:tr2bl w:val="nil"/>
                  </w:tcBorders>
                  <w:noWrap w:val="0"/>
                  <w:vAlign w:val="center"/>
                </w:tcPr>
                <w:p w14:paraId="21DD9E98">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主体工程</w:t>
                  </w:r>
                </w:p>
              </w:tc>
              <w:tc>
                <w:tcPr>
                  <w:tcW w:w="790" w:type="pct"/>
                  <w:tcBorders>
                    <w:tl2br w:val="nil"/>
                    <w:tr2bl w:val="nil"/>
                  </w:tcBorders>
                  <w:noWrap w:val="0"/>
                  <w:vAlign w:val="center"/>
                </w:tcPr>
                <w:p w14:paraId="1ACF88C2">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val="en-US" w:eastAsia="zh-CN"/>
                    </w:rPr>
                    <w:t>烧成系统</w:t>
                  </w:r>
                </w:p>
              </w:tc>
              <w:tc>
                <w:tcPr>
                  <w:tcW w:w="2961" w:type="pct"/>
                  <w:tcBorders>
                    <w:tl2br w:val="nil"/>
                    <w:tr2bl w:val="nil"/>
                  </w:tcBorders>
                  <w:noWrap w:val="0"/>
                  <w:vAlign w:val="center"/>
                </w:tcPr>
                <w:p w14:paraId="1BA30032">
                  <w:pPr>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依托现有的1条4500t/d新型干法水泥熟料生产线</w:t>
                  </w:r>
                </w:p>
              </w:tc>
              <w:tc>
                <w:tcPr>
                  <w:tcW w:w="845" w:type="pct"/>
                  <w:tcBorders>
                    <w:tl2br w:val="nil"/>
                    <w:tr2bl w:val="nil"/>
                  </w:tcBorders>
                  <w:noWrap w:val="0"/>
                  <w:vAlign w:val="center"/>
                </w:tcPr>
                <w:p w14:paraId="3E37EFAE">
                  <w:pPr>
                    <w:pStyle w:val="46"/>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p>
              </w:tc>
            </w:tr>
            <w:tr w14:paraId="54344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2" w:type="pct"/>
                  <w:vMerge w:val="continue"/>
                  <w:tcBorders>
                    <w:tl2br w:val="nil"/>
                    <w:tr2bl w:val="nil"/>
                  </w:tcBorders>
                  <w:noWrap w:val="0"/>
                  <w:vAlign w:val="center"/>
                </w:tcPr>
                <w:p w14:paraId="49E32804">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31F22EA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替代原料</w:t>
                  </w:r>
                  <w:r>
                    <w:rPr>
                      <w:rFonts w:hint="default" w:ascii="Times New Roman" w:hAnsi="Times New Roman" w:eastAsia="宋体" w:cs="Times New Roman"/>
                      <w:color w:val="auto"/>
                      <w:kern w:val="2"/>
                      <w:sz w:val="21"/>
                      <w:szCs w:val="21"/>
                      <w:lang w:val="en-US" w:eastAsia="zh-CN" w:bidi="ar-SA"/>
                    </w:rPr>
                    <w:t>投加系统</w:t>
                  </w:r>
                </w:p>
              </w:tc>
              <w:tc>
                <w:tcPr>
                  <w:tcW w:w="2961" w:type="pct"/>
                  <w:tcBorders>
                    <w:tl2br w:val="nil"/>
                    <w:tr2bl w:val="nil"/>
                  </w:tcBorders>
                  <w:shd w:val="clear" w:color="auto" w:fill="auto"/>
                  <w:noWrap w:val="0"/>
                  <w:vAlign w:val="center"/>
                </w:tcPr>
                <w:p w14:paraId="5A72766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依托</w:t>
                  </w:r>
                  <w:r>
                    <w:rPr>
                      <w:rFonts w:hint="eastAsia" w:cs="Times New Roman"/>
                      <w:color w:val="auto"/>
                      <w:sz w:val="21"/>
                      <w:szCs w:val="21"/>
                      <w:lang w:val="en-US" w:eastAsia="zh-CN"/>
                    </w:rPr>
                    <w:t>济宁海螺水泥</w:t>
                  </w:r>
                  <w:r>
                    <w:rPr>
                      <w:rFonts w:hint="default" w:ascii="Times New Roman" w:hAnsi="Times New Roman" w:eastAsia="宋体" w:cs="Times New Roman"/>
                      <w:color w:val="auto"/>
                      <w:sz w:val="21"/>
                      <w:szCs w:val="21"/>
                    </w:rPr>
                    <w:t>联合储库</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辅材堆</w:t>
                  </w:r>
                  <w:r>
                    <w:rPr>
                      <w:rFonts w:hint="eastAsia" w:ascii="Times New Roman" w:hAnsi="Times New Roman" w:cs="Times New Roman"/>
                      <w:color w:val="auto"/>
                      <w:sz w:val="21"/>
                      <w:szCs w:val="21"/>
                      <w:lang w:val="en-US" w:eastAsia="zh-CN"/>
                    </w:rPr>
                    <w:t>棚现有物料投加系统设施。</w:t>
                  </w:r>
                </w:p>
              </w:tc>
              <w:tc>
                <w:tcPr>
                  <w:tcW w:w="845" w:type="pct"/>
                  <w:tcBorders>
                    <w:tl2br w:val="nil"/>
                    <w:tr2bl w:val="nil"/>
                  </w:tcBorders>
                  <w:noWrap w:val="0"/>
                  <w:vAlign w:val="center"/>
                </w:tcPr>
                <w:p w14:paraId="218FBB7D">
                  <w:pPr>
                    <w:pStyle w:val="46"/>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p>
              </w:tc>
            </w:tr>
            <w:tr w14:paraId="63D49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402" w:type="pct"/>
                  <w:vMerge w:val="continue"/>
                  <w:tcBorders>
                    <w:tl2br w:val="nil"/>
                    <w:tr2bl w:val="nil"/>
                  </w:tcBorders>
                  <w:noWrap w:val="0"/>
                  <w:vAlign w:val="center"/>
                </w:tcPr>
                <w:p w14:paraId="6A1A29E5">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41612011">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替代燃料投加系统</w:t>
                  </w:r>
                </w:p>
              </w:tc>
              <w:tc>
                <w:tcPr>
                  <w:tcW w:w="2961" w:type="pct"/>
                  <w:tcBorders>
                    <w:tl2br w:val="nil"/>
                    <w:tr2bl w:val="nil"/>
                  </w:tcBorders>
                  <w:shd w:val="clear" w:color="auto" w:fill="auto"/>
                  <w:noWrap w:val="0"/>
                  <w:vAlign w:val="center"/>
                </w:tcPr>
                <w:p w14:paraId="2247593B">
                  <w:pPr>
                    <w:spacing w:line="240" w:lineRule="auto"/>
                    <w:jc w:val="center"/>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依托济宁海螺环保RDF库</w:t>
                  </w:r>
                  <w:r>
                    <w:rPr>
                      <w:rFonts w:hint="eastAsia" w:ascii="Times New Roman" w:hAnsi="Times New Roman" w:cs="Times New Roman"/>
                      <w:color w:val="auto"/>
                      <w:sz w:val="21"/>
                      <w:szCs w:val="21"/>
                      <w:lang w:val="en-US" w:eastAsia="zh-CN"/>
                    </w:rPr>
                    <w:t>现有</w:t>
                  </w:r>
                  <w:r>
                    <w:rPr>
                      <w:rFonts w:hint="eastAsia" w:cs="Times New Roman"/>
                      <w:color w:val="auto"/>
                      <w:sz w:val="21"/>
                      <w:szCs w:val="21"/>
                      <w:lang w:val="en-US" w:eastAsia="zh-CN"/>
                    </w:rPr>
                    <w:t>替代燃料</w:t>
                  </w:r>
                  <w:r>
                    <w:rPr>
                      <w:rFonts w:hint="eastAsia" w:ascii="Times New Roman" w:hAnsi="Times New Roman" w:cs="Times New Roman"/>
                      <w:color w:val="auto"/>
                      <w:sz w:val="21"/>
                      <w:szCs w:val="21"/>
                      <w:lang w:val="en-US" w:eastAsia="zh-CN"/>
                    </w:rPr>
                    <w:t>物料投加系统设施。</w:t>
                  </w:r>
                </w:p>
              </w:tc>
              <w:tc>
                <w:tcPr>
                  <w:tcW w:w="845" w:type="pct"/>
                  <w:tcBorders>
                    <w:tl2br w:val="nil"/>
                    <w:tr2bl w:val="nil"/>
                  </w:tcBorders>
                  <w:noWrap w:val="0"/>
                  <w:vAlign w:val="center"/>
                </w:tcPr>
                <w:p w14:paraId="73AB55A8">
                  <w:pPr>
                    <w:pStyle w:val="46"/>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p>
              </w:tc>
            </w:tr>
            <w:tr w14:paraId="7346C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402" w:type="pct"/>
                  <w:vMerge w:val="continue"/>
                  <w:tcBorders>
                    <w:tl2br w:val="nil"/>
                    <w:tr2bl w:val="nil"/>
                  </w:tcBorders>
                  <w:noWrap w:val="0"/>
                  <w:vAlign w:val="center"/>
                </w:tcPr>
                <w:p w14:paraId="0A1276FE">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2DE30A1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替代燃料气体输送投加系统</w:t>
                  </w:r>
                </w:p>
              </w:tc>
              <w:tc>
                <w:tcPr>
                  <w:tcW w:w="2961" w:type="pct"/>
                  <w:tcBorders>
                    <w:tl2br w:val="nil"/>
                    <w:tr2bl w:val="nil"/>
                  </w:tcBorders>
                  <w:shd w:val="clear" w:color="auto" w:fill="auto"/>
                  <w:noWrap w:val="0"/>
                  <w:vAlign w:val="center"/>
                </w:tcPr>
                <w:p w14:paraId="24E3BFCD">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在济宁海螺环保RDF库内新建一套替代燃料气力输送投加系统，包括风机、封料泵、输送管线等，用于</w:t>
                  </w:r>
                  <w:r>
                    <w:rPr>
                      <w:rFonts w:hint="eastAsia" w:cs="Times New Roman"/>
                      <w:color w:val="auto"/>
                      <w:kern w:val="2"/>
                      <w:sz w:val="21"/>
                      <w:szCs w:val="21"/>
                      <w:lang w:val="en-US" w:eastAsia="zh-CN" w:bidi="ar-SA"/>
                    </w:rPr>
                    <w:t>炭黑、泡沫塑料粉的投加。</w:t>
                  </w:r>
                </w:p>
              </w:tc>
              <w:tc>
                <w:tcPr>
                  <w:tcW w:w="845" w:type="pct"/>
                  <w:tcBorders>
                    <w:tl2br w:val="nil"/>
                    <w:tr2bl w:val="nil"/>
                  </w:tcBorders>
                  <w:noWrap w:val="0"/>
                  <w:vAlign w:val="center"/>
                </w:tcPr>
                <w:p w14:paraId="5566508E">
                  <w:pPr>
                    <w:pStyle w:val="46"/>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新建</w:t>
                  </w:r>
                </w:p>
              </w:tc>
            </w:tr>
            <w:tr w14:paraId="36868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restart"/>
                  <w:tcBorders>
                    <w:tl2br w:val="nil"/>
                    <w:tr2bl w:val="nil"/>
                  </w:tcBorders>
                  <w:noWrap w:val="0"/>
                  <w:vAlign w:val="center"/>
                </w:tcPr>
                <w:p w14:paraId="042D9232">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辅助工程</w:t>
                  </w:r>
                </w:p>
              </w:tc>
              <w:tc>
                <w:tcPr>
                  <w:tcW w:w="790" w:type="pct"/>
                  <w:tcBorders>
                    <w:tl2br w:val="nil"/>
                    <w:tr2bl w:val="nil"/>
                  </w:tcBorders>
                  <w:noWrap w:val="0"/>
                  <w:vAlign w:val="center"/>
                </w:tcPr>
                <w:p w14:paraId="6A1B91D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办公</w:t>
                  </w:r>
                  <w:r>
                    <w:rPr>
                      <w:rFonts w:hint="default" w:ascii="Times New Roman" w:hAnsi="Times New Roman" w:cs="Times New Roman"/>
                      <w:color w:val="auto"/>
                      <w:sz w:val="21"/>
                      <w:szCs w:val="21"/>
                      <w:lang w:val="en-US" w:eastAsia="zh-CN"/>
                    </w:rPr>
                    <w:t>生活</w:t>
                  </w:r>
                </w:p>
              </w:tc>
              <w:tc>
                <w:tcPr>
                  <w:tcW w:w="2961" w:type="pct"/>
                  <w:tcBorders>
                    <w:tl2br w:val="nil"/>
                    <w:tr2bl w:val="nil"/>
                  </w:tcBorders>
                  <w:noWrap w:val="0"/>
                  <w:vAlign w:val="center"/>
                </w:tcPr>
                <w:p w14:paraId="502463D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依托厂区现有办公楼、生活区等基础设施</w:t>
                  </w:r>
                  <w:r>
                    <w:rPr>
                      <w:rFonts w:hint="eastAsia" w:cs="Times New Roman"/>
                      <w:color w:val="auto"/>
                      <w:sz w:val="21"/>
                      <w:szCs w:val="21"/>
                      <w:lang w:val="en-US" w:eastAsia="zh-CN"/>
                    </w:rPr>
                    <w:t>。</w:t>
                  </w:r>
                </w:p>
              </w:tc>
              <w:tc>
                <w:tcPr>
                  <w:tcW w:w="845" w:type="pct"/>
                  <w:tcBorders>
                    <w:tl2br w:val="nil"/>
                    <w:tr2bl w:val="nil"/>
                  </w:tcBorders>
                  <w:noWrap w:val="0"/>
                  <w:vAlign w:val="center"/>
                </w:tcPr>
                <w:p w14:paraId="1ED0981C">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5ED02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311A30E6">
                  <w:pPr>
                    <w:pStyle w:val="46"/>
                    <w:spacing w:line="240" w:lineRule="auto"/>
                    <w:rPr>
                      <w:rFonts w:hint="default" w:ascii="Times New Roman" w:hAnsi="Times New Roman" w:cs="Times New Roman"/>
                      <w:color w:val="auto"/>
                      <w:sz w:val="21"/>
                      <w:szCs w:val="21"/>
                    </w:rPr>
                  </w:pPr>
                </w:p>
              </w:tc>
              <w:tc>
                <w:tcPr>
                  <w:tcW w:w="790" w:type="pct"/>
                  <w:tcBorders>
                    <w:tl2br w:val="nil"/>
                    <w:tr2bl w:val="nil"/>
                  </w:tcBorders>
                  <w:noWrap w:val="0"/>
                  <w:vAlign w:val="center"/>
                </w:tcPr>
                <w:p w14:paraId="0E5256E0">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分析化验室</w:t>
                  </w:r>
                </w:p>
              </w:tc>
              <w:tc>
                <w:tcPr>
                  <w:tcW w:w="2961" w:type="pct"/>
                  <w:tcBorders>
                    <w:tl2br w:val="nil"/>
                    <w:tr2bl w:val="nil"/>
                  </w:tcBorders>
                  <w:noWrap w:val="0"/>
                  <w:vAlign w:val="center"/>
                </w:tcPr>
                <w:p w14:paraId="5E8C853B">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利用</w:t>
                  </w:r>
                  <w:r>
                    <w:rPr>
                      <w:rFonts w:hint="eastAsia" w:cs="Times New Roman"/>
                      <w:color w:val="auto"/>
                      <w:sz w:val="21"/>
                      <w:szCs w:val="21"/>
                      <w:lang w:val="en-US" w:eastAsia="zh-CN"/>
                    </w:rPr>
                    <w:t>厂区现有</w:t>
                  </w:r>
                  <w:r>
                    <w:rPr>
                      <w:rFonts w:hint="default" w:ascii="Times New Roman" w:hAnsi="Times New Roman" w:cs="Times New Roman"/>
                      <w:color w:val="auto"/>
                      <w:sz w:val="21"/>
                      <w:szCs w:val="21"/>
                      <w:lang w:val="en-US" w:eastAsia="zh-CN"/>
                    </w:rPr>
                    <w:t>化验室，增加必要</w:t>
                  </w:r>
                  <w:r>
                    <w:rPr>
                      <w:rFonts w:hint="eastAsia" w:cs="Times New Roman"/>
                      <w:color w:val="auto"/>
                      <w:sz w:val="21"/>
                      <w:szCs w:val="21"/>
                      <w:lang w:val="en-US" w:eastAsia="zh-CN"/>
                    </w:rPr>
                    <w:t>的</w:t>
                  </w:r>
                  <w:r>
                    <w:rPr>
                      <w:rFonts w:hint="default" w:ascii="Times New Roman" w:hAnsi="Times New Roman" w:cs="Times New Roman"/>
                      <w:color w:val="auto"/>
                      <w:sz w:val="21"/>
                      <w:szCs w:val="21"/>
                      <w:lang w:val="en-US" w:eastAsia="zh-CN"/>
                    </w:rPr>
                    <w:t>固废分析化验设备</w:t>
                  </w:r>
                  <w:r>
                    <w:rPr>
                      <w:rFonts w:hint="eastAsia" w:cs="Times New Roman"/>
                      <w:color w:val="auto"/>
                      <w:sz w:val="21"/>
                      <w:szCs w:val="21"/>
                      <w:lang w:val="en-US" w:eastAsia="zh-CN"/>
                    </w:rPr>
                    <w:t>仪器。</w:t>
                  </w:r>
                </w:p>
              </w:tc>
              <w:tc>
                <w:tcPr>
                  <w:tcW w:w="845" w:type="pct"/>
                  <w:tcBorders>
                    <w:tl2br w:val="nil"/>
                    <w:tr2bl w:val="nil"/>
                  </w:tcBorders>
                  <w:noWrap w:val="0"/>
                  <w:vAlign w:val="center"/>
                </w:tcPr>
                <w:p w14:paraId="0B507710">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1F521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402" w:type="pct"/>
                  <w:vMerge w:val="restart"/>
                  <w:tcBorders>
                    <w:tl2br w:val="nil"/>
                    <w:tr2bl w:val="nil"/>
                  </w:tcBorders>
                  <w:noWrap w:val="0"/>
                  <w:vAlign w:val="center"/>
                </w:tcPr>
                <w:p w14:paraId="76B5BA0D">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储运工程</w:t>
                  </w:r>
                </w:p>
              </w:tc>
              <w:tc>
                <w:tcPr>
                  <w:tcW w:w="790" w:type="pct"/>
                  <w:tcBorders>
                    <w:tl2br w:val="nil"/>
                    <w:tr2bl w:val="nil"/>
                  </w:tcBorders>
                  <w:shd w:val="clear" w:color="auto" w:fill="auto"/>
                  <w:noWrap w:val="0"/>
                  <w:vAlign w:val="center"/>
                </w:tcPr>
                <w:p w14:paraId="5F0D1D1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联合储库</w:t>
                  </w:r>
                </w:p>
              </w:tc>
              <w:tc>
                <w:tcPr>
                  <w:tcW w:w="2961" w:type="pct"/>
                  <w:tcBorders>
                    <w:tl2br w:val="nil"/>
                    <w:tr2bl w:val="nil"/>
                  </w:tcBorders>
                  <w:shd w:val="clear" w:color="auto" w:fill="auto"/>
                  <w:noWrap w:val="0"/>
                  <w:vAlign w:val="center"/>
                </w:tcPr>
                <w:p w14:paraId="13D9F94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0m×33m，密闭储库，进行分区改造，用于</w:t>
                  </w:r>
                  <w:r>
                    <w:rPr>
                      <w:rFonts w:hint="eastAsia" w:ascii="Times New Roman" w:hAnsi="Times New Roman" w:cs="Times New Roman"/>
                      <w:color w:val="auto"/>
                      <w:sz w:val="21"/>
                      <w:szCs w:val="21"/>
                      <w:lang w:val="en-US" w:eastAsia="zh-CN"/>
                    </w:rPr>
                    <w:t>等替代原料</w:t>
                  </w:r>
                  <w:r>
                    <w:rPr>
                      <w:rFonts w:hint="eastAsia" w:cs="Times New Roman"/>
                      <w:color w:val="auto"/>
                      <w:sz w:val="21"/>
                      <w:szCs w:val="21"/>
                      <w:lang w:val="en-US" w:eastAsia="zh-CN"/>
                    </w:rPr>
                    <w:t>（炉渣、铁矿选矿粉末、尾矿渣、铁合金炉渣、石英砂选矿污泥、煤矸石、萤石选矿尾渣、电石渣、造纸白泥、氟化钙污泥、磷渣、赤泥）</w:t>
                  </w:r>
                  <w:r>
                    <w:rPr>
                      <w:rFonts w:hint="default" w:ascii="Times New Roman" w:hAnsi="Times New Roman" w:eastAsia="宋体" w:cs="Times New Roman"/>
                      <w:color w:val="auto"/>
                      <w:sz w:val="21"/>
                      <w:szCs w:val="21"/>
                    </w:rPr>
                    <w:t>的堆放，同时设置不明性质废物暂存区</w:t>
                  </w:r>
                  <w:r>
                    <w:rPr>
                      <w:rFonts w:hint="eastAsia" w:ascii="Times New Roman" w:hAnsi="Times New Roman" w:cs="Times New Roman"/>
                      <w:color w:val="auto"/>
                      <w:sz w:val="21"/>
                      <w:szCs w:val="21"/>
                      <w:lang w:eastAsia="zh-CN"/>
                    </w:rPr>
                    <w:t>。</w:t>
                  </w:r>
                </w:p>
              </w:tc>
              <w:tc>
                <w:tcPr>
                  <w:tcW w:w="845" w:type="pct"/>
                  <w:tcBorders>
                    <w:tl2br w:val="nil"/>
                    <w:tr2bl w:val="nil"/>
                  </w:tcBorders>
                  <w:shd w:val="clear" w:color="auto" w:fill="auto"/>
                  <w:noWrap w:val="0"/>
                  <w:vAlign w:val="center"/>
                </w:tcPr>
                <w:p w14:paraId="3B4F9FDC">
                  <w:pPr>
                    <w:pStyle w:val="46"/>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p>
              </w:tc>
            </w:tr>
            <w:tr w14:paraId="5F57C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2" w:type="pct"/>
                  <w:vMerge w:val="continue"/>
                  <w:tcBorders>
                    <w:tl2br w:val="nil"/>
                    <w:tr2bl w:val="nil"/>
                  </w:tcBorders>
                  <w:noWrap w:val="0"/>
                  <w:vAlign w:val="center"/>
                </w:tcPr>
                <w:p w14:paraId="65110414">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6FE3C80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辅材堆</w:t>
                  </w:r>
                  <w:r>
                    <w:rPr>
                      <w:rFonts w:hint="eastAsia" w:ascii="Times New Roman" w:hAnsi="Times New Roman" w:cs="Times New Roman"/>
                      <w:color w:val="auto"/>
                      <w:sz w:val="21"/>
                      <w:szCs w:val="21"/>
                      <w:lang w:val="en-US" w:eastAsia="zh-CN"/>
                    </w:rPr>
                    <w:t>棚</w:t>
                  </w:r>
                </w:p>
              </w:tc>
              <w:tc>
                <w:tcPr>
                  <w:tcW w:w="2961" w:type="pct"/>
                  <w:tcBorders>
                    <w:tl2br w:val="nil"/>
                    <w:tr2bl w:val="nil"/>
                  </w:tcBorders>
                  <w:shd w:val="clear" w:color="auto" w:fill="auto"/>
                  <w:noWrap w:val="0"/>
                  <w:vAlign w:val="center"/>
                </w:tcPr>
                <w:p w14:paraId="6451E03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140m×45m，密闭堆场，进行分区改造，用于</w:t>
                  </w:r>
                  <w:r>
                    <w:rPr>
                      <w:rFonts w:hint="eastAsia" w:ascii="Times New Roman" w:hAnsi="Times New Roman" w:cs="Times New Roman"/>
                      <w:color w:val="auto"/>
                      <w:sz w:val="21"/>
                      <w:szCs w:val="21"/>
                      <w:lang w:val="en-US" w:eastAsia="zh-CN"/>
                    </w:rPr>
                    <w:t>替代混合材</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炉渣</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水渣</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矿渣粉</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电炉渣</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脱硫石膏</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磷石膏</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钛石膏</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氟石膏</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冶炼废渣</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的堆放，同时设置不明性质废物暂存区</w:t>
                  </w:r>
                  <w:r>
                    <w:rPr>
                      <w:rFonts w:hint="eastAsia" w:ascii="Times New Roman" w:hAnsi="Times New Roman" w:cs="Times New Roman"/>
                      <w:color w:val="auto"/>
                      <w:sz w:val="21"/>
                      <w:szCs w:val="21"/>
                      <w:lang w:eastAsia="zh-CN"/>
                    </w:rPr>
                    <w:t>。</w:t>
                  </w:r>
                </w:p>
              </w:tc>
              <w:tc>
                <w:tcPr>
                  <w:tcW w:w="845" w:type="pct"/>
                  <w:tcBorders>
                    <w:tl2br w:val="nil"/>
                    <w:tr2bl w:val="nil"/>
                  </w:tcBorders>
                  <w:shd w:val="clear" w:color="auto" w:fill="auto"/>
                  <w:noWrap w:val="0"/>
                  <w:vAlign w:val="center"/>
                </w:tcPr>
                <w:p w14:paraId="382B6D34">
                  <w:pPr>
                    <w:pStyle w:val="46"/>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p>
              </w:tc>
            </w:tr>
            <w:tr w14:paraId="4E7B7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402" w:type="pct"/>
                  <w:vMerge w:val="continue"/>
                  <w:tcBorders>
                    <w:tl2br w:val="nil"/>
                    <w:tr2bl w:val="nil"/>
                  </w:tcBorders>
                  <w:noWrap w:val="0"/>
                  <w:vAlign w:val="center"/>
                </w:tcPr>
                <w:p w14:paraId="2641FD2B">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36E0233A">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固废暂存间II</w:t>
                  </w:r>
                </w:p>
              </w:tc>
              <w:tc>
                <w:tcPr>
                  <w:tcW w:w="2961" w:type="pct"/>
                  <w:tcBorders>
                    <w:tl2br w:val="nil"/>
                    <w:tr2bl w:val="nil"/>
                  </w:tcBorders>
                  <w:shd w:val="clear" w:color="auto" w:fill="auto"/>
                  <w:noWrap w:val="0"/>
                  <w:vAlign w:val="center"/>
                </w:tcPr>
                <w:p w14:paraId="626A9387">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rPr>
                    <w:t>0m×</w:t>
                  </w:r>
                  <w:r>
                    <w:rPr>
                      <w:rFonts w:hint="eastAsia" w:cs="Times New Roman"/>
                      <w:color w:val="auto"/>
                      <w:sz w:val="21"/>
                      <w:szCs w:val="21"/>
                      <w:lang w:val="en-US" w:eastAsia="zh-CN"/>
                    </w:rPr>
                    <w:t>30</w:t>
                  </w:r>
                  <w:r>
                    <w:rPr>
                      <w:rFonts w:hint="default" w:ascii="Times New Roman" w:hAnsi="Times New Roman" w:eastAsia="宋体" w:cs="Times New Roman"/>
                      <w:color w:val="auto"/>
                      <w:sz w:val="21"/>
                      <w:szCs w:val="21"/>
                    </w:rPr>
                    <w:t>m，密闭</w:t>
                  </w:r>
                  <w:r>
                    <w:rPr>
                      <w:rFonts w:hint="eastAsia" w:cs="Times New Roman"/>
                      <w:color w:val="auto"/>
                      <w:sz w:val="21"/>
                      <w:szCs w:val="21"/>
                      <w:lang w:val="en-US" w:eastAsia="zh-CN"/>
                    </w:rPr>
                    <w:t>储库</w:t>
                  </w:r>
                  <w:r>
                    <w:rPr>
                      <w:rFonts w:hint="default" w:ascii="Times New Roman" w:hAnsi="Times New Roman" w:eastAsia="宋体" w:cs="Times New Roman"/>
                      <w:color w:val="auto"/>
                      <w:sz w:val="21"/>
                      <w:szCs w:val="21"/>
                    </w:rPr>
                    <w:t>，进行分区改造，用于</w:t>
                  </w:r>
                  <w:r>
                    <w:rPr>
                      <w:rFonts w:hint="eastAsia" w:cs="Times New Roman"/>
                      <w:color w:val="auto"/>
                      <w:sz w:val="21"/>
                      <w:szCs w:val="21"/>
                      <w:lang w:val="en-US" w:eastAsia="zh-CN"/>
                    </w:rPr>
                    <w:t>替代燃料（</w:t>
                  </w:r>
                  <w:r>
                    <w:rPr>
                      <w:rFonts w:hint="default" w:ascii="Times New Roman" w:hAnsi="Times New Roman" w:eastAsia="宋体" w:cs="Times New Roman"/>
                      <w:color w:val="auto"/>
                      <w:sz w:val="21"/>
                      <w:szCs w:val="21"/>
                    </w:rPr>
                    <w:t>废纺、废塑料、废橡胶、废皮革、</w:t>
                  </w:r>
                  <w:r>
                    <w:rPr>
                      <w:rFonts w:hint="eastAsia" w:cs="Times New Roman"/>
                      <w:color w:val="auto"/>
                      <w:sz w:val="21"/>
                      <w:szCs w:val="21"/>
                      <w:lang w:val="en-US" w:eastAsia="zh-CN"/>
                    </w:rPr>
                    <w:t>RDF</w:t>
                  </w:r>
                  <w:r>
                    <w:rPr>
                      <w:rFonts w:hint="default" w:ascii="Times New Roman" w:hAnsi="Times New Roman" w:eastAsia="宋体" w:cs="Times New Roman"/>
                      <w:color w:val="auto"/>
                      <w:sz w:val="21"/>
                      <w:szCs w:val="21"/>
                    </w:rPr>
                    <w:t>、生物质燃料</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炭黑</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的</w:t>
                  </w:r>
                  <w:r>
                    <w:rPr>
                      <w:rFonts w:hint="eastAsia" w:cs="Times New Roman"/>
                      <w:color w:val="auto"/>
                      <w:sz w:val="21"/>
                      <w:szCs w:val="21"/>
                      <w:lang w:val="en-US" w:eastAsia="zh-CN"/>
                    </w:rPr>
                    <w:t>暂存</w:t>
                  </w:r>
                  <w:r>
                    <w:rPr>
                      <w:rFonts w:hint="default" w:ascii="Times New Roman" w:hAnsi="Times New Roman" w:eastAsia="宋体" w:cs="Times New Roman"/>
                      <w:color w:val="auto"/>
                      <w:sz w:val="21"/>
                      <w:szCs w:val="21"/>
                    </w:rPr>
                    <w:t>，同时设置不明性质废物暂存区</w:t>
                  </w:r>
                  <w:r>
                    <w:rPr>
                      <w:rFonts w:hint="eastAsia" w:ascii="Times New Roman" w:hAnsi="Times New Roman" w:cs="Times New Roman"/>
                      <w:color w:val="auto"/>
                      <w:sz w:val="21"/>
                      <w:szCs w:val="21"/>
                      <w:lang w:eastAsia="zh-CN"/>
                    </w:rPr>
                    <w:t>。</w:t>
                  </w:r>
                </w:p>
              </w:tc>
              <w:tc>
                <w:tcPr>
                  <w:tcW w:w="845" w:type="pct"/>
                  <w:tcBorders>
                    <w:tl2br w:val="nil"/>
                    <w:tr2bl w:val="nil"/>
                  </w:tcBorders>
                  <w:shd w:val="clear" w:color="auto" w:fill="auto"/>
                  <w:noWrap w:val="0"/>
                  <w:vAlign w:val="center"/>
                </w:tcPr>
                <w:p w14:paraId="6B09D3F8">
                  <w:pPr>
                    <w:pStyle w:val="46"/>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r>
                    <w:rPr>
                      <w:rFonts w:hint="eastAsia" w:cs="Times New Roman"/>
                      <w:color w:val="auto"/>
                      <w:sz w:val="21"/>
                      <w:szCs w:val="21"/>
                      <w:lang w:eastAsia="zh-CN"/>
                    </w:rPr>
                    <w:t>（</w:t>
                  </w:r>
                  <w:r>
                    <w:rPr>
                      <w:rFonts w:hint="eastAsia" w:cs="Times New Roman"/>
                      <w:color w:val="auto"/>
                      <w:sz w:val="21"/>
                      <w:szCs w:val="21"/>
                      <w:lang w:val="en-US" w:eastAsia="zh-CN"/>
                    </w:rPr>
                    <w:t>海螺环保</w:t>
                  </w:r>
                  <w:r>
                    <w:rPr>
                      <w:rFonts w:hint="eastAsia" w:cs="Times New Roman"/>
                      <w:color w:val="auto"/>
                      <w:sz w:val="21"/>
                      <w:szCs w:val="21"/>
                      <w:lang w:eastAsia="zh-CN"/>
                    </w:rPr>
                    <w:t>）</w:t>
                  </w:r>
                </w:p>
              </w:tc>
            </w:tr>
            <w:tr w14:paraId="27033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402" w:type="pct"/>
                  <w:vMerge w:val="continue"/>
                  <w:tcBorders>
                    <w:tl2br w:val="nil"/>
                    <w:tr2bl w:val="nil"/>
                  </w:tcBorders>
                  <w:noWrap w:val="0"/>
                  <w:vAlign w:val="center"/>
                </w:tcPr>
                <w:p w14:paraId="2CE40009">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430E485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煤粉仓（MF0175）</w:t>
                  </w:r>
                </w:p>
              </w:tc>
              <w:tc>
                <w:tcPr>
                  <w:tcW w:w="2961" w:type="pct"/>
                  <w:tcBorders>
                    <w:tl2br w:val="nil"/>
                    <w:tr2bl w:val="nil"/>
                  </w:tcBorders>
                  <w:shd w:val="clear" w:color="auto" w:fill="auto"/>
                  <w:noWrap w:val="0"/>
                  <w:vAlign w:val="center"/>
                </w:tcPr>
                <w:p w14:paraId="3A7D4302">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储量70吨，密闭筒仓，用于替代燃料飞灰（煤灰）的暂存</w:t>
                  </w:r>
                </w:p>
              </w:tc>
              <w:tc>
                <w:tcPr>
                  <w:tcW w:w="845" w:type="pct"/>
                  <w:tcBorders>
                    <w:tl2br w:val="nil"/>
                    <w:tr2bl w:val="nil"/>
                  </w:tcBorders>
                  <w:shd w:val="clear" w:color="auto" w:fill="auto"/>
                  <w:noWrap w:val="0"/>
                  <w:vAlign w:val="center"/>
                </w:tcPr>
                <w:p w14:paraId="77A35CB8">
                  <w:pPr>
                    <w:pStyle w:val="46"/>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依托</w:t>
                  </w:r>
                  <w:r>
                    <w:rPr>
                      <w:rFonts w:hint="default" w:ascii="Times New Roman" w:hAnsi="Times New Roman" w:cs="Times New Roman"/>
                      <w:color w:val="auto"/>
                      <w:sz w:val="21"/>
                      <w:szCs w:val="21"/>
                    </w:rPr>
                    <w:t>现有</w:t>
                  </w:r>
                </w:p>
              </w:tc>
            </w:tr>
            <w:tr w14:paraId="69D07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402" w:type="pct"/>
                  <w:vMerge w:val="continue"/>
                  <w:tcBorders>
                    <w:tl2br w:val="nil"/>
                    <w:tr2bl w:val="nil"/>
                  </w:tcBorders>
                  <w:noWrap w:val="0"/>
                  <w:vAlign w:val="center"/>
                </w:tcPr>
                <w:p w14:paraId="120D18A5">
                  <w:pPr>
                    <w:pStyle w:val="46"/>
                    <w:spacing w:line="240" w:lineRule="auto"/>
                    <w:rPr>
                      <w:rFonts w:hint="default" w:ascii="Times New Roman" w:hAnsi="Times New Roman" w:cs="Times New Roman"/>
                      <w:color w:val="auto"/>
                      <w:sz w:val="21"/>
                      <w:szCs w:val="21"/>
                      <w:lang w:val="en-US" w:eastAsia="zh-CN"/>
                    </w:rPr>
                  </w:pPr>
                </w:p>
              </w:tc>
              <w:tc>
                <w:tcPr>
                  <w:tcW w:w="790" w:type="pct"/>
                  <w:tcBorders>
                    <w:tl2br w:val="nil"/>
                    <w:tr2bl w:val="nil"/>
                  </w:tcBorders>
                  <w:shd w:val="clear" w:color="auto" w:fill="auto"/>
                  <w:noWrap w:val="0"/>
                  <w:vAlign w:val="center"/>
                </w:tcPr>
                <w:p w14:paraId="13E97649">
                  <w:pPr>
                    <w:spacing w:line="240" w:lineRule="auto"/>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运输</w:t>
                  </w:r>
                </w:p>
              </w:tc>
              <w:tc>
                <w:tcPr>
                  <w:tcW w:w="2961" w:type="pct"/>
                  <w:tcBorders>
                    <w:tl2br w:val="nil"/>
                    <w:tr2bl w:val="nil"/>
                  </w:tcBorders>
                  <w:shd w:val="clear" w:color="auto" w:fill="auto"/>
                  <w:noWrap w:val="0"/>
                  <w:vAlign w:val="center"/>
                </w:tcPr>
                <w:p w14:paraId="422C7D8C">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拟利用固废由转运运输车辆运至厂内，厂外运输由专业运输单位负责运输</w:t>
                  </w:r>
                </w:p>
              </w:tc>
              <w:tc>
                <w:tcPr>
                  <w:tcW w:w="845" w:type="pct"/>
                  <w:tcBorders>
                    <w:tl2br w:val="nil"/>
                    <w:tr2bl w:val="nil"/>
                  </w:tcBorders>
                  <w:shd w:val="clear" w:color="auto" w:fill="auto"/>
                  <w:noWrap w:val="0"/>
                  <w:vAlign w:val="center"/>
                </w:tcPr>
                <w:p w14:paraId="50774B3C">
                  <w:pPr>
                    <w:pStyle w:val="46"/>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r>
            <w:tr w14:paraId="3F780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402" w:type="pct"/>
                  <w:vMerge w:val="restart"/>
                  <w:tcBorders>
                    <w:tl2br w:val="nil"/>
                    <w:tr2bl w:val="nil"/>
                  </w:tcBorders>
                  <w:noWrap w:val="0"/>
                  <w:vAlign w:val="center"/>
                </w:tcPr>
                <w:p w14:paraId="78184A8B">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公用工程</w:t>
                  </w:r>
                </w:p>
              </w:tc>
              <w:tc>
                <w:tcPr>
                  <w:tcW w:w="790" w:type="pct"/>
                  <w:tcBorders>
                    <w:tl2br w:val="nil"/>
                    <w:tr2bl w:val="nil"/>
                  </w:tcBorders>
                  <w:noWrap w:val="0"/>
                  <w:vAlign w:val="center"/>
                </w:tcPr>
                <w:p w14:paraId="44B7F50B">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2961" w:type="pct"/>
                  <w:tcBorders>
                    <w:tl2br w:val="nil"/>
                    <w:tr2bl w:val="nil"/>
                  </w:tcBorders>
                  <w:noWrap w:val="0"/>
                  <w:vAlign w:val="center"/>
                </w:tcPr>
                <w:p w14:paraId="26F8971E">
                  <w:pPr>
                    <w:pStyle w:val="46"/>
                    <w:spacing w:line="240" w:lineRule="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依托厂区现有供电设施</w:t>
                  </w:r>
                </w:p>
              </w:tc>
              <w:tc>
                <w:tcPr>
                  <w:tcW w:w="845" w:type="pct"/>
                  <w:tcBorders>
                    <w:tl2br w:val="nil"/>
                    <w:tr2bl w:val="nil"/>
                  </w:tcBorders>
                  <w:noWrap w:val="0"/>
                  <w:vAlign w:val="center"/>
                </w:tcPr>
                <w:p w14:paraId="7C5A4B4E">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25984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6B041EF0">
                  <w:pPr>
                    <w:pStyle w:val="46"/>
                    <w:spacing w:line="240" w:lineRule="auto"/>
                    <w:rPr>
                      <w:rFonts w:hint="default" w:ascii="Times New Roman" w:hAnsi="Times New Roman" w:cs="Times New Roman"/>
                      <w:color w:val="auto"/>
                      <w:sz w:val="21"/>
                      <w:szCs w:val="21"/>
                    </w:rPr>
                  </w:pPr>
                </w:p>
              </w:tc>
              <w:tc>
                <w:tcPr>
                  <w:tcW w:w="790" w:type="pct"/>
                  <w:tcBorders>
                    <w:tl2br w:val="nil"/>
                    <w:tr2bl w:val="nil"/>
                  </w:tcBorders>
                  <w:noWrap w:val="0"/>
                  <w:vAlign w:val="center"/>
                </w:tcPr>
                <w:p w14:paraId="01544CAB">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给水</w:t>
                  </w:r>
                </w:p>
              </w:tc>
              <w:tc>
                <w:tcPr>
                  <w:tcW w:w="2961" w:type="pct"/>
                  <w:tcBorders>
                    <w:tl2br w:val="nil"/>
                    <w:tr2bl w:val="nil"/>
                  </w:tcBorders>
                  <w:noWrap w:val="0"/>
                  <w:vAlign w:val="center"/>
                </w:tcPr>
                <w:p w14:paraId="29E23A0F">
                  <w:pPr>
                    <w:pStyle w:val="46"/>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依托厂区现有</w:t>
                  </w:r>
                  <w:r>
                    <w:rPr>
                      <w:rFonts w:hint="default" w:ascii="Times New Roman" w:hAnsi="Times New Roman" w:cs="Times New Roman"/>
                      <w:color w:val="auto"/>
                      <w:sz w:val="21"/>
                      <w:szCs w:val="21"/>
                    </w:rPr>
                    <w:t>供水管网</w:t>
                  </w:r>
                </w:p>
              </w:tc>
              <w:tc>
                <w:tcPr>
                  <w:tcW w:w="845" w:type="pct"/>
                  <w:tcBorders>
                    <w:tl2br w:val="nil"/>
                    <w:tr2bl w:val="nil"/>
                  </w:tcBorders>
                  <w:noWrap w:val="0"/>
                  <w:vAlign w:val="center"/>
                </w:tcPr>
                <w:p w14:paraId="2AECD5C3">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3CE33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4935069E">
                  <w:pPr>
                    <w:pStyle w:val="46"/>
                    <w:spacing w:line="240" w:lineRule="auto"/>
                    <w:rPr>
                      <w:rFonts w:hint="default" w:ascii="Times New Roman" w:hAnsi="Times New Roman" w:cs="Times New Roman"/>
                      <w:color w:val="auto"/>
                      <w:sz w:val="21"/>
                      <w:szCs w:val="21"/>
                    </w:rPr>
                  </w:pPr>
                </w:p>
              </w:tc>
              <w:tc>
                <w:tcPr>
                  <w:tcW w:w="790" w:type="pct"/>
                  <w:tcBorders>
                    <w:tl2br w:val="nil"/>
                    <w:tr2bl w:val="nil"/>
                  </w:tcBorders>
                  <w:noWrap w:val="0"/>
                  <w:vAlign w:val="center"/>
                </w:tcPr>
                <w:p w14:paraId="4BD174AB">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2961" w:type="pct"/>
                  <w:tcBorders>
                    <w:tl2br w:val="nil"/>
                    <w:tr2bl w:val="nil"/>
                  </w:tcBorders>
                  <w:noWrap w:val="0"/>
                  <w:vAlign w:val="center"/>
                </w:tcPr>
                <w:p w14:paraId="47443F77">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排水采用雨污分流制。</w:t>
                  </w:r>
                  <w:r>
                    <w:rPr>
                      <w:rFonts w:hint="eastAsia" w:cs="Times New Roman"/>
                      <w:color w:val="auto"/>
                      <w:sz w:val="21"/>
                      <w:szCs w:val="21"/>
                      <w:lang w:val="en-US" w:eastAsia="zh-CN"/>
                    </w:rPr>
                    <w:t>项目无新增废水。</w:t>
                  </w:r>
                </w:p>
              </w:tc>
              <w:tc>
                <w:tcPr>
                  <w:tcW w:w="845" w:type="pct"/>
                  <w:tcBorders>
                    <w:tl2br w:val="nil"/>
                    <w:tr2bl w:val="nil"/>
                  </w:tcBorders>
                  <w:noWrap w:val="0"/>
                  <w:vAlign w:val="center"/>
                </w:tcPr>
                <w:p w14:paraId="65A1F0D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6409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restart"/>
                  <w:tcBorders>
                    <w:tl2br w:val="nil"/>
                    <w:tr2bl w:val="nil"/>
                  </w:tcBorders>
                  <w:noWrap w:val="0"/>
                  <w:vAlign w:val="center"/>
                </w:tcPr>
                <w:p w14:paraId="584020C0">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790" w:type="pct"/>
                  <w:vMerge w:val="restart"/>
                  <w:tcBorders>
                    <w:tl2br w:val="nil"/>
                    <w:tr2bl w:val="nil"/>
                  </w:tcBorders>
                  <w:noWrap w:val="0"/>
                  <w:vAlign w:val="center"/>
                </w:tcPr>
                <w:p w14:paraId="5B6C0D2C">
                  <w:pPr>
                    <w:pStyle w:val="46"/>
                    <w:spacing w:line="240" w:lineRule="auto"/>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废气治理</w:t>
                  </w:r>
                </w:p>
              </w:tc>
              <w:tc>
                <w:tcPr>
                  <w:tcW w:w="2961" w:type="pct"/>
                  <w:tcBorders>
                    <w:tl2br w:val="nil"/>
                    <w:tr2bl w:val="nil"/>
                  </w:tcBorders>
                  <w:noWrap w:val="0"/>
                  <w:vAlign w:val="center"/>
                </w:tcPr>
                <w:p w14:paraId="487C26C8">
                  <w:pPr>
                    <w:pStyle w:val="46"/>
                    <w:spacing w:line="24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窑尾烟气依托现有“低氮燃烧+高温+碱性环境+SCR+袋式除尘器”处理后，通过现有105m高排气筒DA027排放。</w:t>
                  </w:r>
                </w:p>
              </w:tc>
              <w:tc>
                <w:tcPr>
                  <w:tcW w:w="845" w:type="pct"/>
                  <w:tcBorders>
                    <w:tl2br w:val="nil"/>
                    <w:tr2bl w:val="nil"/>
                  </w:tcBorders>
                  <w:noWrap w:val="0"/>
                  <w:vAlign w:val="center"/>
                </w:tcPr>
                <w:p w14:paraId="6D025D26">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依托现有</w:t>
                  </w:r>
                </w:p>
              </w:tc>
            </w:tr>
            <w:tr w14:paraId="6AC1D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2" w:type="pct"/>
                  <w:vMerge w:val="continue"/>
                  <w:tcBorders>
                    <w:tl2br w:val="nil"/>
                    <w:tr2bl w:val="nil"/>
                  </w:tcBorders>
                  <w:noWrap w:val="0"/>
                  <w:vAlign w:val="center"/>
                </w:tcPr>
                <w:p w14:paraId="58A8E86E">
                  <w:pPr>
                    <w:pStyle w:val="46"/>
                    <w:spacing w:line="240" w:lineRule="auto"/>
                    <w:rPr>
                      <w:rFonts w:hint="default" w:ascii="Times New Roman" w:hAnsi="Times New Roman" w:cs="Times New Roman"/>
                      <w:color w:val="auto"/>
                      <w:sz w:val="21"/>
                      <w:szCs w:val="21"/>
                    </w:rPr>
                  </w:pPr>
                </w:p>
              </w:tc>
              <w:tc>
                <w:tcPr>
                  <w:tcW w:w="790" w:type="pct"/>
                  <w:vMerge w:val="continue"/>
                  <w:tcBorders>
                    <w:tl2br w:val="nil"/>
                    <w:tr2bl w:val="nil"/>
                  </w:tcBorders>
                  <w:noWrap w:val="0"/>
                  <w:vAlign w:val="center"/>
                </w:tcPr>
                <w:p w14:paraId="01823385">
                  <w:pPr>
                    <w:pStyle w:val="46"/>
                    <w:spacing w:line="240" w:lineRule="auto"/>
                    <w:rPr>
                      <w:rFonts w:hint="default" w:ascii="Times New Roman" w:hAnsi="Times New Roman" w:cs="Times New Roman"/>
                      <w:color w:val="auto"/>
                      <w:sz w:val="21"/>
                      <w:szCs w:val="21"/>
                    </w:rPr>
                  </w:pPr>
                </w:p>
              </w:tc>
              <w:tc>
                <w:tcPr>
                  <w:tcW w:w="2961" w:type="pct"/>
                  <w:tcBorders>
                    <w:tl2br w:val="nil"/>
                    <w:tr2bl w:val="nil"/>
                  </w:tcBorders>
                  <w:noWrap w:val="0"/>
                  <w:vAlign w:val="center"/>
                </w:tcPr>
                <w:p w14:paraId="115F4F58">
                  <w:pPr>
                    <w:pStyle w:val="46"/>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联合储库</w:t>
                  </w:r>
                  <w:r>
                    <w:rPr>
                      <w:rFonts w:hint="eastAsia" w:cs="Times New Roman"/>
                      <w:color w:val="auto"/>
                      <w:sz w:val="21"/>
                      <w:szCs w:val="21"/>
                      <w:lang w:val="en-US" w:eastAsia="zh-CN"/>
                    </w:rPr>
                    <w:t>内替代原料暂存、输送粉尘由产尘点配套袋式除尘器处理后分别经15</w:t>
                  </w:r>
                  <w:r>
                    <w:rPr>
                      <w:rFonts w:hint="default" w:ascii="Times New Roman" w:hAnsi="Times New Roman" w:cs="Times New Roman"/>
                      <w:color w:val="auto"/>
                      <w:highlight w:val="none"/>
                      <w:lang w:val="en-US" w:eastAsia="zh-CN"/>
                    </w:rPr>
                    <w:t>m高</w:t>
                  </w:r>
                  <w:r>
                    <w:rPr>
                      <w:rFonts w:hint="eastAsia" w:cs="Times New Roman"/>
                      <w:color w:val="auto"/>
                      <w:highlight w:val="none"/>
                      <w:lang w:val="en-US" w:eastAsia="zh-CN"/>
                    </w:rPr>
                    <w:t>排气筒DA131、DA133、DA134、DA135排放。</w:t>
                  </w:r>
                </w:p>
              </w:tc>
              <w:tc>
                <w:tcPr>
                  <w:tcW w:w="845" w:type="pct"/>
                  <w:tcBorders>
                    <w:tl2br w:val="nil"/>
                    <w:tr2bl w:val="nil"/>
                  </w:tcBorders>
                  <w:noWrap w:val="0"/>
                  <w:vAlign w:val="center"/>
                </w:tcPr>
                <w:p w14:paraId="5A55364F">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13CC9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2" w:type="pct"/>
                  <w:vMerge w:val="continue"/>
                  <w:tcBorders>
                    <w:tl2br w:val="nil"/>
                    <w:tr2bl w:val="nil"/>
                  </w:tcBorders>
                  <w:noWrap w:val="0"/>
                  <w:vAlign w:val="center"/>
                </w:tcPr>
                <w:p w14:paraId="4C5CDBE1">
                  <w:pPr>
                    <w:pStyle w:val="46"/>
                    <w:spacing w:line="240" w:lineRule="auto"/>
                    <w:rPr>
                      <w:rFonts w:hint="default" w:ascii="Times New Roman" w:hAnsi="Times New Roman" w:cs="Times New Roman"/>
                      <w:color w:val="auto"/>
                      <w:sz w:val="21"/>
                      <w:szCs w:val="21"/>
                    </w:rPr>
                  </w:pPr>
                </w:p>
              </w:tc>
              <w:tc>
                <w:tcPr>
                  <w:tcW w:w="790" w:type="pct"/>
                  <w:vMerge w:val="continue"/>
                  <w:tcBorders>
                    <w:tl2br w:val="nil"/>
                    <w:tr2bl w:val="nil"/>
                  </w:tcBorders>
                  <w:noWrap w:val="0"/>
                  <w:vAlign w:val="center"/>
                </w:tcPr>
                <w:p w14:paraId="6A2573FB">
                  <w:pPr>
                    <w:pStyle w:val="46"/>
                    <w:spacing w:line="240" w:lineRule="auto"/>
                    <w:rPr>
                      <w:rFonts w:hint="default" w:ascii="Times New Roman" w:hAnsi="Times New Roman" w:cs="Times New Roman"/>
                      <w:color w:val="auto"/>
                      <w:sz w:val="21"/>
                      <w:szCs w:val="21"/>
                    </w:rPr>
                  </w:pPr>
                </w:p>
              </w:tc>
              <w:tc>
                <w:tcPr>
                  <w:tcW w:w="2961" w:type="pct"/>
                  <w:tcBorders>
                    <w:tl2br w:val="nil"/>
                    <w:tr2bl w:val="nil"/>
                  </w:tcBorders>
                  <w:noWrap w:val="0"/>
                  <w:vAlign w:val="center"/>
                </w:tcPr>
                <w:p w14:paraId="49D1ED39">
                  <w:pPr>
                    <w:pStyle w:val="46"/>
                    <w:spacing w:line="240" w:lineRule="auto"/>
                    <w:jc w:val="both"/>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辅材堆</w:t>
                  </w:r>
                  <w:r>
                    <w:rPr>
                      <w:rFonts w:hint="eastAsia" w:ascii="Times New Roman" w:hAnsi="Times New Roman" w:cs="Times New Roman"/>
                      <w:color w:val="auto"/>
                      <w:sz w:val="21"/>
                      <w:szCs w:val="21"/>
                      <w:lang w:val="en-US" w:eastAsia="zh-CN"/>
                    </w:rPr>
                    <w:t>棚</w:t>
                  </w:r>
                  <w:r>
                    <w:rPr>
                      <w:rFonts w:hint="eastAsia" w:cs="Times New Roman"/>
                      <w:color w:val="auto"/>
                      <w:sz w:val="21"/>
                      <w:szCs w:val="21"/>
                      <w:lang w:val="en-US" w:eastAsia="zh-CN"/>
                    </w:rPr>
                    <w:t>内替代混合材暂存、输送粉尘由由产尘点配套袋式除尘器处理后分别经15</w:t>
                  </w:r>
                  <w:r>
                    <w:rPr>
                      <w:rFonts w:hint="default" w:ascii="Times New Roman" w:hAnsi="Times New Roman" w:cs="Times New Roman"/>
                      <w:color w:val="auto"/>
                      <w:highlight w:val="none"/>
                      <w:lang w:val="en-US" w:eastAsia="zh-CN"/>
                    </w:rPr>
                    <w:t>m高</w:t>
                  </w:r>
                  <w:r>
                    <w:rPr>
                      <w:rFonts w:hint="eastAsia" w:cs="Times New Roman"/>
                      <w:color w:val="auto"/>
                      <w:highlight w:val="none"/>
                      <w:lang w:val="en-US" w:eastAsia="zh-CN"/>
                    </w:rPr>
                    <w:t>排气筒DA091、DA132排放。</w:t>
                  </w:r>
                </w:p>
              </w:tc>
              <w:tc>
                <w:tcPr>
                  <w:tcW w:w="845" w:type="pct"/>
                  <w:tcBorders>
                    <w:tl2br w:val="nil"/>
                    <w:tr2bl w:val="nil"/>
                  </w:tcBorders>
                  <w:noWrap w:val="0"/>
                  <w:vAlign w:val="center"/>
                </w:tcPr>
                <w:p w14:paraId="30F2792C">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w:t>
                  </w:r>
                </w:p>
              </w:tc>
            </w:tr>
            <w:tr w14:paraId="5F70A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170AEA81">
                  <w:pPr>
                    <w:pStyle w:val="46"/>
                    <w:spacing w:line="240" w:lineRule="auto"/>
                    <w:rPr>
                      <w:rFonts w:hint="default" w:ascii="Times New Roman" w:hAnsi="Times New Roman" w:cs="Times New Roman"/>
                      <w:color w:val="auto"/>
                      <w:sz w:val="21"/>
                      <w:szCs w:val="21"/>
                    </w:rPr>
                  </w:pPr>
                </w:p>
              </w:tc>
              <w:tc>
                <w:tcPr>
                  <w:tcW w:w="790" w:type="pct"/>
                  <w:vMerge w:val="continue"/>
                  <w:tcBorders>
                    <w:tl2br w:val="nil"/>
                    <w:tr2bl w:val="nil"/>
                  </w:tcBorders>
                  <w:noWrap w:val="0"/>
                  <w:vAlign w:val="center"/>
                </w:tcPr>
                <w:p w14:paraId="1DB2FF15">
                  <w:pPr>
                    <w:pStyle w:val="46"/>
                    <w:spacing w:line="240" w:lineRule="auto"/>
                    <w:rPr>
                      <w:rFonts w:hint="default" w:ascii="Times New Roman" w:hAnsi="Times New Roman" w:cs="Times New Roman"/>
                      <w:color w:val="auto"/>
                      <w:sz w:val="21"/>
                      <w:szCs w:val="21"/>
                    </w:rPr>
                  </w:pPr>
                </w:p>
              </w:tc>
              <w:tc>
                <w:tcPr>
                  <w:tcW w:w="2961" w:type="pct"/>
                  <w:tcBorders>
                    <w:tl2br w:val="nil"/>
                    <w:tr2bl w:val="nil"/>
                  </w:tcBorders>
                  <w:noWrap w:val="0"/>
                  <w:vAlign w:val="center"/>
                </w:tcPr>
                <w:p w14:paraId="65F529A9">
                  <w:pPr>
                    <w:pStyle w:val="46"/>
                    <w:spacing w:line="240" w:lineRule="auto"/>
                    <w:jc w:val="both"/>
                    <w:rPr>
                      <w:rFonts w:hint="default" w:ascii="Times New Roman" w:hAnsi="Times New Roman" w:eastAsia="宋体" w:cs="Times New Roman"/>
                      <w:color w:val="auto"/>
                      <w:sz w:val="21"/>
                      <w:szCs w:val="21"/>
                      <w:lang w:val="en-US"/>
                    </w:rPr>
                  </w:pPr>
                  <w:r>
                    <w:rPr>
                      <w:rFonts w:hint="eastAsia" w:cs="Times New Roman"/>
                      <w:color w:val="auto"/>
                      <w:kern w:val="2"/>
                      <w:sz w:val="21"/>
                      <w:szCs w:val="21"/>
                      <w:lang w:val="en-US" w:eastAsia="zh-CN" w:bidi="ar-SA"/>
                    </w:rPr>
                    <w:t>煤粉仓（MF0175）粉尘由仓顶袋式除尘器处理后经31m</w:t>
                  </w:r>
                  <w:r>
                    <w:rPr>
                      <w:rFonts w:hint="default" w:ascii="Times New Roman" w:hAnsi="Times New Roman" w:cs="Times New Roman"/>
                      <w:color w:val="auto"/>
                      <w:highlight w:val="none"/>
                      <w:lang w:val="en-US" w:eastAsia="zh-CN"/>
                    </w:rPr>
                    <w:t>高</w:t>
                  </w:r>
                  <w:r>
                    <w:rPr>
                      <w:rFonts w:hint="eastAsia" w:cs="Times New Roman"/>
                      <w:color w:val="auto"/>
                      <w:highlight w:val="none"/>
                      <w:lang w:val="en-US" w:eastAsia="zh-CN"/>
                    </w:rPr>
                    <w:t>排气筒DA196排放。</w:t>
                  </w:r>
                </w:p>
              </w:tc>
              <w:tc>
                <w:tcPr>
                  <w:tcW w:w="845" w:type="pct"/>
                  <w:tcBorders>
                    <w:tl2br w:val="nil"/>
                    <w:tr2bl w:val="nil"/>
                  </w:tcBorders>
                  <w:noWrap w:val="0"/>
                  <w:vAlign w:val="center"/>
                </w:tcPr>
                <w:p w14:paraId="73DD1312">
                  <w:pPr>
                    <w:pStyle w:val="46"/>
                    <w:spacing w:line="240" w:lineRule="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依托现有</w:t>
                  </w:r>
                </w:p>
              </w:tc>
            </w:tr>
            <w:tr w14:paraId="431B8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2E26F2C9">
                  <w:pPr>
                    <w:pStyle w:val="46"/>
                    <w:spacing w:line="240" w:lineRule="auto"/>
                    <w:rPr>
                      <w:rFonts w:hint="default" w:ascii="Times New Roman" w:hAnsi="Times New Roman" w:cs="Times New Roman"/>
                      <w:color w:val="auto"/>
                      <w:sz w:val="21"/>
                      <w:szCs w:val="21"/>
                    </w:rPr>
                  </w:pPr>
                </w:p>
              </w:tc>
              <w:tc>
                <w:tcPr>
                  <w:tcW w:w="790" w:type="pct"/>
                  <w:vMerge w:val="continue"/>
                  <w:tcBorders>
                    <w:tl2br w:val="nil"/>
                    <w:tr2bl w:val="nil"/>
                  </w:tcBorders>
                  <w:noWrap w:val="0"/>
                  <w:vAlign w:val="center"/>
                </w:tcPr>
                <w:p w14:paraId="46EC2405">
                  <w:pPr>
                    <w:pStyle w:val="46"/>
                    <w:spacing w:line="240" w:lineRule="auto"/>
                    <w:rPr>
                      <w:rFonts w:hint="default" w:ascii="Times New Roman" w:hAnsi="Times New Roman" w:cs="Times New Roman"/>
                      <w:color w:val="auto"/>
                      <w:sz w:val="21"/>
                      <w:szCs w:val="21"/>
                    </w:rPr>
                  </w:pPr>
                </w:p>
              </w:tc>
              <w:tc>
                <w:tcPr>
                  <w:tcW w:w="2961" w:type="pct"/>
                  <w:tcBorders>
                    <w:tl2br w:val="nil"/>
                    <w:tr2bl w:val="nil"/>
                  </w:tcBorders>
                  <w:shd w:val="clear" w:color="auto" w:fill="auto"/>
                  <w:noWrap w:val="0"/>
                  <w:vAlign w:val="center"/>
                </w:tcPr>
                <w:p w14:paraId="7F94D181">
                  <w:pPr>
                    <w:pStyle w:val="46"/>
                    <w:spacing w:line="240" w:lineRule="auto"/>
                    <w:jc w:val="both"/>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固废暂存间II</w:t>
                  </w:r>
                  <w:r>
                    <w:rPr>
                      <w:rFonts w:hint="eastAsia" w:cs="Times New Roman"/>
                      <w:color w:val="auto"/>
                      <w:kern w:val="2"/>
                      <w:sz w:val="21"/>
                      <w:szCs w:val="21"/>
                      <w:lang w:val="en-US" w:eastAsia="zh-CN" w:bidi="ar-SA"/>
                    </w:rPr>
                    <w:t>内替代燃料</w:t>
                  </w:r>
                  <w:r>
                    <w:rPr>
                      <w:rFonts w:hint="eastAsia" w:cs="Times New Roman"/>
                      <w:color w:val="auto"/>
                      <w:sz w:val="21"/>
                      <w:szCs w:val="21"/>
                      <w:lang w:val="en-US" w:eastAsia="zh-CN"/>
                    </w:rPr>
                    <w:t>暂存、输送</w:t>
                  </w:r>
                  <w:r>
                    <w:rPr>
                      <w:rFonts w:hint="default" w:ascii="Times New Roman" w:hAnsi="Times New Roman" w:cs="Times New Roman"/>
                      <w:color w:val="auto"/>
                      <w:highlight w:val="none"/>
                      <w:lang w:val="en-US" w:eastAsia="zh-CN"/>
                    </w:rPr>
                    <w:t>粉尘</w:t>
                  </w:r>
                  <w:r>
                    <w:rPr>
                      <w:rFonts w:hint="eastAsia" w:cs="Times New Roman"/>
                      <w:color w:val="auto"/>
                      <w:highlight w:val="none"/>
                      <w:lang w:val="en-US" w:eastAsia="zh-CN"/>
                    </w:rPr>
                    <w:t>由一套鼓式</w:t>
                  </w:r>
                  <w:r>
                    <w:rPr>
                      <w:rFonts w:hint="default" w:ascii="Times New Roman" w:hAnsi="Times New Roman" w:cs="Times New Roman"/>
                      <w:color w:val="auto"/>
                      <w:highlight w:val="none"/>
                      <w:lang w:val="en-US" w:eastAsia="zh-CN"/>
                    </w:rPr>
                    <w:t>除尘器处理后</w:t>
                  </w:r>
                  <w:r>
                    <w:rPr>
                      <w:rFonts w:hint="eastAsia" w:cs="Times New Roman"/>
                      <w:color w:val="auto"/>
                      <w:highlight w:val="none"/>
                      <w:lang w:val="en-US" w:eastAsia="zh-CN"/>
                    </w:rPr>
                    <w:t>经15.8</w:t>
                  </w:r>
                  <w:r>
                    <w:rPr>
                      <w:rFonts w:hint="default" w:ascii="Times New Roman" w:hAnsi="Times New Roman" w:cs="Times New Roman"/>
                      <w:color w:val="auto"/>
                      <w:highlight w:val="none"/>
                      <w:lang w:val="en-US" w:eastAsia="zh-CN"/>
                    </w:rPr>
                    <w:t>m高排气筒</w:t>
                  </w:r>
                  <w:r>
                    <w:rPr>
                      <w:rFonts w:hint="eastAsia" w:cs="Times New Roman"/>
                      <w:color w:val="auto"/>
                      <w:highlight w:val="none"/>
                      <w:lang w:val="en-US" w:eastAsia="zh-CN"/>
                    </w:rPr>
                    <w:t>DA003</w:t>
                  </w:r>
                  <w:r>
                    <w:rPr>
                      <w:rFonts w:hint="default" w:ascii="Times New Roman" w:hAnsi="Times New Roman" w:cs="Times New Roman"/>
                      <w:color w:val="auto"/>
                      <w:highlight w:val="none"/>
                      <w:lang w:val="en-US" w:eastAsia="zh-CN"/>
                    </w:rPr>
                    <w:t>排放。</w:t>
                  </w:r>
                </w:p>
              </w:tc>
              <w:tc>
                <w:tcPr>
                  <w:tcW w:w="845" w:type="pct"/>
                  <w:tcBorders>
                    <w:tl2br w:val="nil"/>
                    <w:tr2bl w:val="nil"/>
                  </w:tcBorders>
                  <w:shd w:val="clear" w:color="auto" w:fill="auto"/>
                  <w:noWrap w:val="0"/>
                  <w:vAlign w:val="center"/>
                </w:tcPr>
                <w:p w14:paraId="62217167">
                  <w:pPr>
                    <w:pStyle w:val="46"/>
                    <w:spacing w:line="240" w:lineRule="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依托现有</w:t>
                  </w:r>
                  <w:r>
                    <w:rPr>
                      <w:rFonts w:hint="eastAsia" w:cs="Times New Roman"/>
                      <w:color w:val="auto"/>
                      <w:sz w:val="21"/>
                      <w:szCs w:val="21"/>
                      <w:lang w:eastAsia="zh-CN"/>
                    </w:rPr>
                    <w:t>（</w:t>
                  </w:r>
                  <w:r>
                    <w:rPr>
                      <w:rFonts w:hint="eastAsia" w:cs="Times New Roman"/>
                      <w:color w:val="auto"/>
                      <w:sz w:val="21"/>
                      <w:szCs w:val="21"/>
                      <w:lang w:val="en-US" w:eastAsia="zh-CN"/>
                    </w:rPr>
                    <w:t>海螺环保</w:t>
                  </w:r>
                  <w:r>
                    <w:rPr>
                      <w:rFonts w:hint="eastAsia" w:cs="Times New Roman"/>
                      <w:color w:val="auto"/>
                      <w:sz w:val="21"/>
                      <w:szCs w:val="21"/>
                      <w:lang w:eastAsia="zh-CN"/>
                    </w:rPr>
                    <w:t>）</w:t>
                  </w:r>
                </w:p>
              </w:tc>
            </w:tr>
            <w:tr w14:paraId="3B20D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3D64966F">
                  <w:pPr>
                    <w:pStyle w:val="46"/>
                    <w:spacing w:line="240" w:lineRule="auto"/>
                    <w:rPr>
                      <w:rFonts w:hint="default" w:ascii="Times New Roman" w:hAnsi="Times New Roman" w:cs="Times New Roman"/>
                      <w:color w:val="auto"/>
                      <w:sz w:val="21"/>
                      <w:szCs w:val="21"/>
                    </w:rPr>
                  </w:pPr>
                </w:p>
              </w:tc>
              <w:tc>
                <w:tcPr>
                  <w:tcW w:w="790" w:type="pct"/>
                  <w:tcBorders>
                    <w:tl2br w:val="nil"/>
                    <w:tr2bl w:val="nil"/>
                  </w:tcBorders>
                  <w:noWrap w:val="0"/>
                  <w:vAlign w:val="center"/>
                </w:tcPr>
                <w:p w14:paraId="50492E72">
                  <w:pPr>
                    <w:pStyle w:val="46"/>
                    <w:spacing w:line="240" w:lineRule="auto"/>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废水治理</w:t>
                  </w:r>
                </w:p>
              </w:tc>
              <w:tc>
                <w:tcPr>
                  <w:tcW w:w="2961" w:type="pct"/>
                  <w:tcBorders>
                    <w:tl2br w:val="nil"/>
                    <w:tr2bl w:val="nil"/>
                  </w:tcBorders>
                  <w:noWrap w:val="0"/>
                  <w:vAlign w:val="center"/>
                </w:tcPr>
                <w:p w14:paraId="0E09CB55">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项目无废水产生。</w:t>
                  </w:r>
                </w:p>
              </w:tc>
              <w:tc>
                <w:tcPr>
                  <w:tcW w:w="845" w:type="pct"/>
                  <w:tcBorders>
                    <w:tl2br w:val="nil"/>
                    <w:tr2bl w:val="nil"/>
                  </w:tcBorders>
                  <w:noWrap w:val="0"/>
                  <w:vAlign w:val="center"/>
                </w:tcPr>
                <w:p w14:paraId="6CDE965D">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786B3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751534E6">
                  <w:pPr>
                    <w:pStyle w:val="46"/>
                    <w:spacing w:line="240" w:lineRule="auto"/>
                    <w:rPr>
                      <w:rFonts w:hint="default" w:ascii="Times New Roman" w:hAnsi="Times New Roman" w:cs="Times New Roman"/>
                      <w:color w:val="auto"/>
                      <w:sz w:val="21"/>
                      <w:szCs w:val="21"/>
                    </w:rPr>
                  </w:pPr>
                </w:p>
              </w:tc>
              <w:tc>
                <w:tcPr>
                  <w:tcW w:w="790" w:type="pct"/>
                  <w:tcBorders>
                    <w:tl2br w:val="nil"/>
                    <w:tr2bl w:val="nil"/>
                  </w:tcBorders>
                  <w:noWrap w:val="0"/>
                  <w:vAlign w:val="center"/>
                </w:tcPr>
                <w:p w14:paraId="0F6F6398">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噪声治理</w:t>
                  </w:r>
                </w:p>
              </w:tc>
              <w:tc>
                <w:tcPr>
                  <w:tcW w:w="2961" w:type="pct"/>
                  <w:tcBorders>
                    <w:tl2br w:val="nil"/>
                    <w:tr2bl w:val="nil"/>
                  </w:tcBorders>
                  <w:noWrap w:val="0"/>
                  <w:vAlign w:val="center"/>
                </w:tcPr>
                <w:p w14:paraId="1062DF1C">
                  <w:pPr>
                    <w:pStyle w:val="46"/>
                    <w:spacing w:line="240" w:lineRule="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无新增噪声设备，现有噪声源依托现有</w:t>
                  </w:r>
                  <w:r>
                    <w:rPr>
                      <w:rFonts w:hint="default" w:ascii="Times New Roman" w:hAnsi="Times New Roman" w:cs="Times New Roman"/>
                      <w:color w:val="auto"/>
                      <w:sz w:val="21"/>
                      <w:szCs w:val="21"/>
                    </w:rPr>
                    <w:t>减振、隔声、消声等</w:t>
                  </w:r>
                  <w:r>
                    <w:rPr>
                      <w:rFonts w:hint="eastAsia" w:cs="Times New Roman"/>
                      <w:color w:val="auto"/>
                      <w:sz w:val="21"/>
                      <w:szCs w:val="21"/>
                      <w:lang w:val="en-US" w:eastAsia="zh-CN"/>
                    </w:rPr>
                    <w:t>降噪</w:t>
                  </w:r>
                  <w:r>
                    <w:rPr>
                      <w:rFonts w:hint="default" w:ascii="Times New Roman" w:hAnsi="Times New Roman" w:cs="Times New Roman"/>
                      <w:color w:val="auto"/>
                      <w:sz w:val="21"/>
                      <w:szCs w:val="21"/>
                    </w:rPr>
                    <w:t>措施</w:t>
                  </w:r>
                  <w:r>
                    <w:rPr>
                      <w:rFonts w:hint="eastAsia" w:cs="Times New Roman"/>
                      <w:color w:val="auto"/>
                      <w:sz w:val="21"/>
                      <w:szCs w:val="21"/>
                      <w:lang w:eastAsia="zh-CN"/>
                    </w:rPr>
                    <w:t>。</w:t>
                  </w:r>
                </w:p>
              </w:tc>
              <w:tc>
                <w:tcPr>
                  <w:tcW w:w="845" w:type="pct"/>
                  <w:tcBorders>
                    <w:tl2br w:val="nil"/>
                    <w:tr2bl w:val="nil"/>
                  </w:tcBorders>
                  <w:noWrap w:val="0"/>
                  <w:vAlign w:val="center"/>
                </w:tcPr>
                <w:p w14:paraId="38797877">
                  <w:pPr>
                    <w:pStyle w:val="46"/>
                    <w:spacing w:line="240" w:lineRule="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依托现有</w:t>
                  </w:r>
                </w:p>
              </w:tc>
            </w:tr>
            <w:tr w14:paraId="498EF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2" w:type="pct"/>
                  <w:vMerge w:val="continue"/>
                  <w:tcBorders>
                    <w:tl2br w:val="nil"/>
                    <w:tr2bl w:val="nil"/>
                  </w:tcBorders>
                  <w:noWrap w:val="0"/>
                  <w:vAlign w:val="center"/>
                </w:tcPr>
                <w:p w14:paraId="725D09D4">
                  <w:pPr>
                    <w:pStyle w:val="46"/>
                    <w:spacing w:line="240" w:lineRule="auto"/>
                    <w:rPr>
                      <w:rFonts w:hint="default" w:ascii="Times New Roman" w:hAnsi="Times New Roman" w:cs="Times New Roman"/>
                      <w:color w:val="auto"/>
                      <w:sz w:val="21"/>
                      <w:szCs w:val="21"/>
                    </w:rPr>
                  </w:pPr>
                </w:p>
              </w:tc>
              <w:tc>
                <w:tcPr>
                  <w:tcW w:w="790" w:type="pct"/>
                  <w:tcBorders>
                    <w:tl2br w:val="nil"/>
                    <w:tr2bl w:val="nil"/>
                  </w:tcBorders>
                  <w:noWrap w:val="0"/>
                  <w:vAlign w:val="center"/>
                </w:tcPr>
                <w:p w14:paraId="1B1C6020">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固废治理</w:t>
                  </w:r>
                </w:p>
              </w:tc>
              <w:tc>
                <w:tcPr>
                  <w:tcW w:w="2961" w:type="pct"/>
                  <w:tcBorders>
                    <w:tl2br w:val="nil"/>
                    <w:tr2bl w:val="nil"/>
                  </w:tcBorders>
                  <w:noWrap w:val="0"/>
                  <w:vAlign w:val="center"/>
                </w:tcPr>
                <w:p w14:paraId="7587589D">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bCs/>
                      <w:color w:val="auto"/>
                      <w:sz w:val="21"/>
                      <w:szCs w:val="21"/>
                      <w:lang w:val="en-US" w:eastAsia="zh-CN"/>
                    </w:rPr>
                    <w:t>一般固废：除尘器收集的粉尘，回用于水泥熟料生产线；危险废物：废机油桶依托现有危废库暂存，委托有资质的单位处置</w:t>
                  </w:r>
                </w:p>
              </w:tc>
              <w:tc>
                <w:tcPr>
                  <w:tcW w:w="845" w:type="pct"/>
                  <w:tcBorders>
                    <w:tl2br w:val="nil"/>
                    <w:tr2bl w:val="nil"/>
                  </w:tcBorders>
                  <w:noWrap w:val="0"/>
                  <w:vAlign w:val="center"/>
                </w:tcPr>
                <w:p w14:paraId="7E480006">
                  <w:pPr>
                    <w:pStyle w:val="46"/>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依托现有</w:t>
                  </w:r>
                </w:p>
              </w:tc>
            </w:tr>
          </w:tbl>
          <w:p w14:paraId="3009C288">
            <w:pPr>
              <w:pStyle w:val="4"/>
              <w:numPr>
                <w:ilvl w:val="0"/>
                <w:numId w:val="0"/>
              </w:numPr>
              <w:bidi w:val="0"/>
              <w:ind w:leftChars="0" w:firstLine="482" w:firstLineChars="200"/>
              <w:rPr>
                <w:rFonts w:hint="default" w:eastAsia="宋体" w:cs="Times New Roman"/>
                <w:b/>
                <w:bCs w:val="0"/>
                <w:color w:val="auto"/>
                <w:lang w:val="en-US" w:eastAsia="zh-CN"/>
              </w:rPr>
            </w:pPr>
            <w:r>
              <w:rPr>
                <w:rFonts w:hint="eastAsia" w:eastAsia="宋体" w:cs="Times New Roman"/>
                <w:b/>
                <w:bCs w:val="0"/>
                <w:color w:val="auto"/>
                <w:lang w:val="en-US" w:eastAsia="zh-CN"/>
              </w:rPr>
              <w:t>项目依托济宁海螺环保现有固废暂存间II及投料设施、环保设施可行性分析：</w:t>
            </w:r>
          </w:p>
          <w:p w14:paraId="01BA3437">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项目依托济宁海螺环保现有固废暂存间II及投料设施、环保设施，并进行分区改造，用于替代燃料（废纺、废塑料、废橡胶、废皮革、RDF、生物质燃料、炭黑）的暂存及投加。</w:t>
            </w:r>
          </w:p>
          <w:p w14:paraId="7844E620">
            <w:pPr>
              <w:pStyle w:val="4"/>
              <w:numPr>
                <w:ilvl w:val="0"/>
                <w:numId w:val="0"/>
              </w:numPr>
              <w:bidi w:val="0"/>
              <w:ind w:leftChars="0" w:firstLine="480" w:firstLineChars="200"/>
              <w:rPr>
                <w:rFonts w:hint="default" w:eastAsia="宋体" w:cs="Times New Roman"/>
                <w:b w:val="0"/>
                <w:bCs/>
                <w:color w:val="auto"/>
                <w:lang w:val="en-US" w:eastAsia="zh-CN"/>
              </w:rPr>
            </w:pPr>
            <w:r>
              <w:rPr>
                <w:rFonts w:hint="eastAsia" w:eastAsia="宋体" w:cs="Times New Roman"/>
                <w:b w:val="0"/>
                <w:bCs/>
                <w:color w:val="auto"/>
                <w:lang w:val="en-US" w:eastAsia="zh-CN"/>
              </w:rPr>
              <w:t>济宁海螺水泥和济宁海螺环保为两家独立法人公司，位于济宁海螺水泥同一厂区内，采用集中运营方式，进行固体废物协同处置，目前已建成固体废物协同处置规模为年处置污染土4万吨、污水处理厂污泥6万吨、危险废物10万吨，年利用RDF替代燃料5万吨。双方具有协同处置、利用固体废物的成熟运营管理经验。</w:t>
            </w:r>
          </w:p>
          <w:p w14:paraId="714F8288">
            <w:pPr>
              <w:pStyle w:val="4"/>
              <w:numPr>
                <w:ilvl w:val="0"/>
                <w:numId w:val="0"/>
              </w:numPr>
              <w:bidi w:val="0"/>
              <w:ind w:leftChars="0" w:firstLine="480" w:firstLineChars="200"/>
              <w:rPr>
                <w:rFonts w:hint="default" w:eastAsia="宋体" w:cs="Times New Roman"/>
                <w:b w:val="0"/>
                <w:bCs/>
                <w:color w:val="auto"/>
                <w:lang w:val="en-US" w:eastAsia="zh-CN"/>
              </w:rPr>
            </w:pPr>
            <w:r>
              <w:rPr>
                <w:rFonts w:hint="eastAsia" w:eastAsia="宋体" w:cs="Times New Roman"/>
                <w:b w:val="0"/>
                <w:bCs/>
                <w:color w:val="auto"/>
                <w:lang w:val="en-US" w:eastAsia="zh-CN"/>
              </w:rPr>
              <w:t>济宁海螺环保</w:t>
            </w:r>
            <w:r>
              <w:rPr>
                <w:rFonts w:hint="default" w:eastAsia="宋体" w:cs="Times New Roman"/>
                <w:b w:val="0"/>
                <w:bCs/>
                <w:color w:val="auto"/>
                <w:lang w:val="en-US" w:eastAsia="zh-CN"/>
              </w:rPr>
              <w:t>固废暂存间II</w:t>
            </w:r>
            <w:r>
              <w:rPr>
                <w:rFonts w:hint="eastAsia" w:eastAsia="宋体" w:cs="Times New Roman"/>
                <w:b w:val="0"/>
                <w:bCs/>
                <w:color w:val="auto"/>
                <w:lang w:val="en-US" w:eastAsia="zh-CN"/>
              </w:rPr>
              <w:t>为单层密闭储库，建筑面积3600m</w:t>
            </w:r>
            <w:r>
              <w:rPr>
                <w:rFonts w:hint="eastAsia" w:eastAsia="宋体" w:cs="Times New Roman"/>
                <w:b w:val="0"/>
                <w:bCs/>
                <w:color w:val="auto"/>
                <w:vertAlign w:val="superscript"/>
                <w:lang w:val="en-US" w:eastAsia="zh-CN"/>
              </w:rPr>
              <w:t>2</w:t>
            </w:r>
            <w:r>
              <w:rPr>
                <w:rFonts w:hint="eastAsia" w:eastAsia="宋体" w:cs="Times New Roman"/>
                <w:b w:val="0"/>
                <w:bCs/>
                <w:color w:val="auto"/>
                <w:lang w:val="en-US" w:eastAsia="zh-CN"/>
              </w:rPr>
              <w:t>，现状用于替代燃料RDF的存放及投料，拟建项目建成后替代燃料总利用量不变，仍为5万吨/年，进行分区改造后，</w:t>
            </w:r>
            <w:r>
              <w:rPr>
                <w:rFonts w:hint="default" w:eastAsia="宋体" w:cs="Times New Roman"/>
                <w:b w:val="0"/>
                <w:bCs/>
                <w:color w:val="auto"/>
                <w:lang w:val="en-US" w:eastAsia="zh-CN"/>
              </w:rPr>
              <w:t>固废暂存间II</w:t>
            </w:r>
            <w:r>
              <w:rPr>
                <w:rFonts w:hint="eastAsia" w:eastAsia="宋体" w:cs="Times New Roman"/>
                <w:b w:val="0"/>
                <w:bCs/>
                <w:color w:val="auto"/>
                <w:lang w:val="en-US" w:eastAsia="zh-CN"/>
              </w:rPr>
              <w:t>及物料投加系统能够满足本项目需要。</w:t>
            </w:r>
          </w:p>
          <w:p w14:paraId="21AC09E0">
            <w:pPr>
              <w:pStyle w:val="4"/>
              <w:numPr>
                <w:ilvl w:val="0"/>
                <w:numId w:val="0"/>
              </w:numPr>
              <w:bidi w:val="0"/>
              <w:ind w:leftChars="0" w:firstLine="482" w:firstLineChars="200"/>
              <w:rPr>
                <w:rFonts w:hint="default" w:eastAsia="宋体" w:cs="Times New Roman"/>
                <w:b/>
                <w:bCs w:val="0"/>
                <w:color w:val="auto"/>
                <w:lang w:val="en-US" w:eastAsia="zh-CN"/>
              </w:rPr>
            </w:pPr>
            <w:r>
              <w:rPr>
                <w:rFonts w:hint="eastAsia" w:eastAsia="宋体" w:cs="Times New Roman"/>
                <w:b/>
                <w:bCs w:val="0"/>
                <w:color w:val="auto"/>
                <w:lang w:val="en-US" w:eastAsia="zh-CN"/>
              </w:rPr>
              <w:t>济宁海螺水泥与济宁海螺环保的环保责任划分：</w:t>
            </w:r>
          </w:p>
          <w:p w14:paraId="387FDFEC">
            <w:pPr>
              <w:pStyle w:val="4"/>
              <w:numPr>
                <w:ilvl w:val="0"/>
                <w:numId w:val="0"/>
              </w:numPr>
              <w:bidi w:val="0"/>
              <w:ind w:leftChars="0" w:firstLine="480" w:firstLineChars="200"/>
              <w:rPr>
                <w:rFonts w:hint="default" w:eastAsia="宋体" w:cs="Times New Roman"/>
                <w:b w:val="0"/>
                <w:bCs/>
                <w:color w:val="auto"/>
                <w:lang w:val="en-US" w:eastAsia="zh-CN"/>
              </w:rPr>
            </w:pPr>
            <w:r>
              <w:rPr>
                <w:rFonts w:hint="eastAsia" w:eastAsia="宋体" w:cs="Times New Roman"/>
                <w:b w:val="0"/>
                <w:bCs/>
                <w:color w:val="auto"/>
                <w:lang w:val="en-US" w:eastAsia="zh-CN"/>
              </w:rPr>
              <w:t>为做好双方关于本项目的环境责任界定，确保规范开展各项环保管理工作，双方进行以下责任与义务的划分约定（见附件）：</w:t>
            </w:r>
          </w:p>
          <w:p w14:paraId="7DFDF613">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1、济宁海螺水泥的责任与义务</w:t>
            </w:r>
          </w:p>
          <w:p w14:paraId="4906E836">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（1）负责济宁海螺一般固废综合利用和原燃材料替代技改项目的设计和建设 ，并按“ 三同时 ”要求对安全 、环保设施进行配套 ，保证设计、建设环节安全、环保设施满足国家及行业管理要求。</w:t>
            </w:r>
          </w:p>
          <w:p w14:paraId="19FE0A75">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（2）负责告知乙方替代燃料使用量，与乙方共同做好替代燃料投加过程摸索及工艺优化，提升替代燃料使用连续性、稳定性。</w:t>
            </w:r>
          </w:p>
          <w:p w14:paraId="4C70759C">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（3）负责替代燃料运输车辆管控，在乙方场地内指定运输车辆专门停放点。</w:t>
            </w:r>
          </w:p>
          <w:p w14:paraId="2006A003">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（4）负责替代燃料采购、质量检测、验收，乙方负责进场卸货及入坑组织。</w:t>
            </w:r>
          </w:p>
          <w:p w14:paraId="38D2A56F">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（5）保障水泥熟料生产线长期稳定运行，确保协同处置固废、替代燃料添加后的废气、废水等污染物排放符合国家环保法规及行业排放标准要求，并按环保部门监管要求开展检测、监测工作。</w:t>
            </w:r>
          </w:p>
          <w:p w14:paraId="7DCB37F6">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2、济宁海螺环保的责任与义务</w:t>
            </w:r>
          </w:p>
          <w:p w14:paraId="0B7E532B">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（1）负责提供替代燃料储库（固废暂存间II）及替代燃料投加系统，并按照甲方要求的替代燃料使用量进行投料运行，系统停机后配合甲方做好输送通道清理工作。</w:t>
            </w:r>
          </w:p>
          <w:p w14:paraId="2EB93A65">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（2）负责替代燃料储存、投加系统等管理工作，并承担为保持替代燃料投加系统稳定运行的日常维护费用和必要的技改费用。</w:t>
            </w:r>
          </w:p>
          <w:p w14:paraId="6A9E9FF8">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（3）配合甲方合理控制替代燃料库存，在库存较低时应及时通知甲方，避免因断料导致停机，确保替代燃料投加使用连续性。</w:t>
            </w:r>
          </w:p>
          <w:p w14:paraId="175847E0">
            <w:pPr>
              <w:pStyle w:val="4"/>
              <w:numPr>
                <w:ilvl w:val="0"/>
                <w:numId w:val="0"/>
              </w:numPr>
              <w:bidi w:val="0"/>
              <w:ind w:leftChars="0" w:firstLine="480" w:firstLineChars="200"/>
              <w:rPr>
                <w:rFonts w:hint="eastAsia" w:eastAsia="宋体" w:cs="Times New Roman"/>
                <w:b w:val="0"/>
                <w:bCs/>
                <w:color w:val="auto"/>
                <w:lang w:val="en-US" w:eastAsia="zh-CN"/>
              </w:rPr>
            </w:pPr>
            <w:r>
              <w:rPr>
                <w:rFonts w:hint="eastAsia" w:eastAsia="宋体" w:cs="Times New Roman"/>
                <w:b w:val="0"/>
                <w:bCs/>
                <w:color w:val="auto"/>
                <w:lang w:val="en-US" w:eastAsia="zh-CN"/>
              </w:rPr>
              <w:t>（4）确保替代燃料储存、投加系统的配套环保设备性能完好，确保废气等污染物排放符合国家环保法规及行业排放标准要求，并按环保部门监管要求开展检测、监测工作。</w:t>
            </w:r>
          </w:p>
          <w:p w14:paraId="32FB9556">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三、产品方案</w:t>
            </w:r>
          </w:p>
          <w:p w14:paraId="7CD34AEF">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项目建设前后，</w:t>
            </w:r>
            <w:r>
              <w:rPr>
                <w:rFonts w:hint="default" w:ascii="Times New Roman" w:hAnsi="Times New Roman" w:cs="Times New Roman"/>
                <w:b w:val="0"/>
                <w:bCs w:val="0"/>
                <w:color w:val="auto"/>
                <w:kern w:val="0"/>
                <w:szCs w:val="24"/>
                <w:lang w:val="en-US" w:eastAsia="zh-CN"/>
              </w:rPr>
              <w:t>济宁海螺水泥有限责任公司水泥窑</w:t>
            </w:r>
            <w:r>
              <w:rPr>
                <w:rFonts w:hint="default" w:ascii="Times New Roman" w:hAnsi="Times New Roman" w:cs="Times New Roman"/>
                <w:color w:val="auto"/>
                <w:sz w:val="24"/>
                <w:szCs w:val="24"/>
                <w:lang w:val="en-US" w:eastAsia="zh-CN"/>
              </w:rPr>
              <w:t>产品产能</w:t>
            </w:r>
            <w:r>
              <w:rPr>
                <w:rFonts w:hint="eastAsia" w:cs="Times New Roman"/>
                <w:color w:val="auto"/>
                <w:sz w:val="24"/>
                <w:szCs w:val="24"/>
                <w:lang w:val="en-US" w:eastAsia="zh-CN"/>
              </w:rPr>
              <w:t>及品质</w:t>
            </w:r>
            <w:r>
              <w:rPr>
                <w:rFonts w:hint="default" w:ascii="Times New Roman" w:hAnsi="Times New Roman" w:cs="Times New Roman"/>
                <w:color w:val="auto"/>
                <w:sz w:val="24"/>
                <w:szCs w:val="24"/>
                <w:lang w:val="en-US" w:eastAsia="zh-CN"/>
              </w:rPr>
              <w:t>均不发生变化，为水泥熟料4500t/d。具体见下表。</w:t>
            </w:r>
          </w:p>
          <w:p w14:paraId="4FFCBFFD">
            <w:pPr>
              <w:adjustRightInd w:val="0"/>
              <w:snapToGrid w:val="0"/>
              <w:spacing w:line="240" w:lineRule="auto"/>
              <w:ind w:firstLine="482" w:firstLineChars="20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表2-3 项目建设前后产品方案一览表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073"/>
              <w:gridCol w:w="1659"/>
              <w:gridCol w:w="1900"/>
              <w:gridCol w:w="2540"/>
            </w:tblGrid>
            <w:tr w14:paraId="20888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1269" w:type="pct"/>
                  <w:tcBorders>
                    <w:tl2br w:val="nil"/>
                    <w:tr2bl w:val="nil"/>
                  </w:tcBorders>
                  <w:noWrap w:val="0"/>
                  <w:vAlign w:val="center"/>
                </w:tcPr>
                <w:p w14:paraId="5E3795C5">
                  <w:pPr>
                    <w:pStyle w:val="43"/>
                    <w:bidi w:val="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生产线</w:t>
                  </w:r>
                </w:p>
              </w:tc>
              <w:tc>
                <w:tcPr>
                  <w:tcW w:w="1015" w:type="pct"/>
                  <w:tcBorders>
                    <w:tl2br w:val="nil"/>
                    <w:tr2bl w:val="nil"/>
                  </w:tcBorders>
                  <w:noWrap w:val="0"/>
                  <w:vAlign w:val="center"/>
                </w:tcPr>
                <w:p w14:paraId="19E9753B">
                  <w:pPr>
                    <w:pStyle w:val="43"/>
                    <w:bidi w:val="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产品名称</w:t>
                  </w:r>
                </w:p>
              </w:tc>
              <w:tc>
                <w:tcPr>
                  <w:tcW w:w="1161" w:type="pct"/>
                  <w:tcBorders>
                    <w:tl2br w:val="nil"/>
                    <w:tr2bl w:val="nil"/>
                  </w:tcBorders>
                  <w:noWrap w:val="0"/>
                  <w:vAlign w:val="center"/>
                </w:tcPr>
                <w:p w14:paraId="425107B6">
                  <w:pPr>
                    <w:pStyle w:val="43"/>
                    <w:bidi w:val="0"/>
                    <w:rPr>
                      <w:rFonts w:hint="default" w:ascii="Times New Roman" w:hAnsi="Times New Roman" w:eastAsia="宋体" w:cs="Times New Roman"/>
                      <w:b/>
                      <w:bCs/>
                      <w:color w:val="auto"/>
                      <w:lang w:val="en-US" w:eastAsia="zh-CN"/>
                    </w:rPr>
                  </w:pPr>
                  <w:r>
                    <w:rPr>
                      <w:rFonts w:hint="eastAsia" w:cs="Times New Roman"/>
                      <w:b/>
                      <w:bCs/>
                      <w:color w:val="auto"/>
                      <w:lang w:val="en-US" w:eastAsia="zh-CN"/>
                    </w:rPr>
                    <w:t>本次技改前</w:t>
                  </w:r>
                  <w:r>
                    <w:rPr>
                      <w:rFonts w:hint="default" w:ascii="Times New Roman" w:hAnsi="Times New Roman" w:cs="Times New Roman"/>
                      <w:b/>
                      <w:bCs/>
                      <w:color w:val="auto"/>
                      <w:lang w:val="en-US" w:eastAsia="zh-CN"/>
                    </w:rPr>
                    <w:t>产能</w:t>
                  </w:r>
                </w:p>
              </w:tc>
              <w:tc>
                <w:tcPr>
                  <w:tcW w:w="1552" w:type="pct"/>
                  <w:tcBorders>
                    <w:tl2br w:val="nil"/>
                    <w:tr2bl w:val="nil"/>
                  </w:tcBorders>
                  <w:noWrap w:val="0"/>
                  <w:vAlign w:val="center"/>
                </w:tcPr>
                <w:p w14:paraId="5CE057B0">
                  <w:pPr>
                    <w:pStyle w:val="43"/>
                    <w:bidi w:val="0"/>
                    <w:rPr>
                      <w:rFonts w:hint="default" w:ascii="Times New Roman" w:hAnsi="Times New Roman" w:eastAsia="宋体" w:cs="Times New Roman"/>
                      <w:b/>
                      <w:bCs/>
                      <w:color w:val="auto"/>
                      <w:lang w:val="en-US" w:eastAsia="zh-CN"/>
                    </w:rPr>
                  </w:pPr>
                  <w:r>
                    <w:rPr>
                      <w:rFonts w:hint="eastAsia" w:cs="Times New Roman"/>
                      <w:b/>
                      <w:bCs/>
                      <w:color w:val="auto"/>
                      <w:lang w:val="en-US" w:eastAsia="zh-CN"/>
                    </w:rPr>
                    <w:t>本次技改后产能</w:t>
                  </w:r>
                </w:p>
              </w:tc>
            </w:tr>
            <w:tr w14:paraId="40E359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1269" w:type="pct"/>
                  <w:tcBorders>
                    <w:tl2br w:val="nil"/>
                    <w:tr2bl w:val="nil"/>
                  </w:tcBorders>
                  <w:noWrap w:val="0"/>
                  <w:vAlign w:val="center"/>
                </w:tcPr>
                <w:p w14:paraId="53422DC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1条4500t/d水泥熟料生产线</w:t>
                  </w:r>
                </w:p>
              </w:tc>
              <w:tc>
                <w:tcPr>
                  <w:tcW w:w="1015" w:type="pct"/>
                  <w:tcBorders>
                    <w:tl2br w:val="nil"/>
                    <w:tr2bl w:val="nil"/>
                  </w:tcBorders>
                  <w:noWrap w:val="0"/>
                  <w:vAlign w:val="center"/>
                </w:tcPr>
                <w:p w14:paraId="2E146D64">
                  <w:pPr>
                    <w:pStyle w:val="43"/>
                    <w:bidi w:val="0"/>
                    <w:rPr>
                      <w:rFonts w:hint="default" w:ascii="Times New Roman" w:hAnsi="Times New Roman" w:cs="Times New Roman"/>
                      <w:color w:val="auto"/>
                      <w:lang w:val="en-US" w:eastAsia="zh-CN"/>
                    </w:rPr>
                  </w:pPr>
                  <w:r>
                    <w:rPr>
                      <w:rFonts w:hint="eastAsia" w:cs="Times New Roman"/>
                      <w:color w:val="auto"/>
                      <w:lang w:val="en-US" w:eastAsia="zh-CN"/>
                    </w:rPr>
                    <w:t>水泥</w:t>
                  </w:r>
                  <w:r>
                    <w:rPr>
                      <w:rFonts w:hint="default" w:ascii="Times New Roman" w:hAnsi="Times New Roman" w:cs="Times New Roman"/>
                      <w:color w:val="auto"/>
                      <w:lang w:val="en-US" w:eastAsia="zh-CN"/>
                    </w:rPr>
                    <w:t>熟料</w:t>
                  </w:r>
                </w:p>
              </w:tc>
              <w:tc>
                <w:tcPr>
                  <w:tcW w:w="1161" w:type="pct"/>
                  <w:tcBorders>
                    <w:tl2br w:val="nil"/>
                    <w:tr2bl w:val="nil"/>
                  </w:tcBorders>
                  <w:noWrap w:val="0"/>
                  <w:vAlign w:val="center"/>
                </w:tcPr>
                <w:p w14:paraId="4E30EB22">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4500t/d</w:t>
                  </w:r>
                </w:p>
              </w:tc>
              <w:tc>
                <w:tcPr>
                  <w:tcW w:w="1552" w:type="pct"/>
                  <w:tcBorders>
                    <w:tl2br w:val="nil"/>
                    <w:tr2bl w:val="nil"/>
                  </w:tcBorders>
                  <w:noWrap w:val="0"/>
                  <w:vAlign w:val="center"/>
                </w:tcPr>
                <w:p w14:paraId="5EB3F740">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4500t/d</w:t>
                  </w:r>
                </w:p>
              </w:tc>
            </w:tr>
          </w:tbl>
          <w:p w14:paraId="659769DD">
            <w:pPr>
              <w:pStyle w:val="4"/>
              <w:pageBreakBefore w:val="0"/>
              <w:widowControl w:val="0"/>
              <w:numPr>
                <w:ilvl w:val="0"/>
                <w:numId w:val="0"/>
              </w:numPr>
              <w:kinsoku/>
              <w:wordWrap/>
              <w:overflowPunct/>
              <w:topLinePunct w:val="0"/>
              <w:autoSpaceDE/>
              <w:autoSpaceDN/>
              <w:bidi w:val="0"/>
              <w:snapToGrid/>
              <w:spacing w:line="360" w:lineRule="auto"/>
              <w:ind w:leftChars="0" w:firstLine="480" w:firstLineChars="200"/>
              <w:textAlignment w:val="auto"/>
              <w:rPr>
                <w:rFonts w:hint="eastAsia"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lang w:val="en-US" w:eastAsia="zh-CN"/>
              </w:rPr>
              <w:t>项目实施后水泥熟料产品满足《硅酸盐水泥熟料》（GB/T21372-2024）标准要求；水泥产品满足《通用硅酸盐水泥》（GB175-2023）标准要求；入窑生料中重金属含量须满足《水泥窑协同处置固体废物技术规范》（GB/T30760-2024）</w:t>
            </w:r>
          </w:p>
          <w:p w14:paraId="27915C4A">
            <w:pPr>
              <w:pStyle w:val="4"/>
              <w:pageBreakBefore w:val="0"/>
              <w:widowControl w:val="0"/>
              <w:numPr>
                <w:ilvl w:val="0"/>
                <w:numId w:val="0"/>
              </w:numPr>
              <w:kinsoku/>
              <w:wordWrap/>
              <w:overflowPunct/>
              <w:topLinePunct w:val="0"/>
              <w:autoSpaceDE/>
              <w:autoSpaceDN/>
              <w:bidi w:val="0"/>
              <w:snapToGrid/>
              <w:spacing w:line="360" w:lineRule="auto"/>
              <w:textAlignment w:val="auto"/>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val="0"/>
                <w:bCs/>
                <w:color w:val="auto"/>
                <w:lang w:val="en-US" w:eastAsia="zh-CN"/>
              </w:rPr>
              <w:t>中表1规定的参考限值，其投加量应满足《水泥窑协同处置固体废物环境保护技术规范》（HJ662-2013）的要求；水泥熟料中重金属元素含量、水泥熟料中可浸出重金属含量值须满足GB/T30760-2024 中表2、3规定的限值</w:t>
            </w:r>
            <w:r>
              <w:rPr>
                <w:rFonts w:hint="eastAsia" w:eastAsia="宋体" w:cs="Times New Roman"/>
                <w:b w:val="0"/>
                <w:bCs/>
                <w:color w:val="auto"/>
                <w:lang w:val="en-US" w:eastAsia="zh-CN"/>
              </w:rPr>
              <w:t>。</w:t>
            </w:r>
          </w:p>
          <w:p w14:paraId="3C97954D">
            <w:pPr>
              <w:pStyle w:val="4"/>
              <w:pageBreakBefore w:val="0"/>
              <w:widowControl w:val="0"/>
              <w:numPr>
                <w:ilvl w:val="0"/>
                <w:numId w:val="0"/>
              </w:numPr>
              <w:kinsoku/>
              <w:wordWrap/>
              <w:overflowPunct/>
              <w:topLinePunct w:val="0"/>
              <w:autoSpaceDE/>
              <w:autoSpaceDN/>
              <w:bidi w:val="0"/>
              <w:snapToGrid/>
              <w:spacing w:line="360" w:lineRule="auto"/>
              <w:ind w:leftChars="0" w:firstLine="482" w:firstLineChars="200"/>
              <w:textAlignment w:val="auto"/>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四</w:t>
            </w:r>
            <w:r>
              <w:rPr>
                <w:rFonts w:hint="default" w:ascii="Times New Roman" w:hAnsi="Times New Roman" w:eastAsia="宋体" w:cs="Times New Roman"/>
                <w:b/>
                <w:bCs w:val="0"/>
                <w:color w:val="auto"/>
                <w:lang w:val="en-US" w:eastAsia="zh-CN"/>
              </w:rPr>
              <w:t>、主要</w:t>
            </w:r>
            <w:r>
              <w:rPr>
                <w:rFonts w:hint="eastAsia" w:eastAsia="宋体" w:cs="Times New Roman"/>
                <w:b/>
                <w:bCs w:val="0"/>
                <w:color w:val="auto"/>
                <w:lang w:val="en-US" w:eastAsia="zh-CN"/>
              </w:rPr>
              <w:t>生产</w:t>
            </w:r>
            <w:r>
              <w:rPr>
                <w:rFonts w:hint="default" w:ascii="Times New Roman" w:hAnsi="Times New Roman" w:eastAsia="宋体" w:cs="Times New Roman"/>
                <w:b/>
                <w:bCs w:val="0"/>
                <w:color w:val="auto"/>
                <w:lang w:val="en-US" w:eastAsia="zh-CN"/>
              </w:rPr>
              <w:t>设备</w:t>
            </w:r>
          </w:p>
          <w:p w14:paraId="711B8C2D">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本</w:t>
            </w:r>
            <w:r>
              <w:rPr>
                <w:rFonts w:hint="default" w:ascii="Times New Roman" w:hAnsi="Times New Roman" w:cs="Times New Roman"/>
                <w:color w:val="auto"/>
              </w:rPr>
              <w:t>项目</w:t>
            </w:r>
            <w:r>
              <w:rPr>
                <w:rFonts w:hint="default" w:ascii="Times New Roman" w:hAnsi="Times New Roman" w:cs="Times New Roman"/>
                <w:color w:val="auto"/>
                <w:lang w:val="en-US" w:eastAsia="zh-CN"/>
              </w:rPr>
              <w:t>新增</w:t>
            </w:r>
            <w:r>
              <w:rPr>
                <w:rFonts w:hint="eastAsia" w:cs="Times New Roman"/>
                <w:color w:val="auto"/>
                <w:lang w:val="en-US" w:eastAsia="zh-CN"/>
              </w:rPr>
              <w:t>少量生产</w:t>
            </w:r>
            <w:r>
              <w:rPr>
                <w:rFonts w:hint="default" w:ascii="Times New Roman" w:hAnsi="Times New Roman" w:cs="Times New Roman"/>
                <w:color w:val="auto"/>
              </w:rPr>
              <w:t>设备</w:t>
            </w:r>
            <w:r>
              <w:rPr>
                <w:rFonts w:hint="eastAsia" w:cs="Times New Roman"/>
                <w:color w:val="auto"/>
                <w:lang w:eastAsia="zh-CN"/>
              </w:rPr>
              <w:t>，</w:t>
            </w:r>
            <w:r>
              <w:rPr>
                <w:rFonts w:hint="eastAsia" w:cs="Times New Roman"/>
                <w:color w:val="auto"/>
                <w:lang w:val="en-US" w:eastAsia="zh-CN"/>
              </w:rPr>
              <w:t>大部分依托现有，</w:t>
            </w:r>
            <w:r>
              <w:rPr>
                <w:rFonts w:hint="default" w:ascii="Times New Roman" w:hAnsi="Times New Roman" w:cs="Times New Roman"/>
                <w:color w:val="auto"/>
              </w:rPr>
              <w:t>具体情况见</w:t>
            </w:r>
            <w:r>
              <w:rPr>
                <w:rFonts w:hint="default" w:ascii="Times New Roman" w:hAnsi="Times New Roman" w:cs="Times New Roman"/>
                <w:color w:val="auto"/>
                <w:lang w:val="en-US" w:eastAsia="zh-CN"/>
              </w:rPr>
              <w:t>下</w:t>
            </w:r>
            <w:r>
              <w:rPr>
                <w:rFonts w:hint="default" w:ascii="Times New Roman" w:hAnsi="Times New Roman" w:cs="Times New Roman"/>
                <w:color w:val="auto"/>
              </w:rPr>
              <w:t>表。</w:t>
            </w:r>
          </w:p>
          <w:p w14:paraId="04F607AD">
            <w:pPr>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w:t>
            </w: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 xml:space="preserve"> 本项目</w:t>
            </w:r>
            <w:r>
              <w:rPr>
                <w:rFonts w:hint="eastAsia" w:cs="Times New Roman"/>
                <w:b/>
                <w:bCs/>
                <w:color w:val="auto"/>
                <w:sz w:val="24"/>
                <w:szCs w:val="24"/>
                <w:lang w:val="en-US" w:eastAsia="zh-CN"/>
              </w:rPr>
              <w:t>生产</w:t>
            </w:r>
            <w:r>
              <w:rPr>
                <w:rFonts w:hint="default" w:ascii="Times New Roman" w:hAnsi="Times New Roman" w:eastAsia="宋体" w:cs="Times New Roman"/>
                <w:b/>
                <w:bCs/>
                <w:color w:val="auto"/>
                <w:sz w:val="24"/>
                <w:szCs w:val="24"/>
                <w:lang w:val="en-US" w:eastAsia="zh-CN"/>
              </w:rPr>
              <w:t>设备设施一览表</w:t>
            </w:r>
          </w:p>
          <w:tbl>
            <w:tblPr>
              <w:tblStyle w:val="31"/>
              <w:tblW w:w="495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2123"/>
              <w:gridCol w:w="2166"/>
              <w:gridCol w:w="911"/>
              <w:gridCol w:w="2205"/>
            </w:tblGrid>
            <w:tr w14:paraId="1C9771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46D886D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序号</w:t>
                  </w:r>
                </w:p>
              </w:tc>
              <w:tc>
                <w:tcPr>
                  <w:tcW w:w="1310" w:type="pct"/>
                  <w:tcBorders>
                    <w:tl2br w:val="nil"/>
                    <w:tr2bl w:val="nil"/>
                  </w:tcBorders>
                  <w:noWrap w:val="0"/>
                  <w:vAlign w:val="center"/>
                </w:tcPr>
                <w:p w14:paraId="36B4D6A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设备名称</w:t>
                  </w:r>
                </w:p>
              </w:tc>
              <w:tc>
                <w:tcPr>
                  <w:tcW w:w="1339" w:type="pct"/>
                  <w:tcBorders>
                    <w:tl2br w:val="nil"/>
                    <w:tr2bl w:val="nil"/>
                  </w:tcBorders>
                  <w:noWrap w:val="0"/>
                  <w:vAlign w:val="center"/>
                </w:tcPr>
                <w:p w14:paraId="2914ADC1">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型号规格</w:t>
                  </w:r>
                </w:p>
              </w:tc>
              <w:tc>
                <w:tcPr>
                  <w:tcW w:w="563" w:type="pct"/>
                  <w:tcBorders>
                    <w:tl2br w:val="nil"/>
                    <w:tr2bl w:val="nil"/>
                  </w:tcBorders>
                  <w:noWrap w:val="0"/>
                  <w:vAlign w:val="center"/>
                </w:tcPr>
                <w:p w14:paraId="2C704F96">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数量</w:t>
                  </w:r>
                  <w:r>
                    <w:rPr>
                      <w:rFonts w:hint="eastAsia" w:cs="Times New Roman"/>
                      <w:b/>
                      <w:bCs/>
                      <w:color w:val="auto"/>
                      <w:sz w:val="21"/>
                      <w:szCs w:val="21"/>
                      <w:lang w:val="en-US" w:eastAsia="zh-CN"/>
                    </w:rPr>
                    <w:t>（台）</w:t>
                  </w:r>
                </w:p>
              </w:tc>
              <w:tc>
                <w:tcPr>
                  <w:tcW w:w="1361" w:type="pct"/>
                  <w:tcBorders>
                    <w:tl2br w:val="nil"/>
                    <w:tr2bl w:val="nil"/>
                  </w:tcBorders>
                  <w:noWrap w:val="0"/>
                  <w:vAlign w:val="center"/>
                </w:tcPr>
                <w:p w14:paraId="6AAD48C8">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备注</w:t>
                  </w:r>
                </w:p>
              </w:tc>
            </w:tr>
            <w:tr w14:paraId="4E8905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4F15D541">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p>
              </w:tc>
              <w:tc>
                <w:tcPr>
                  <w:tcW w:w="1310" w:type="pct"/>
                  <w:tcBorders>
                    <w:tl2br w:val="nil"/>
                    <w:tr2bl w:val="nil"/>
                  </w:tcBorders>
                  <w:shd w:val="clear" w:color="auto" w:fill="auto"/>
                  <w:noWrap w:val="0"/>
                  <w:vAlign w:val="center"/>
                </w:tcPr>
                <w:p w14:paraId="30B61E56">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石灰石</w:t>
                  </w:r>
                  <w:r>
                    <w:rPr>
                      <w:rFonts w:hint="default" w:ascii="Times New Roman" w:hAnsi="Times New Roman" w:eastAsia="宋体" w:cs="Times New Roman"/>
                      <w:color w:val="auto"/>
                      <w:lang w:val="en-US" w:eastAsia="zh-CN"/>
                    </w:rPr>
                    <w:t>板喂料机</w:t>
                  </w:r>
                </w:p>
              </w:tc>
              <w:tc>
                <w:tcPr>
                  <w:tcW w:w="1339" w:type="pct"/>
                  <w:tcBorders>
                    <w:tl2br w:val="nil"/>
                    <w:tr2bl w:val="nil"/>
                  </w:tcBorders>
                  <w:shd w:val="clear" w:color="auto" w:fill="auto"/>
                  <w:noWrap w:val="0"/>
                  <w:vAlign w:val="center"/>
                </w:tcPr>
                <w:p w14:paraId="23712A24">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B1</w:t>
                  </w: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lang w:val="en-US" w:eastAsia="zh-CN"/>
                    </w:rPr>
                    <w:t>00</w:t>
                  </w:r>
                  <w:r>
                    <w:rPr>
                      <w:rFonts w:hint="eastAsia" w:ascii="Times New Roman" w:hAnsi="Times New Roman" w:eastAsia="宋体" w:cs="Times New Roman"/>
                      <w:color w:val="auto"/>
                      <w:lang w:val="en-US" w:eastAsia="zh-CN"/>
                    </w:rPr>
                    <w:t>×3750mm</w:t>
                  </w:r>
                </w:p>
              </w:tc>
              <w:tc>
                <w:tcPr>
                  <w:tcW w:w="563" w:type="pct"/>
                  <w:tcBorders>
                    <w:tl2br w:val="nil"/>
                    <w:tr2bl w:val="nil"/>
                  </w:tcBorders>
                  <w:shd w:val="clear" w:color="auto" w:fill="auto"/>
                  <w:noWrap w:val="0"/>
                  <w:vAlign w:val="center"/>
                </w:tcPr>
                <w:p w14:paraId="1BD1682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361" w:type="pct"/>
                  <w:vMerge w:val="restart"/>
                  <w:tcBorders>
                    <w:tl2br w:val="nil"/>
                    <w:tr2bl w:val="nil"/>
                  </w:tcBorders>
                  <w:noWrap w:val="0"/>
                  <w:vAlign w:val="center"/>
                </w:tcPr>
                <w:p w14:paraId="1A6555B4">
                  <w:pPr>
                    <w:pStyle w:val="43"/>
                    <w:bidi w:val="0"/>
                    <w:jc w:val="center"/>
                    <w:rPr>
                      <w:rFonts w:hint="default" w:ascii="Times New Roman" w:hAnsi="Times New Roman" w:cs="Times New Roman"/>
                      <w:color w:val="auto"/>
                      <w:lang w:val="en-US" w:eastAsia="zh-CN"/>
                    </w:rPr>
                  </w:pPr>
                  <w:r>
                    <w:rPr>
                      <w:rFonts w:hint="eastAsia" w:cs="Times New Roman"/>
                      <w:color w:val="auto"/>
                      <w:lang w:val="en-US" w:eastAsia="zh-CN"/>
                    </w:rPr>
                    <w:t>依托现有，位于联合储库，用于替代原料的投加</w:t>
                  </w:r>
                </w:p>
              </w:tc>
            </w:tr>
            <w:tr w14:paraId="217B7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7BD433B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w:t>
                  </w:r>
                </w:p>
              </w:tc>
              <w:tc>
                <w:tcPr>
                  <w:tcW w:w="1310" w:type="pct"/>
                  <w:tcBorders>
                    <w:tl2br w:val="nil"/>
                    <w:tr2bl w:val="nil"/>
                  </w:tcBorders>
                  <w:shd w:val="clear" w:color="auto" w:fill="auto"/>
                  <w:noWrap w:val="0"/>
                  <w:vAlign w:val="center"/>
                </w:tcPr>
                <w:p w14:paraId="673F857A">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粘土</w:t>
                  </w:r>
                  <w:r>
                    <w:rPr>
                      <w:rFonts w:hint="default" w:ascii="Times New Roman" w:hAnsi="Times New Roman" w:eastAsia="宋体" w:cs="Times New Roman"/>
                      <w:color w:val="auto"/>
                      <w:lang w:val="en-US" w:eastAsia="zh-CN"/>
                    </w:rPr>
                    <w:t>板喂料机</w:t>
                  </w:r>
                </w:p>
              </w:tc>
              <w:tc>
                <w:tcPr>
                  <w:tcW w:w="1339" w:type="pct"/>
                  <w:tcBorders>
                    <w:tl2br w:val="nil"/>
                    <w:tr2bl w:val="nil"/>
                  </w:tcBorders>
                  <w:shd w:val="clear" w:color="auto" w:fill="auto"/>
                  <w:noWrap w:val="0"/>
                  <w:vAlign w:val="center"/>
                </w:tcPr>
                <w:p w14:paraId="4ABED68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B</w:t>
                  </w:r>
                  <w:r>
                    <w:rPr>
                      <w:rFonts w:hint="eastAsia" w:ascii="Times New Roman" w:hAnsi="Times New Roman" w:eastAsia="宋体" w:cs="Times New Roman"/>
                      <w:color w:val="auto"/>
                      <w:lang w:val="en-US" w:eastAsia="zh-CN"/>
                    </w:rPr>
                    <w:t>125</w:t>
                  </w:r>
                  <w:r>
                    <w:rPr>
                      <w:rFonts w:hint="default" w:ascii="Times New Roman" w:hAnsi="Times New Roman" w:eastAsia="宋体" w:cs="Times New Roman"/>
                      <w:color w:val="auto"/>
                      <w:lang w:val="en-US" w:eastAsia="zh-CN"/>
                    </w:rPr>
                    <w:t>0</w:t>
                  </w:r>
                  <w:r>
                    <w:rPr>
                      <w:rFonts w:hint="eastAsia" w:ascii="Times New Roman" w:hAnsi="Times New Roman" w:eastAsia="宋体" w:cs="Times New Roman"/>
                      <w:color w:val="auto"/>
                      <w:lang w:val="en-US" w:eastAsia="zh-CN"/>
                    </w:rPr>
                    <w:t>×6000mm</w:t>
                  </w:r>
                </w:p>
              </w:tc>
              <w:tc>
                <w:tcPr>
                  <w:tcW w:w="563" w:type="pct"/>
                  <w:tcBorders>
                    <w:tl2br w:val="nil"/>
                    <w:tr2bl w:val="nil"/>
                  </w:tcBorders>
                  <w:shd w:val="clear" w:color="auto" w:fill="auto"/>
                  <w:noWrap w:val="0"/>
                  <w:vAlign w:val="center"/>
                </w:tcPr>
                <w:p w14:paraId="24C37BF1">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361" w:type="pct"/>
                  <w:vMerge w:val="continue"/>
                  <w:tcBorders>
                    <w:tl2br w:val="nil"/>
                    <w:tr2bl w:val="nil"/>
                  </w:tcBorders>
                  <w:noWrap w:val="0"/>
                  <w:vAlign w:val="center"/>
                </w:tcPr>
                <w:p w14:paraId="78200113">
                  <w:pPr>
                    <w:pStyle w:val="43"/>
                    <w:bidi w:val="0"/>
                    <w:jc w:val="center"/>
                    <w:rPr>
                      <w:rFonts w:hint="default" w:ascii="Times New Roman" w:hAnsi="Times New Roman" w:cs="Times New Roman"/>
                      <w:color w:val="auto"/>
                    </w:rPr>
                  </w:pPr>
                </w:p>
              </w:tc>
            </w:tr>
            <w:tr w14:paraId="2BBBE9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5106B738">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p>
              </w:tc>
              <w:tc>
                <w:tcPr>
                  <w:tcW w:w="1310" w:type="pct"/>
                  <w:tcBorders>
                    <w:tl2br w:val="nil"/>
                    <w:tr2bl w:val="nil"/>
                  </w:tcBorders>
                  <w:shd w:val="clear" w:color="auto" w:fill="auto"/>
                  <w:noWrap w:val="0"/>
                  <w:vAlign w:val="center"/>
                </w:tcPr>
                <w:p w14:paraId="72932E7F">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砂岩</w:t>
                  </w:r>
                  <w:r>
                    <w:rPr>
                      <w:rFonts w:hint="default" w:ascii="Times New Roman" w:hAnsi="Times New Roman" w:eastAsia="宋体" w:cs="Times New Roman"/>
                      <w:color w:val="auto"/>
                      <w:lang w:val="en-US" w:eastAsia="zh-CN"/>
                    </w:rPr>
                    <w:t>板喂料机</w:t>
                  </w:r>
                </w:p>
              </w:tc>
              <w:tc>
                <w:tcPr>
                  <w:tcW w:w="1339" w:type="pct"/>
                  <w:tcBorders>
                    <w:tl2br w:val="nil"/>
                    <w:tr2bl w:val="nil"/>
                  </w:tcBorders>
                  <w:shd w:val="clear" w:color="auto" w:fill="auto"/>
                  <w:noWrap w:val="0"/>
                  <w:vAlign w:val="center"/>
                </w:tcPr>
                <w:p w14:paraId="74F5367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B</w:t>
                  </w:r>
                  <w:r>
                    <w:rPr>
                      <w:rFonts w:hint="eastAsia" w:ascii="Times New Roman" w:hAnsi="Times New Roman" w:eastAsia="宋体" w:cs="Times New Roman"/>
                      <w:color w:val="auto"/>
                      <w:lang w:val="en-US" w:eastAsia="zh-CN"/>
                    </w:rPr>
                    <w:t>125</w:t>
                  </w:r>
                  <w:r>
                    <w:rPr>
                      <w:rFonts w:hint="default" w:ascii="Times New Roman" w:hAnsi="Times New Roman" w:eastAsia="宋体" w:cs="Times New Roman"/>
                      <w:color w:val="auto"/>
                      <w:lang w:val="en-US" w:eastAsia="zh-CN"/>
                    </w:rPr>
                    <w:t>0</w:t>
                  </w:r>
                  <w:r>
                    <w:rPr>
                      <w:rFonts w:hint="eastAsia" w:ascii="Times New Roman" w:hAnsi="Times New Roman" w:eastAsia="宋体" w:cs="Times New Roman"/>
                      <w:color w:val="auto"/>
                      <w:lang w:val="en-US" w:eastAsia="zh-CN"/>
                    </w:rPr>
                    <w:t>×6000mm</w:t>
                  </w:r>
                </w:p>
              </w:tc>
              <w:tc>
                <w:tcPr>
                  <w:tcW w:w="563" w:type="pct"/>
                  <w:tcBorders>
                    <w:tl2br w:val="nil"/>
                    <w:tr2bl w:val="nil"/>
                  </w:tcBorders>
                  <w:shd w:val="clear" w:color="auto" w:fill="auto"/>
                  <w:noWrap w:val="0"/>
                  <w:vAlign w:val="center"/>
                </w:tcPr>
                <w:p w14:paraId="2493B23C">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361" w:type="pct"/>
                  <w:vMerge w:val="continue"/>
                  <w:tcBorders>
                    <w:tl2br w:val="nil"/>
                    <w:tr2bl w:val="nil"/>
                  </w:tcBorders>
                  <w:noWrap w:val="0"/>
                  <w:vAlign w:val="center"/>
                </w:tcPr>
                <w:p w14:paraId="1BE910BF">
                  <w:pPr>
                    <w:pStyle w:val="43"/>
                    <w:bidi w:val="0"/>
                    <w:jc w:val="center"/>
                    <w:rPr>
                      <w:rFonts w:hint="default" w:ascii="Times New Roman" w:hAnsi="Times New Roman" w:cs="Times New Roman"/>
                      <w:color w:val="auto"/>
                    </w:rPr>
                  </w:pPr>
                </w:p>
              </w:tc>
            </w:tr>
            <w:tr w14:paraId="7EF11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66B7DDD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310" w:type="pct"/>
                  <w:tcBorders>
                    <w:tl2br w:val="nil"/>
                    <w:tr2bl w:val="nil"/>
                  </w:tcBorders>
                  <w:shd w:val="clear" w:color="auto" w:fill="auto"/>
                  <w:noWrap w:val="0"/>
                  <w:vAlign w:val="center"/>
                </w:tcPr>
                <w:p w14:paraId="43119737">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铁尾渣</w:t>
                  </w:r>
                  <w:r>
                    <w:rPr>
                      <w:rFonts w:hint="default" w:ascii="Times New Roman" w:hAnsi="Times New Roman" w:eastAsia="宋体" w:cs="Times New Roman"/>
                      <w:color w:val="auto"/>
                      <w:lang w:val="en-US" w:eastAsia="zh-CN"/>
                    </w:rPr>
                    <w:t>板喂料机</w:t>
                  </w:r>
                </w:p>
              </w:tc>
              <w:tc>
                <w:tcPr>
                  <w:tcW w:w="1339" w:type="pct"/>
                  <w:tcBorders>
                    <w:tl2br w:val="nil"/>
                    <w:tr2bl w:val="nil"/>
                  </w:tcBorders>
                  <w:shd w:val="clear" w:color="auto" w:fill="auto"/>
                  <w:noWrap w:val="0"/>
                  <w:vAlign w:val="center"/>
                </w:tcPr>
                <w:p w14:paraId="5FDBE2FA">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B</w:t>
                  </w:r>
                  <w:r>
                    <w:rPr>
                      <w:rFonts w:hint="eastAsia" w:ascii="Times New Roman" w:hAnsi="Times New Roman" w:eastAsia="宋体" w:cs="Times New Roman"/>
                      <w:color w:val="auto"/>
                      <w:lang w:val="en-US" w:eastAsia="zh-CN"/>
                    </w:rPr>
                    <w:t>1000×6000mm</w:t>
                  </w:r>
                </w:p>
              </w:tc>
              <w:tc>
                <w:tcPr>
                  <w:tcW w:w="563" w:type="pct"/>
                  <w:tcBorders>
                    <w:tl2br w:val="nil"/>
                    <w:tr2bl w:val="nil"/>
                  </w:tcBorders>
                  <w:shd w:val="clear" w:color="auto" w:fill="auto"/>
                  <w:noWrap w:val="0"/>
                  <w:vAlign w:val="center"/>
                </w:tcPr>
                <w:p w14:paraId="40B1BB1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361" w:type="pct"/>
                  <w:vMerge w:val="continue"/>
                  <w:tcBorders>
                    <w:tl2br w:val="nil"/>
                    <w:tr2bl w:val="nil"/>
                  </w:tcBorders>
                  <w:noWrap w:val="0"/>
                  <w:vAlign w:val="center"/>
                </w:tcPr>
                <w:p w14:paraId="65369CAA">
                  <w:pPr>
                    <w:pStyle w:val="43"/>
                    <w:bidi w:val="0"/>
                    <w:jc w:val="center"/>
                    <w:rPr>
                      <w:rFonts w:hint="default" w:ascii="Times New Roman" w:hAnsi="Times New Roman" w:cs="Times New Roman"/>
                      <w:color w:val="auto"/>
                      <w:lang w:val="en-US" w:eastAsia="zh-CN"/>
                    </w:rPr>
                  </w:pPr>
                </w:p>
              </w:tc>
            </w:tr>
            <w:tr w14:paraId="31EF71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1B35153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310" w:type="pct"/>
                  <w:tcBorders>
                    <w:tl2br w:val="nil"/>
                    <w:tr2bl w:val="nil"/>
                  </w:tcBorders>
                  <w:shd w:val="clear" w:color="auto" w:fill="auto"/>
                  <w:noWrap w:val="0"/>
                  <w:vAlign w:val="center"/>
                </w:tcPr>
                <w:p w14:paraId="0FBCA85C">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脱硫石膏等原材料定量给料机</w:t>
                  </w:r>
                </w:p>
              </w:tc>
              <w:tc>
                <w:tcPr>
                  <w:tcW w:w="1339" w:type="pct"/>
                  <w:tcBorders>
                    <w:tl2br w:val="nil"/>
                    <w:tr2bl w:val="nil"/>
                  </w:tcBorders>
                  <w:shd w:val="clear" w:color="auto" w:fill="auto"/>
                  <w:noWrap w:val="0"/>
                  <w:vAlign w:val="center"/>
                </w:tcPr>
                <w:p w14:paraId="567D5267">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JCG-800/2250-A00</w:t>
                  </w:r>
                </w:p>
              </w:tc>
              <w:tc>
                <w:tcPr>
                  <w:tcW w:w="563" w:type="pct"/>
                  <w:tcBorders>
                    <w:tl2br w:val="nil"/>
                    <w:tr2bl w:val="nil"/>
                  </w:tcBorders>
                  <w:shd w:val="clear" w:color="auto" w:fill="auto"/>
                  <w:noWrap w:val="0"/>
                  <w:vAlign w:val="center"/>
                </w:tcPr>
                <w:p w14:paraId="6A8A549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361" w:type="pct"/>
                  <w:vMerge w:val="restart"/>
                  <w:tcBorders>
                    <w:tl2br w:val="nil"/>
                    <w:tr2bl w:val="nil"/>
                  </w:tcBorders>
                  <w:noWrap w:val="0"/>
                  <w:vAlign w:val="center"/>
                </w:tcPr>
                <w:p w14:paraId="4A845190">
                  <w:pPr>
                    <w:pStyle w:val="43"/>
                    <w:bidi w:val="0"/>
                    <w:jc w:val="center"/>
                    <w:rPr>
                      <w:rFonts w:hint="default" w:ascii="Times New Roman" w:hAnsi="Times New Roman" w:cs="Times New Roman"/>
                      <w:color w:val="auto"/>
                      <w:lang w:val="en-US" w:eastAsia="zh-CN"/>
                    </w:rPr>
                  </w:pPr>
                  <w:r>
                    <w:rPr>
                      <w:rFonts w:hint="eastAsia" w:cs="Times New Roman"/>
                      <w:color w:val="auto"/>
                      <w:lang w:val="en-US" w:eastAsia="zh-CN"/>
                    </w:rPr>
                    <w:t>依托现有，位于辅材堆棚，用于替代混合材的投加</w:t>
                  </w:r>
                </w:p>
              </w:tc>
            </w:tr>
            <w:tr w14:paraId="6D2C1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noWrap w:val="0"/>
                  <w:vAlign w:val="center"/>
                </w:tcPr>
                <w:p w14:paraId="675DA49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310" w:type="pct"/>
                  <w:tcBorders>
                    <w:tl2br w:val="nil"/>
                    <w:tr2bl w:val="nil"/>
                  </w:tcBorders>
                  <w:shd w:val="clear" w:color="auto" w:fill="auto"/>
                  <w:noWrap w:val="0"/>
                  <w:vAlign w:val="center"/>
                </w:tcPr>
                <w:p w14:paraId="68EDA014">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混合材用定量给料机</w:t>
                  </w:r>
                </w:p>
              </w:tc>
              <w:tc>
                <w:tcPr>
                  <w:tcW w:w="1339" w:type="pct"/>
                  <w:tcBorders>
                    <w:tl2br w:val="nil"/>
                    <w:tr2bl w:val="nil"/>
                  </w:tcBorders>
                  <w:shd w:val="clear" w:color="auto" w:fill="auto"/>
                  <w:noWrap w:val="0"/>
                  <w:vAlign w:val="center"/>
                </w:tcPr>
                <w:p w14:paraId="7048F362">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JCG-800/2250-A00</w:t>
                  </w:r>
                </w:p>
              </w:tc>
              <w:tc>
                <w:tcPr>
                  <w:tcW w:w="563" w:type="pct"/>
                  <w:tcBorders>
                    <w:tl2br w:val="nil"/>
                    <w:tr2bl w:val="nil"/>
                  </w:tcBorders>
                  <w:shd w:val="clear" w:color="auto" w:fill="auto"/>
                  <w:noWrap w:val="0"/>
                  <w:vAlign w:val="center"/>
                </w:tcPr>
                <w:p w14:paraId="1FF4F09C">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361" w:type="pct"/>
                  <w:vMerge w:val="continue"/>
                  <w:tcBorders>
                    <w:tl2br w:val="nil"/>
                    <w:tr2bl w:val="nil"/>
                  </w:tcBorders>
                  <w:noWrap w:val="0"/>
                  <w:vAlign w:val="center"/>
                </w:tcPr>
                <w:p w14:paraId="2C1A96D8">
                  <w:pPr>
                    <w:pStyle w:val="43"/>
                    <w:bidi w:val="0"/>
                    <w:jc w:val="center"/>
                    <w:rPr>
                      <w:rFonts w:hint="default" w:ascii="Times New Roman" w:hAnsi="Times New Roman" w:cs="Times New Roman"/>
                      <w:color w:val="auto"/>
                      <w:lang w:val="en-US" w:eastAsia="zh-CN"/>
                    </w:rPr>
                  </w:pPr>
                </w:p>
              </w:tc>
            </w:tr>
            <w:tr w14:paraId="633061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425" w:type="pct"/>
                  <w:tcBorders>
                    <w:tl2br w:val="nil"/>
                    <w:tr2bl w:val="nil"/>
                  </w:tcBorders>
                  <w:shd w:val="clear" w:color="auto" w:fill="auto"/>
                  <w:noWrap w:val="0"/>
                  <w:vAlign w:val="center"/>
                </w:tcPr>
                <w:p w14:paraId="71110C9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w:t>
                  </w:r>
                </w:p>
              </w:tc>
              <w:tc>
                <w:tcPr>
                  <w:tcW w:w="1310" w:type="pct"/>
                  <w:tcBorders>
                    <w:tl2br w:val="nil"/>
                    <w:tr2bl w:val="nil"/>
                  </w:tcBorders>
                  <w:shd w:val="clear" w:color="auto" w:fill="auto"/>
                  <w:noWrap w:val="0"/>
                  <w:vAlign w:val="center"/>
                </w:tcPr>
                <w:p w14:paraId="6AA19640">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打散机</w:t>
                  </w:r>
                </w:p>
              </w:tc>
              <w:tc>
                <w:tcPr>
                  <w:tcW w:w="1339" w:type="pct"/>
                  <w:tcBorders>
                    <w:tl2br w:val="nil"/>
                    <w:tr2bl w:val="nil"/>
                  </w:tcBorders>
                  <w:shd w:val="clear" w:color="auto" w:fill="auto"/>
                  <w:noWrap w:val="0"/>
                  <w:vAlign w:val="center"/>
                </w:tcPr>
                <w:p w14:paraId="10BF4602">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563" w:type="pct"/>
                  <w:tcBorders>
                    <w:tl2br w:val="nil"/>
                    <w:tr2bl w:val="nil"/>
                  </w:tcBorders>
                  <w:shd w:val="clear" w:color="auto" w:fill="auto"/>
                  <w:noWrap w:val="0"/>
                  <w:vAlign w:val="center"/>
                </w:tcPr>
                <w:p w14:paraId="2AD26D04">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w:t>
                  </w:r>
                </w:p>
              </w:tc>
              <w:tc>
                <w:tcPr>
                  <w:tcW w:w="1361" w:type="pct"/>
                  <w:vMerge w:val="restart"/>
                  <w:tcBorders>
                    <w:tl2br w:val="nil"/>
                    <w:tr2bl w:val="nil"/>
                  </w:tcBorders>
                  <w:noWrap w:val="0"/>
                  <w:vAlign w:val="center"/>
                </w:tcPr>
                <w:p w14:paraId="036193A2">
                  <w:pPr>
                    <w:pStyle w:val="43"/>
                    <w:bidi w:val="0"/>
                    <w:jc w:val="center"/>
                    <w:rPr>
                      <w:rFonts w:hint="default" w:ascii="Times New Roman" w:hAnsi="Times New Roman" w:cs="Times New Roman"/>
                      <w:color w:val="auto"/>
                      <w:lang w:val="en-US"/>
                    </w:rPr>
                  </w:pPr>
                  <w:r>
                    <w:rPr>
                      <w:rFonts w:hint="eastAsia" w:cs="Times New Roman"/>
                      <w:color w:val="auto"/>
                      <w:lang w:val="en-US" w:eastAsia="zh-CN"/>
                    </w:rPr>
                    <w:t>依托现有，位于济宁海螺环保</w:t>
                  </w:r>
                  <w:r>
                    <w:rPr>
                      <w:rFonts w:hint="default" w:ascii="Times New Roman" w:hAnsi="Times New Roman" w:eastAsia="宋体" w:cs="Times New Roman"/>
                      <w:color w:val="auto"/>
                      <w:kern w:val="2"/>
                      <w:sz w:val="21"/>
                      <w:szCs w:val="21"/>
                      <w:lang w:val="en-US" w:eastAsia="zh-CN" w:bidi="ar-SA"/>
                    </w:rPr>
                    <w:t>固废暂存间II</w:t>
                  </w:r>
                  <w:r>
                    <w:rPr>
                      <w:rFonts w:hint="eastAsia" w:cs="Times New Roman"/>
                      <w:color w:val="auto"/>
                      <w:kern w:val="2"/>
                      <w:sz w:val="21"/>
                      <w:szCs w:val="21"/>
                      <w:lang w:val="en-US" w:eastAsia="zh-CN" w:bidi="ar-SA"/>
                    </w:rPr>
                    <w:t>，用于替代燃料的投加</w:t>
                  </w:r>
                </w:p>
              </w:tc>
            </w:tr>
            <w:tr w14:paraId="140154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shd w:val="clear" w:color="auto" w:fill="auto"/>
                  <w:vAlign w:val="center"/>
                </w:tcPr>
                <w:p w14:paraId="632AC99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8</w:t>
                  </w:r>
                </w:p>
              </w:tc>
              <w:tc>
                <w:tcPr>
                  <w:tcW w:w="0" w:type="auto"/>
                  <w:shd w:val="clear" w:color="auto" w:fill="auto"/>
                  <w:vAlign w:val="center"/>
                </w:tcPr>
                <w:p w14:paraId="153CC4B6">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链板式输送机</w:t>
                  </w:r>
                </w:p>
              </w:tc>
              <w:tc>
                <w:tcPr>
                  <w:tcW w:w="0" w:type="auto"/>
                </w:tcPr>
                <w:p w14:paraId="6C878D2B">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0" w:type="auto"/>
                  <w:shd w:val="clear" w:color="auto" w:fill="auto"/>
                  <w:vAlign w:val="center"/>
                </w:tcPr>
                <w:p w14:paraId="22CE2F79">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w:t>
                  </w:r>
                </w:p>
              </w:tc>
              <w:tc>
                <w:tcPr>
                  <w:tcW w:w="1361" w:type="pct"/>
                  <w:vMerge w:val="continue"/>
                  <w:vAlign w:val="center"/>
                </w:tcPr>
                <w:p w14:paraId="24DC2132">
                  <w:pPr>
                    <w:pStyle w:val="43"/>
                    <w:bidi w:val="0"/>
                    <w:jc w:val="center"/>
                    <w:rPr>
                      <w:rFonts w:hint="default" w:ascii="Times New Roman" w:hAnsi="Times New Roman" w:cs="Times New Roman"/>
                      <w:color w:val="auto"/>
                    </w:rPr>
                  </w:pPr>
                </w:p>
              </w:tc>
            </w:tr>
            <w:tr w14:paraId="7E6C4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shd w:val="clear" w:color="auto" w:fill="auto"/>
                  <w:vAlign w:val="top"/>
                </w:tcPr>
                <w:p w14:paraId="3EFA11F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9</w:t>
                  </w:r>
                </w:p>
              </w:tc>
              <w:tc>
                <w:tcPr>
                  <w:tcW w:w="0" w:type="auto"/>
                  <w:shd w:val="clear" w:color="auto" w:fill="auto"/>
                  <w:vAlign w:val="center"/>
                </w:tcPr>
                <w:p w14:paraId="2AF742B2">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管状胶带输送机</w:t>
                  </w:r>
                </w:p>
              </w:tc>
              <w:tc>
                <w:tcPr>
                  <w:tcW w:w="0" w:type="auto"/>
                </w:tcPr>
                <w:p w14:paraId="01A839C5">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0" w:type="auto"/>
                  <w:shd w:val="clear" w:color="auto" w:fill="auto"/>
                  <w:vAlign w:val="center"/>
                </w:tcPr>
                <w:p w14:paraId="0B80E395">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w:t>
                  </w:r>
                </w:p>
              </w:tc>
              <w:tc>
                <w:tcPr>
                  <w:tcW w:w="1361" w:type="pct"/>
                  <w:vMerge w:val="continue"/>
                  <w:vAlign w:val="center"/>
                </w:tcPr>
                <w:p w14:paraId="66C29DE7">
                  <w:pPr>
                    <w:pStyle w:val="43"/>
                    <w:bidi w:val="0"/>
                    <w:jc w:val="center"/>
                    <w:rPr>
                      <w:rFonts w:hint="default" w:ascii="Times New Roman" w:hAnsi="Times New Roman" w:cs="Times New Roman"/>
                      <w:color w:val="auto"/>
                    </w:rPr>
                  </w:pPr>
                </w:p>
              </w:tc>
            </w:tr>
            <w:tr w14:paraId="7CB70B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shd w:val="clear" w:color="auto" w:fill="auto"/>
                  <w:vAlign w:val="top"/>
                </w:tcPr>
                <w:p w14:paraId="7A69B47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w:t>
                  </w:r>
                </w:p>
              </w:tc>
              <w:tc>
                <w:tcPr>
                  <w:tcW w:w="0" w:type="auto"/>
                  <w:shd w:val="clear" w:color="auto" w:fill="auto"/>
                  <w:vAlign w:val="center"/>
                </w:tcPr>
                <w:p w14:paraId="2B8C926C">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板喂秤</w:t>
                  </w:r>
                </w:p>
              </w:tc>
              <w:tc>
                <w:tcPr>
                  <w:tcW w:w="0" w:type="auto"/>
                </w:tcPr>
                <w:p w14:paraId="6C059D00">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0" w:type="auto"/>
                  <w:shd w:val="clear" w:color="auto" w:fill="auto"/>
                  <w:vAlign w:val="center"/>
                </w:tcPr>
                <w:p w14:paraId="7A0BD19E">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w:t>
                  </w:r>
                </w:p>
              </w:tc>
              <w:tc>
                <w:tcPr>
                  <w:tcW w:w="1361" w:type="pct"/>
                  <w:vMerge w:val="continue"/>
                  <w:vAlign w:val="center"/>
                </w:tcPr>
                <w:p w14:paraId="41175096">
                  <w:pPr>
                    <w:pStyle w:val="43"/>
                    <w:bidi w:val="0"/>
                    <w:jc w:val="center"/>
                    <w:rPr>
                      <w:rFonts w:hint="default" w:ascii="Times New Roman" w:hAnsi="Times New Roman" w:cs="Times New Roman"/>
                      <w:color w:val="auto"/>
                    </w:rPr>
                  </w:pPr>
                </w:p>
              </w:tc>
            </w:tr>
            <w:tr w14:paraId="406BC3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shd w:val="clear" w:color="auto" w:fill="auto"/>
                  <w:vAlign w:val="top"/>
                </w:tcPr>
                <w:p w14:paraId="335ADF3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11</w:t>
                  </w:r>
                </w:p>
              </w:tc>
              <w:tc>
                <w:tcPr>
                  <w:tcW w:w="0" w:type="auto"/>
                  <w:shd w:val="clear" w:color="auto" w:fill="auto"/>
                  <w:vAlign w:val="center"/>
                </w:tcPr>
                <w:p w14:paraId="3533D873">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气动翻板阀</w:t>
                  </w:r>
                </w:p>
              </w:tc>
              <w:tc>
                <w:tcPr>
                  <w:tcW w:w="0" w:type="auto"/>
                </w:tcPr>
                <w:p w14:paraId="5DFA1534">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0" w:type="auto"/>
                  <w:shd w:val="clear" w:color="auto" w:fill="auto"/>
                  <w:vAlign w:val="center"/>
                </w:tcPr>
                <w:p w14:paraId="5C8DEC9F">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2</w:t>
                  </w:r>
                </w:p>
              </w:tc>
              <w:tc>
                <w:tcPr>
                  <w:tcW w:w="1361" w:type="pct"/>
                  <w:vMerge w:val="continue"/>
                  <w:vAlign w:val="center"/>
                </w:tcPr>
                <w:p w14:paraId="0D80820B">
                  <w:pPr>
                    <w:pStyle w:val="43"/>
                    <w:bidi w:val="0"/>
                    <w:jc w:val="center"/>
                    <w:rPr>
                      <w:rFonts w:hint="default" w:ascii="Times New Roman" w:hAnsi="Times New Roman" w:cs="Times New Roman"/>
                      <w:color w:val="auto"/>
                    </w:rPr>
                  </w:pPr>
                </w:p>
              </w:tc>
            </w:tr>
            <w:tr w14:paraId="6AFAB0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shd w:val="clear" w:color="auto" w:fill="auto"/>
                  <w:vAlign w:val="top"/>
                </w:tcPr>
                <w:p w14:paraId="7EB60E59">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12</w:t>
                  </w:r>
                </w:p>
              </w:tc>
              <w:tc>
                <w:tcPr>
                  <w:tcW w:w="0" w:type="auto"/>
                  <w:shd w:val="clear" w:color="auto" w:fill="auto"/>
                  <w:vAlign w:val="center"/>
                </w:tcPr>
                <w:p w14:paraId="77CBD956">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高温气动闸板阀</w:t>
                  </w:r>
                </w:p>
              </w:tc>
              <w:tc>
                <w:tcPr>
                  <w:tcW w:w="0" w:type="auto"/>
                </w:tcPr>
                <w:p w14:paraId="32495978">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0" w:type="auto"/>
                  <w:shd w:val="clear" w:color="auto" w:fill="auto"/>
                  <w:vAlign w:val="center"/>
                </w:tcPr>
                <w:p w14:paraId="5CD55C23">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w:t>
                  </w:r>
                </w:p>
              </w:tc>
              <w:tc>
                <w:tcPr>
                  <w:tcW w:w="1361" w:type="pct"/>
                  <w:vMerge w:val="continue"/>
                  <w:vAlign w:val="center"/>
                </w:tcPr>
                <w:p w14:paraId="2E557948">
                  <w:pPr>
                    <w:pStyle w:val="43"/>
                    <w:bidi w:val="0"/>
                    <w:jc w:val="center"/>
                    <w:rPr>
                      <w:rFonts w:hint="default" w:ascii="Times New Roman" w:hAnsi="Times New Roman" w:cs="Times New Roman"/>
                      <w:color w:val="auto"/>
                    </w:rPr>
                  </w:pPr>
                </w:p>
              </w:tc>
            </w:tr>
            <w:tr w14:paraId="184874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shd w:val="clear" w:color="auto" w:fill="auto"/>
                  <w:vAlign w:val="top"/>
                </w:tcPr>
                <w:p w14:paraId="7305588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13</w:t>
                  </w:r>
                </w:p>
              </w:tc>
              <w:tc>
                <w:tcPr>
                  <w:tcW w:w="0" w:type="auto"/>
                  <w:shd w:val="clear" w:color="auto" w:fill="auto"/>
                  <w:vAlign w:val="center"/>
                </w:tcPr>
                <w:p w14:paraId="01FBE247">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罗茨风机</w:t>
                  </w:r>
                </w:p>
              </w:tc>
              <w:tc>
                <w:tcPr>
                  <w:tcW w:w="0" w:type="auto"/>
                  <w:shd w:val="clear" w:color="auto" w:fill="auto"/>
                  <w:vAlign w:val="center"/>
                </w:tcPr>
                <w:p w14:paraId="611A77F0">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250型，110KW</w:t>
                  </w:r>
                </w:p>
              </w:tc>
              <w:tc>
                <w:tcPr>
                  <w:tcW w:w="0" w:type="auto"/>
                  <w:shd w:val="clear" w:color="auto" w:fill="auto"/>
                  <w:vAlign w:val="center"/>
                </w:tcPr>
                <w:p w14:paraId="45636EB3">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1台</w:t>
                  </w:r>
                </w:p>
              </w:tc>
              <w:tc>
                <w:tcPr>
                  <w:tcW w:w="1361" w:type="pct"/>
                  <w:vMerge w:val="restart"/>
                  <w:vAlign w:val="center"/>
                </w:tcPr>
                <w:p w14:paraId="28C19B48">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新增，位于济宁海螺环保</w:t>
                  </w:r>
                  <w:r>
                    <w:rPr>
                      <w:rFonts w:hint="default" w:ascii="Times New Roman" w:hAnsi="Times New Roman" w:eastAsia="宋体" w:cs="Times New Roman"/>
                      <w:color w:val="auto"/>
                      <w:kern w:val="2"/>
                      <w:sz w:val="21"/>
                      <w:szCs w:val="21"/>
                      <w:lang w:val="en-US" w:eastAsia="zh-CN" w:bidi="ar-SA"/>
                    </w:rPr>
                    <w:t>固废暂存间II</w:t>
                  </w:r>
                  <w:r>
                    <w:rPr>
                      <w:rFonts w:hint="eastAsia" w:cs="Times New Roman"/>
                      <w:color w:val="auto"/>
                      <w:kern w:val="2"/>
                      <w:sz w:val="21"/>
                      <w:szCs w:val="21"/>
                      <w:lang w:val="en-US" w:eastAsia="zh-CN" w:bidi="ar-SA"/>
                    </w:rPr>
                    <w:t>，用于炭黑、泡沫塑料粉的投加</w:t>
                  </w:r>
                </w:p>
              </w:tc>
            </w:tr>
            <w:tr w14:paraId="5CA44B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tcPr>
                <w:p w14:paraId="2CE830CE">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cs="Times New Roman"/>
                      <w:color w:val="auto"/>
                      <w:sz w:val="21"/>
                      <w:szCs w:val="21"/>
                      <w:lang w:val="en-US" w:eastAsia="zh-CN"/>
                    </w:rPr>
                  </w:pPr>
                  <w:r>
                    <w:rPr>
                      <w:rFonts w:hint="eastAsia" w:cs="Times New Roman"/>
                      <w:color w:val="auto"/>
                      <w:sz w:val="21"/>
                      <w:szCs w:val="21"/>
                      <w:lang w:val="en-US" w:eastAsia="zh-CN"/>
                    </w:rPr>
                    <w:t>14</w:t>
                  </w:r>
                </w:p>
              </w:tc>
              <w:tc>
                <w:tcPr>
                  <w:tcW w:w="0" w:type="auto"/>
                  <w:shd w:val="clear" w:color="auto" w:fill="auto"/>
                  <w:vAlign w:val="center"/>
                </w:tcPr>
                <w:p w14:paraId="686EA57D">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输送管线</w:t>
                  </w:r>
                </w:p>
              </w:tc>
              <w:tc>
                <w:tcPr>
                  <w:tcW w:w="0" w:type="auto"/>
                  <w:shd w:val="clear" w:color="auto" w:fill="auto"/>
                  <w:vAlign w:val="center"/>
                </w:tcPr>
                <w:p w14:paraId="75794C12">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Φ273*6</w:t>
                  </w:r>
                </w:p>
              </w:tc>
              <w:tc>
                <w:tcPr>
                  <w:tcW w:w="0" w:type="auto"/>
                  <w:shd w:val="clear" w:color="auto" w:fill="auto"/>
                  <w:vAlign w:val="center"/>
                </w:tcPr>
                <w:p w14:paraId="04B6C6C3">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200米</w:t>
                  </w:r>
                </w:p>
              </w:tc>
              <w:tc>
                <w:tcPr>
                  <w:tcW w:w="1361" w:type="pct"/>
                  <w:vMerge w:val="continue"/>
                </w:tcPr>
                <w:p w14:paraId="1E13E415">
                  <w:pPr>
                    <w:pStyle w:val="43"/>
                    <w:bidi w:val="0"/>
                    <w:jc w:val="center"/>
                    <w:rPr>
                      <w:rFonts w:hint="default" w:ascii="Times New Roman" w:hAnsi="Times New Roman" w:cs="Times New Roman"/>
                      <w:color w:val="auto"/>
                    </w:rPr>
                  </w:pPr>
                </w:p>
              </w:tc>
            </w:tr>
            <w:tr w14:paraId="0AF24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tcPr>
                <w:p w14:paraId="15C6F44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0" w:type="auto"/>
                  <w:shd w:val="clear" w:color="auto" w:fill="auto"/>
                  <w:vAlign w:val="center"/>
                </w:tcPr>
                <w:p w14:paraId="3297743A">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喂料铰刀</w:t>
                  </w:r>
                </w:p>
              </w:tc>
              <w:tc>
                <w:tcPr>
                  <w:tcW w:w="0" w:type="auto"/>
                  <w:shd w:val="clear" w:color="auto" w:fill="auto"/>
                  <w:vAlign w:val="center"/>
                </w:tcPr>
                <w:p w14:paraId="0DF433CD">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LSII400</w:t>
                  </w:r>
                </w:p>
              </w:tc>
              <w:tc>
                <w:tcPr>
                  <w:tcW w:w="0" w:type="auto"/>
                  <w:shd w:val="clear" w:color="auto" w:fill="auto"/>
                  <w:vAlign w:val="center"/>
                </w:tcPr>
                <w:p w14:paraId="43A97D1D">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1台</w:t>
                  </w:r>
                </w:p>
              </w:tc>
              <w:tc>
                <w:tcPr>
                  <w:tcW w:w="1361" w:type="pct"/>
                  <w:vMerge w:val="continue"/>
                </w:tcPr>
                <w:p w14:paraId="48EC70E3">
                  <w:pPr>
                    <w:pStyle w:val="43"/>
                    <w:bidi w:val="0"/>
                    <w:jc w:val="center"/>
                    <w:rPr>
                      <w:rFonts w:hint="default" w:ascii="Times New Roman" w:hAnsi="Times New Roman" w:cs="Times New Roman"/>
                      <w:color w:val="auto"/>
                    </w:rPr>
                  </w:pPr>
                </w:p>
              </w:tc>
            </w:tr>
            <w:tr w14:paraId="0EA7D1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0" w:type="auto"/>
                </w:tcPr>
                <w:p w14:paraId="48A46A8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cs="Times New Roman"/>
                      <w:color w:val="auto"/>
                      <w:sz w:val="21"/>
                      <w:szCs w:val="21"/>
                      <w:lang w:val="en-US" w:eastAsia="zh-CN"/>
                    </w:rPr>
                  </w:pPr>
                  <w:r>
                    <w:rPr>
                      <w:rFonts w:hint="eastAsia" w:cs="Times New Roman"/>
                      <w:color w:val="auto"/>
                      <w:sz w:val="21"/>
                      <w:szCs w:val="21"/>
                      <w:lang w:val="en-US" w:eastAsia="zh-CN"/>
                    </w:rPr>
                    <w:t>16</w:t>
                  </w:r>
                </w:p>
              </w:tc>
              <w:tc>
                <w:tcPr>
                  <w:tcW w:w="0" w:type="auto"/>
                  <w:shd w:val="clear" w:color="auto" w:fill="auto"/>
                  <w:vAlign w:val="center"/>
                </w:tcPr>
                <w:p w14:paraId="76617A84">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料封泵</w:t>
                  </w:r>
                </w:p>
              </w:tc>
              <w:tc>
                <w:tcPr>
                  <w:tcW w:w="0" w:type="auto"/>
                  <w:shd w:val="clear" w:color="auto" w:fill="auto"/>
                  <w:vAlign w:val="center"/>
                </w:tcPr>
                <w:p w14:paraId="6E592290">
                  <w:pPr>
                    <w:pStyle w:val="43"/>
                    <w:keepNext w:val="0"/>
                    <w:keepLines w:val="0"/>
                    <w:widowControl/>
                    <w:suppressLineNumbers w:val="0"/>
                    <w:bidi w:val="0"/>
                    <w:spacing w:before="0" w:beforeAutospacing="0" w:after="0" w:afterAutospacing="0"/>
                    <w:ind w:left="0" w:leftChars="0" w:right="0" w:rightChars="0"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LG300</w:t>
                  </w:r>
                </w:p>
              </w:tc>
              <w:tc>
                <w:tcPr>
                  <w:tcW w:w="0" w:type="auto"/>
                  <w:shd w:val="clear" w:color="auto" w:fill="auto"/>
                  <w:vAlign w:val="center"/>
                </w:tcPr>
                <w:p w14:paraId="0FB13A69">
                  <w:pPr>
                    <w:pStyle w:val="43"/>
                    <w:keepNext w:val="0"/>
                    <w:keepLines w:val="0"/>
                    <w:widowControl/>
                    <w:suppressLineNumbers w:val="0"/>
                    <w:bidi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1台</w:t>
                  </w:r>
                </w:p>
              </w:tc>
              <w:tc>
                <w:tcPr>
                  <w:tcW w:w="1361" w:type="pct"/>
                  <w:vMerge w:val="continue"/>
                </w:tcPr>
                <w:p w14:paraId="3CA53B9F">
                  <w:pPr>
                    <w:pStyle w:val="43"/>
                    <w:bidi w:val="0"/>
                    <w:jc w:val="center"/>
                    <w:rPr>
                      <w:rFonts w:hint="default" w:ascii="Times New Roman" w:hAnsi="Times New Roman" w:cs="Times New Roman"/>
                      <w:color w:val="auto"/>
                    </w:rPr>
                  </w:pPr>
                </w:p>
              </w:tc>
            </w:tr>
          </w:tbl>
          <w:p w14:paraId="36BDA1CC">
            <w:pPr>
              <w:pStyle w:val="87"/>
              <w:spacing w:line="240" w:lineRule="auto"/>
              <w:ind w:firstLine="422"/>
              <w:rPr>
                <w:rFonts w:hint="default" w:ascii="Times New Roman" w:hAnsi="Times New Roman" w:cs="Times New Roman"/>
                <w:b w:val="0"/>
                <w:bCs w:val="0"/>
                <w:color w:val="auto"/>
              </w:rPr>
            </w:pPr>
            <w:r>
              <w:rPr>
                <w:rFonts w:hint="default" w:ascii="Times New Roman" w:hAnsi="Times New Roman" w:cs="Times New Roman"/>
                <w:b w:val="0"/>
                <w:bCs w:val="0"/>
                <w:color w:val="auto"/>
                <w:sz w:val="21"/>
              </w:rPr>
              <w:t>注：本项目生产设备不在国家发展改革委公布的《产业结构调整指导目录（</w:t>
            </w:r>
            <w:r>
              <w:rPr>
                <w:rFonts w:hint="default" w:ascii="Times New Roman" w:hAnsi="Times New Roman" w:cs="Times New Roman"/>
                <w:b w:val="0"/>
                <w:bCs w:val="0"/>
                <w:color w:val="auto"/>
                <w:sz w:val="21"/>
                <w:lang w:val="en-US" w:eastAsia="zh-CN"/>
              </w:rPr>
              <w:t>2024</w:t>
            </w:r>
            <w:r>
              <w:rPr>
                <w:rFonts w:hint="default" w:ascii="Times New Roman" w:hAnsi="Times New Roman" w:cs="Times New Roman"/>
                <w:b w:val="0"/>
                <w:bCs w:val="0"/>
                <w:color w:val="auto"/>
                <w:sz w:val="21"/>
              </w:rPr>
              <w:t>年）》限制及淘汰类设备范围内。</w:t>
            </w:r>
          </w:p>
          <w:p w14:paraId="7F109792">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五</w:t>
            </w:r>
            <w:r>
              <w:rPr>
                <w:rFonts w:hint="default" w:ascii="Times New Roman" w:hAnsi="Times New Roman" w:eastAsia="宋体" w:cs="Times New Roman"/>
                <w:b/>
                <w:bCs w:val="0"/>
                <w:color w:val="auto"/>
                <w:lang w:val="en-US" w:eastAsia="zh-CN"/>
              </w:rPr>
              <w:t>、</w:t>
            </w:r>
            <w:r>
              <w:rPr>
                <w:rFonts w:hint="eastAsia" w:ascii="Times New Roman" w:hAnsi="Times New Roman" w:eastAsia="宋体" w:cs="Times New Roman"/>
                <w:b/>
                <w:bCs w:val="0"/>
                <w:color w:val="auto"/>
                <w:lang w:val="en-US" w:eastAsia="zh-CN"/>
              </w:rPr>
              <w:t>固体废物处置规模</w:t>
            </w:r>
          </w:p>
          <w:p w14:paraId="1899E45B">
            <w:pPr>
              <w:adjustRightInd w:val="0"/>
              <w:snapToGrid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w:t>
            </w:r>
            <w:r>
              <w:rPr>
                <w:rFonts w:hint="eastAsia" w:cs="Times New Roman"/>
                <w:color w:val="auto"/>
                <w:lang w:val="en-US" w:eastAsia="zh-CN"/>
              </w:rPr>
              <w:t>综合利用</w:t>
            </w:r>
            <w:r>
              <w:rPr>
                <w:rFonts w:hint="default" w:ascii="Times New Roman" w:hAnsi="Times New Roman" w:eastAsia="宋体" w:cs="Times New Roman"/>
                <w:color w:val="auto"/>
                <w:lang w:val="en-US" w:eastAsia="zh-CN"/>
              </w:rPr>
              <w:t>一般固体废物，不含危险废物，处置规模为</w:t>
            </w:r>
            <w:r>
              <w:rPr>
                <w:rFonts w:hint="eastAsia" w:cs="Times New Roman"/>
                <w:color w:val="auto"/>
                <w:lang w:val="en-US" w:eastAsia="zh-CN"/>
              </w:rPr>
              <w:t>55</w:t>
            </w:r>
            <w:r>
              <w:rPr>
                <w:rFonts w:hint="default" w:ascii="Times New Roman" w:hAnsi="Times New Roman" w:eastAsia="宋体" w:cs="Times New Roman"/>
                <w:color w:val="auto"/>
                <w:lang w:val="en-US" w:eastAsia="zh-CN"/>
              </w:rPr>
              <w:t>万t/a ，本项目</w:t>
            </w:r>
            <w:r>
              <w:rPr>
                <w:rFonts w:hint="eastAsia" w:cs="Times New Roman"/>
                <w:color w:val="auto"/>
                <w:lang w:val="en-US" w:eastAsia="zh-CN"/>
              </w:rPr>
              <w:t>综合利用的</w:t>
            </w:r>
            <w:r>
              <w:rPr>
                <w:rFonts w:hint="default" w:ascii="Times New Roman" w:hAnsi="Times New Roman" w:eastAsia="宋体" w:cs="Times New Roman"/>
                <w:color w:val="auto"/>
                <w:lang w:val="en-US" w:eastAsia="zh-CN"/>
              </w:rPr>
              <w:t>固废类别及处置规模详见下表2-</w:t>
            </w: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lang w:val="en-US" w:eastAsia="zh-CN"/>
              </w:rPr>
              <w:t>。</w:t>
            </w:r>
          </w:p>
          <w:p w14:paraId="7989E794">
            <w:pPr>
              <w:adjustRightInd w:val="0"/>
              <w:snapToGrid w:val="0"/>
              <w:spacing w:line="240" w:lineRule="auto"/>
              <w:ind w:firstLine="482" w:firstLineChars="200"/>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表2-5 本项目一般固体废物</w:t>
            </w:r>
            <w:r>
              <w:rPr>
                <w:rFonts w:hint="eastAsia" w:cs="Times New Roman"/>
                <w:b/>
                <w:bCs/>
                <w:color w:val="auto"/>
                <w:sz w:val="24"/>
                <w:szCs w:val="24"/>
                <w:lang w:val="en-US" w:eastAsia="zh-CN"/>
              </w:rPr>
              <w:t>综合利用</w:t>
            </w:r>
            <w:r>
              <w:rPr>
                <w:rFonts w:hint="eastAsia" w:ascii="Times New Roman" w:hAnsi="Times New Roman" w:eastAsia="宋体" w:cs="Times New Roman"/>
                <w:b/>
                <w:bCs/>
                <w:color w:val="auto"/>
                <w:sz w:val="24"/>
                <w:szCs w:val="24"/>
                <w:lang w:val="en-US" w:eastAsia="zh-CN"/>
              </w:rPr>
              <w:t>规模一览表</w:t>
            </w:r>
          </w:p>
          <w:tbl>
            <w:tblPr>
              <w:tblStyle w:val="1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95"/>
              <w:gridCol w:w="2269"/>
              <w:gridCol w:w="1119"/>
              <w:gridCol w:w="2252"/>
              <w:gridCol w:w="1737"/>
            </w:tblGrid>
            <w:tr w14:paraId="4E0AB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noWrap w:val="0"/>
                  <w:vAlign w:val="center"/>
                </w:tcPr>
                <w:p w14:paraId="3E95D486">
                  <w:pPr>
                    <w:pStyle w:val="43"/>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序号</w:t>
                  </w:r>
                </w:p>
              </w:tc>
              <w:tc>
                <w:tcPr>
                  <w:tcW w:w="2269" w:type="dxa"/>
                  <w:tcBorders>
                    <w:tl2br w:val="nil"/>
                    <w:tr2bl w:val="nil"/>
                  </w:tcBorders>
                  <w:noWrap w:val="0"/>
                  <w:vAlign w:val="center"/>
                </w:tcPr>
                <w:p w14:paraId="4C65D779">
                  <w:pPr>
                    <w:pStyle w:val="43"/>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名称</w:t>
                  </w:r>
                </w:p>
              </w:tc>
              <w:tc>
                <w:tcPr>
                  <w:tcW w:w="1119" w:type="dxa"/>
                  <w:tcBorders>
                    <w:tl2br w:val="nil"/>
                    <w:tr2bl w:val="nil"/>
                  </w:tcBorders>
                  <w:noWrap w:val="0"/>
                  <w:vAlign w:val="center"/>
                </w:tcPr>
                <w:p w14:paraId="541D5EFA">
                  <w:pPr>
                    <w:pStyle w:val="43"/>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形态</w:t>
                  </w:r>
                </w:p>
              </w:tc>
              <w:tc>
                <w:tcPr>
                  <w:tcW w:w="2252" w:type="dxa"/>
                  <w:tcBorders>
                    <w:tl2br w:val="nil"/>
                    <w:tr2bl w:val="nil"/>
                  </w:tcBorders>
                  <w:noWrap w:val="0"/>
                  <w:vAlign w:val="center"/>
                </w:tcPr>
                <w:p w14:paraId="092C7E4E">
                  <w:pPr>
                    <w:pStyle w:val="43"/>
                    <w:bidi w:val="0"/>
                    <w:rPr>
                      <w:rFonts w:hint="default" w:ascii="Times New Roman" w:hAnsi="Times New Roman" w:eastAsia="宋体" w:cs="Times New Roman"/>
                      <w:b/>
                      <w:bCs/>
                      <w:color w:val="auto"/>
                      <w:lang w:val="en-US" w:eastAsia="zh-CN"/>
                    </w:rPr>
                  </w:pPr>
                  <w:r>
                    <w:rPr>
                      <w:rFonts w:hint="eastAsia" w:cs="Times New Roman"/>
                      <w:b/>
                      <w:bCs/>
                      <w:color w:val="auto"/>
                      <w:lang w:val="en-US" w:eastAsia="zh-CN"/>
                    </w:rPr>
                    <w:t>利用</w:t>
                  </w:r>
                  <w:r>
                    <w:rPr>
                      <w:rFonts w:hint="default" w:ascii="Times New Roman" w:hAnsi="Times New Roman" w:eastAsia="宋体" w:cs="Times New Roman"/>
                      <w:b/>
                      <w:bCs/>
                      <w:color w:val="auto"/>
                      <w:lang w:val="en-US" w:eastAsia="zh-CN"/>
                    </w:rPr>
                    <w:t>规模（t/a）</w:t>
                  </w:r>
                </w:p>
              </w:tc>
              <w:tc>
                <w:tcPr>
                  <w:tcW w:w="1737" w:type="dxa"/>
                  <w:tcBorders>
                    <w:tl2br w:val="nil"/>
                    <w:tr2bl w:val="nil"/>
                  </w:tcBorders>
                  <w:noWrap w:val="0"/>
                  <w:vAlign w:val="center"/>
                </w:tcPr>
                <w:p w14:paraId="40DE0D83">
                  <w:pPr>
                    <w:pStyle w:val="43"/>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在水泥</w:t>
                  </w:r>
                  <w:r>
                    <w:rPr>
                      <w:rFonts w:hint="eastAsia" w:cs="Times New Roman"/>
                      <w:b/>
                      <w:bCs/>
                      <w:color w:val="auto"/>
                      <w:lang w:val="en-US" w:eastAsia="zh-CN"/>
                    </w:rPr>
                    <w:t>生产</w:t>
                  </w:r>
                  <w:r>
                    <w:rPr>
                      <w:rFonts w:hint="default" w:ascii="Times New Roman" w:hAnsi="Times New Roman" w:eastAsia="宋体" w:cs="Times New Roman"/>
                      <w:b/>
                      <w:bCs/>
                      <w:color w:val="auto"/>
                      <w:lang w:val="en-US" w:eastAsia="zh-CN"/>
                    </w:rPr>
                    <w:t>中所起作用</w:t>
                  </w:r>
                </w:p>
              </w:tc>
            </w:tr>
            <w:tr w14:paraId="04FA3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46BAF7A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2269" w:type="dxa"/>
                  <w:tcBorders>
                    <w:tl2br w:val="nil"/>
                    <w:tr2bl w:val="nil"/>
                  </w:tcBorders>
                  <w:shd w:val="clear" w:color="auto" w:fill="FFFFFF" w:themeFill="background1"/>
                  <w:noWrap w:val="0"/>
                  <w:vAlign w:val="center"/>
                </w:tcPr>
                <w:p w14:paraId="07A66AF4">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炉渣（生料用）</w:t>
                  </w:r>
                </w:p>
              </w:tc>
              <w:tc>
                <w:tcPr>
                  <w:tcW w:w="1119" w:type="dxa"/>
                  <w:tcBorders>
                    <w:tl2br w:val="nil"/>
                    <w:tr2bl w:val="nil"/>
                  </w:tcBorders>
                  <w:shd w:val="clear" w:color="auto" w:fill="FFFFFF" w:themeFill="background1"/>
                  <w:noWrap w:val="0"/>
                  <w:vAlign w:val="center"/>
                </w:tcPr>
                <w:p w14:paraId="47DF664E">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635DEC7F">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25000</w:t>
                  </w:r>
                </w:p>
              </w:tc>
              <w:tc>
                <w:tcPr>
                  <w:tcW w:w="1737" w:type="dxa"/>
                  <w:vMerge w:val="restart"/>
                  <w:tcBorders>
                    <w:tl2br w:val="nil"/>
                    <w:tr2bl w:val="nil"/>
                  </w:tcBorders>
                  <w:noWrap w:val="0"/>
                  <w:vAlign w:val="center"/>
                </w:tcPr>
                <w:p w14:paraId="12C9C308">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替代原料，用于熟料生产</w:t>
                  </w:r>
                </w:p>
              </w:tc>
            </w:tr>
            <w:tr w14:paraId="78946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25292F2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2269" w:type="dxa"/>
                  <w:tcBorders>
                    <w:tl2br w:val="nil"/>
                    <w:tr2bl w:val="nil"/>
                  </w:tcBorders>
                  <w:shd w:val="clear" w:color="auto" w:fill="FFFFFF" w:themeFill="background1"/>
                  <w:noWrap w:val="0"/>
                  <w:vAlign w:val="center"/>
                </w:tcPr>
                <w:p w14:paraId="3692F2C2">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铁矿选矿粉末</w:t>
                  </w:r>
                </w:p>
              </w:tc>
              <w:tc>
                <w:tcPr>
                  <w:tcW w:w="1119" w:type="dxa"/>
                  <w:tcBorders>
                    <w:tl2br w:val="nil"/>
                    <w:tr2bl w:val="nil"/>
                  </w:tcBorders>
                  <w:shd w:val="clear" w:color="auto" w:fill="FFFFFF" w:themeFill="background1"/>
                  <w:noWrap w:val="0"/>
                  <w:vAlign w:val="center"/>
                </w:tcPr>
                <w:p w14:paraId="0C14E314">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4F46F06C">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500</w:t>
                  </w:r>
                </w:p>
              </w:tc>
              <w:tc>
                <w:tcPr>
                  <w:tcW w:w="1737" w:type="dxa"/>
                  <w:vMerge w:val="continue"/>
                  <w:tcBorders>
                    <w:tl2br w:val="nil"/>
                    <w:tr2bl w:val="nil"/>
                  </w:tcBorders>
                  <w:noWrap w:val="0"/>
                  <w:vAlign w:val="center"/>
                </w:tcPr>
                <w:p w14:paraId="1AD49A53">
                  <w:pPr>
                    <w:pStyle w:val="43"/>
                    <w:bidi w:val="0"/>
                    <w:rPr>
                      <w:rFonts w:hint="default" w:ascii="Times New Roman" w:hAnsi="Times New Roman" w:eastAsia="宋体" w:cs="Times New Roman"/>
                      <w:color w:val="auto"/>
                      <w:lang w:val="en-US" w:eastAsia="zh-CN"/>
                    </w:rPr>
                  </w:pPr>
                </w:p>
              </w:tc>
            </w:tr>
            <w:tr w14:paraId="0B78F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95" w:type="dxa"/>
                  <w:tcBorders>
                    <w:tl2br w:val="nil"/>
                    <w:tr2bl w:val="nil"/>
                  </w:tcBorders>
                  <w:shd w:val="clear" w:color="auto" w:fill="auto"/>
                  <w:noWrap w:val="0"/>
                  <w:vAlign w:val="center"/>
                </w:tcPr>
                <w:p w14:paraId="77EAC41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2269" w:type="dxa"/>
                  <w:tcBorders>
                    <w:tl2br w:val="nil"/>
                    <w:tr2bl w:val="nil"/>
                  </w:tcBorders>
                  <w:shd w:val="clear" w:color="auto" w:fill="FFFFFF" w:themeFill="background1"/>
                  <w:noWrap w:val="0"/>
                  <w:vAlign w:val="center"/>
                </w:tcPr>
                <w:p w14:paraId="1A9548E2">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尾矿渣</w:t>
                  </w:r>
                </w:p>
              </w:tc>
              <w:tc>
                <w:tcPr>
                  <w:tcW w:w="1119" w:type="dxa"/>
                  <w:tcBorders>
                    <w:tl2br w:val="nil"/>
                    <w:tr2bl w:val="nil"/>
                  </w:tcBorders>
                  <w:shd w:val="clear" w:color="auto" w:fill="FFFFFF" w:themeFill="background1"/>
                  <w:noWrap w:val="0"/>
                  <w:vAlign w:val="center"/>
                </w:tcPr>
                <w:p w14:paraId="01CC7C58">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439018D">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45000</w:t>
                  </w:r>
                </w:p>
              </w:tc>
              <w:tc>
                <w:tcPr>
                  <w:tcW w:w="1737" w:type="dxa"/>
                  <w:vMerge w:val="continue"/>
                  <w:tcBorders>
                    <w:tl2br w:val="nil"/>
                    <w:tr2bl w:val="nil"/>
                  </w:tcBorders>
                  <w:noWrap w:val="0"/>
                  <w:vAlign w:val="center"/>
                </w:tcPr>
                <w:p w14:paraId="010F37EE">
                  <w:pPr>
                    <w:pStyle w:val="43"/>
                    <w:bidi w:val="0"/>
                    <w:rPr>
                      <w:rFonts w:hint="default" w:ascii="Times New Roman" w:hAnsi="Times New Roman" w:eastAsia="宋体" w:cs="Times New Roman"/>
                      <w:color w:val="auto"/>
                      <w:lang w:val="en-US" w:eastAsia="zh-CN"/>
                    </w:rPr>
                  </w:pPr>
                </w:p>
              </w:tc>
            </w:tr>
            <w:tr w14:paraId="1661B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61749A2F">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p>
              </w:tc>
              <w:tc>
                <w:tcPr>
                  <w:tcW w:w="2269" w:type="dxa"/>
                  <w:tcBorders>
                    <w:tl2br w:val="nil"/>
                    <w:tr2bl w:val="nil"/>
                  </w:tcBorders>
                  <w:shd w:val="clear" w:color="auto" w:fill="FFFFFF" w:themeFill="background1"/>
                  <w:noWrap w:val="0"/>
                  <w:vAlign w:val="center"/>
                </w:tcPr>
                <w:p w14:paraId="1448605C">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铁合金炉渣</w:t>
                  </w:r>
                </w:p>
              </w:tc>
              <w:tc>
                <w:tcPr>
                  <w:tcW w:w="1119" w:type="dxa"/>
                  <w:tcBorders>
                    <w:tl2br w:val="nil"/>
                    <w:tr2bl w:val="nil"/>
                  </w:tcBorders>
                  <w:shd w:val="clear" w:color="auto" w:fill="FFFFFF" w:themeFill="background1"/>
                  <w:noWrap w:val="0"/>
                  <w:vAlign w:val="center"/>
                </w:tcPr>
                <w:p w14:paraId="1B9FB842">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05F704A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w:t>
                  </w:r>
                </w:p>
              </w:tc>
              <w:tc>
                <w:tcPr>
                  <w:tcW w:w="1737" w:type="dxa"/>
                  <w:vMerge w:val="continue"/>
                  <w:tcBorders>
                    <w:tl2br w:val="nil"/>
                    <w:tr2bl w:val="nil"/>
                  </w:tcBorders>
                  <w:noWrap w:val="0"/>
                  <w:vAlign w:val="center"/>
                </w:tcPr>
                <w:p w14:paraId="18508504">
                  <w:pPr>
                    <w:pStyle w:val="43"/>
                    <w:bidi w:val="0"/>
                    <w:rPr>
                      <w:rFonts w:hint="default" w:ascii="Times New Roman" w:hAnsi="Times New Roman" w:eastAsia="宋体" w:cs="Times New Roman"/>
                      <w:color w:val="auto"/>
                      <w:lang w:val="en-US" w:eastAsia="zh-CN"/>
                    </w:rPr>
                  </w:pPr>
                </w:p>
              </w:tc>
            </w:tr>
            <w:tr w14:paraId="755DD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3EDE1D3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p>
              </w:tc>
              <w:tc>
                <w:tcPr>
                  <w:tcW w:w="2269" w:type="dxa"/>
                  <w:tcBorders>
                    <w:tl2br w:val="nil"/>
                    <w:tr2bl w:val="nil"/>
                  </w:tcBorders>
                  <w:shd w:val="clear" w:color="auto" w:fill="FFFFFF" w:themeFill="background1"/>
                  <w:noWrap w:val="0"/>
                  <w:vAlign w:val="center"/>
                </w:tcPr>
                <w:p w14:paraId="3AE0FF69">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石英砂选矿污泥</w:t>
                  </w:r>
                </w:p>
              </w:tc>
              <w:tc>
                <w:tcPr>
                  <w:tcW w:w="1119" w:type="dxa"/>
                  <w:tcBorders>
                    <w:tl2br w:val="nil"/>
                    <w:tr2bl w:val="nil"/>
                  </w:tcBorders>
                  <w:shd w:val="clear" w:color="auto" w:fill="FFFFFF" w:themeFill="background1"/>
                  <w:noWrap w:val="0"/>
                  <w:vAlign w:val="center"/>
                </w:tcPr>
                <w:p w14:paraId="4A292855">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7C120204">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180000</w:t>
                  </w:r>
                </w:p>
              </w:tc>
              <w:tc>
                <w:tcPr>
                  <w:tcW w:w="1737" w:type="dxa"/>
                  <w:vMerge w:val="continue"/>
                  <w:tcBorders>
                    <w:tl2br w:val="nil"/>
                    <w:tr2bl w:val="nil"/>
                  </w:tcBorders>
                  <w:noWrap w:val="0"/>
                  <w:vAlign w:val="center"/>
                </w:tcPr>
                <w:p w14:paraId="2819FA00">
                  <w:pPr>
                    <w:pStyle w:val="43"/>
                    <w:bidi w:val="0"/>
                    <w:rPr>
                      <w:rFonts w:hint="default" w:ascii="Times New Roman" w:hAnsi="Times New Roman" w:eastAsia="宋体" w:cs="Times New Roman"/>
                      <w:color w:val="auto"/>
                      <w:lang w:val="en-US" w:eastAsia="zh-CN"/>
                    </w:rPr>
                  </w:pPr>
                </w:p>
              </w:tc>
            </w:tr>
            <w:tr w14:paraId="6BCBD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5" w:type="dxa"/>
                  <w:tcBorders>
                    <w:tl2br w:val="nil"/>
                    <w:tr2bl w:val="nil"/>
                  </w:tcBorders>
                  <w:shd w:val="clear" w:color="auto" w:fill="auto"/>
                  <w:noWrap w:val="0"/>
                  <w:vAlign w:val="center"/>
                </w:tcPr>
                <w:p w14:paraId="16425BA8">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p>
              </w:tc>
              <w:tc>
                <w:tcPr>
                  <w:tcW w:w="2269" w:type="dxa"/>
                  <w:tcBorders>
                    <w:tl2br w:val="nil"/>
                    <w:tr2bl w:val="nil"/>
                  </w:tcBorders>
                  <w:shd w:val="clear" w:color="auto" w:fill="FFFFFF" w:themeFill="background1"/>
                  <w:noWrap w:val="0"/>
                  <w:vAlign w:val="center"/>
                </w:tcPr>
                <w:p w14:paraId="763FA16C">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煤矸石</w:t>
                  </w:r>
                </w:p>
              </w:tc>
              <w:tc>
                <w:tcPr>
                  <w:tcW w:w="1119" w:type="dxa"/>
                  <w:tcBorders>
                    <w:tl2br w:val="nil"/>
                    <w:tr2bl w:val="nil"/>
                  </w:tcBorders>
                  <w:shd w:val="clear" w:color="auto" w:fill="FFFFFF" w:themeFill="background1"/>
                  <w:noWrap w:val="0"/>
                  <w:vAlign w:val="center"/>
                </w:tcPr>
                <w:p w14:paraId="74663322">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1EE428FD">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4500</w:t>
                  </w:r>
                </w:p>
              </w:tc>
              <w:tc>
                <w:tcPr>
                  <w:tcW w:w="1737" w:type="dxa"/>
                  <w:vMerge w:val="continue"/>
                  <w:tcBorders>
                    <w:tl2br w:val="nil"/>
                    <w:tr2bl w:val="nil"/>
                  </w:tcBorders>
                  <w:noWrap w:val="0"/>
                  <w:vAlign w:val="center"/>
                </w:tcPr>
                <w:p w14:paraId="461D9B5A">
                  <w:pPr>
                    <w:pStyle w:val="43"/>
                    <w:bidi w:val="0"/>
                    <w:rPr>
                      <w:rFonts w:hint="default" w:ascii="Times New Roman" w:hAnsi="Times New Roman" w:eastAsia="宋体" w:cs="Times New Roman"/>
                      <w:color w:val="auto"/>
                      <w:lang w:val="en-US" w:eastAsia="zh-CN"/>
                    </w:rPr>
                  </w:pPr>
                </w:p>
              </w:tc>
            </w:tr>
            <w:tr w14:paraId="05F1E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7C1F501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w:t>
                  </w:r>
                </w:p>
              </w:tc>
              <w:tc>
                <w:tcPr>
                  <w:tcW w:w="2269" w:type="dxa"/>
                  <w:tcBorders>
                    <w:tl2br w:val="nil"/>
                    <w:tr2bl w:val="nil"/>
                  </w:tcBorders>
                  <w:shd w:val="clear" w:color="auto" w:fill="FFFFFF" w:themeFill="background1"/>
                  <w:noWrap w:val="0"/>
                  <w:vAlign w:val="center"/>
                </w:tcPr>
                <w:p w14:paraId="277F911D">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萤石选矿尾渣</w:t>
                  </w:r>
                </w:p>
              </w:tc>
              <w:tc>
                <w:tcPr>
                  <w:tcW w:w="1119" w:type="dxa"/>
                  <w:tcBorders>
                    <w:tl2br w:val="nil"/>
                    <w:tr2bl w:val="nil"/>
                  </w:tcBorders>
                  <w:shd w:val="clear" w:color="auto" w:fill="FFFFFF" w:themeFill="background1"/>
                  <w:noWrap w:val="0"/>
                  <w:vAlign w:val="center"/>
                </w:tcPr>
                <w:p w14:paraId="5160C388">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8F1AF84">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6000</w:t>
                  </w:r>
                </w:p>
              </w:tc>
              <w:tc>
                <w:tcPr>
                  <w:tcW w:w="1737" w:type="dxa"/>
                  <w:vMerge w:val="continue"/>
                  <w:tcBorders>
                    <w:tl2br w:val="nil"/>
                    <w:tr2bl w:val="nil"/>
                  </w:tcBorders>
                  <w:noWrap w:val="0"/>
                  <w:vAlign w:val="center"/>
                </w:tcPr>
                <w:p w14:paraId="2FE985F8">
                  <w:pPr>
                    <w:pStyle w:val="43"/>
                    <w:bidi w:val="0"/>
                    <w:rPr>
                      <w:rFonts w:hint="default" w:ascii="Times New Roman" w:hAnsi="Times New Roman" w:eastAsia="宋体" w:cs="Times New Roman"/>
                      <w:color w:val="auto"/>
                      <w:lang w:val="en-US" w:eastAsia="zh-CN"/>
                    </w:rPr>
                  </w:pPr>
                </w:p>
              </w:tc>
            </w:tr>
            <w:tr w14:paraId="6E1AA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04C0FA31">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w:t>
                  </w:r>
                </w:p>
              </w:tc>
              <w:tc>
                <w:tcPr>
                  <w:tcW w:w="2269" w:type="dxa"/>
                  <w:tcBorders>
                    <w:tl2br w:val="nil"/>
                    <w:tr2bl w:val="nil"/>
                  </w:tcBorders>
                  <w:shd w:val="clear" w:color="auto" w:fill="FFFFFF" w:themeFill="background1"/>
                  <w:noWrap w:val="0"/>
                  <w:vAlign w:val="center"/>
                </w:tcPr>
                <w:p w14:paraId="5928BFF2">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电石渣</w:t>
                  </w:r>
                </w:p>
              </w:tc>
              <w:tc>
                <w:tcPr>
                  <w:tcW w:w="1119" w:type="dxa"/>
                  <w:tcBorders>
                    <w:tl2br w:val="nil"/>
                    <w:tr2bl w:val="nil"/>
                  </w:tcBorders>
                  <w:shd w:val="clear" w:color="auto" w:fill="FFFFFF" w:themeFill="background1"/>
                  <w:noWrap w:val="0"/>
                  <w:vAlign w:val="center"/>
                </w:tcPr>
                <w:p w14:paraId="41E3AD82">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F11B950">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500</w:t>
                  </w:r>
                </w:p>
              </w:tc>
              <w:tc>
                <w:tcPr>
                  <w:tcW w:w="1737" w:type="dxa"/>
                  <w:vMerge w:val="continue"/>
                  <w:tcBorders>
                    <w:tl2br w:val="nil"/>
                    <w:tr2bl w:val="nil"/>
                  </w:tcBorders>
                  <w:noWrap w:val="0"/>
                  <w:vAlign w:val="center"/>
                </w:tcPr>
                <w:p w14:paraId="1AD4D46F">
                  <w:pPr>
                    <w:pStyle w:val="43"/>
                    <w:bidi w:val="0"/>
                    <w:rPr>
                      <w:rFonts w:hint="default" w:ascii="Times New Roman" w:hAnsi="Times New Roman" w:eastAsia="宋体" w:cs="Times New Roman"/>
                      <w:color w:val="auto"/>
                      <w:lang w:val="en-US" w:eastAsia="zh-CN"/>
                    </w:rPr>
                  </w:pPr>
                </w:p>
              </w:tc>
            </w:tr>
            <w:tr w14:paraId="6F589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444027E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w:t>
                  </w:r>
                </w:p>
              </w:tc>
              <w:tc>
                <w:tcPr>
                  <w:tcW w:w="2269" w:type="dxa"/>
                  <w:tcBorders>
                    <w:tl2br w:val="nil"/>
                    <w:tr2bl w:val="nil"/>
                  </w:tcBorders>
                  <w:shd w:val="clear" w:color="auto" w:fill="FFFFFF" w:themeFill="background1"/>
                  <w:noWrap w:val="0"/>
                  <w:vAlign w:val="center"/>
                </w:tcPr>
                <w:p w14:paraId="232133BD">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造纸白泥</w:t>
                  </w:r>
                </w:p>
              </w:tc>
              <w:tc>
                <w:tcPr>
                  <w:tcW w:w="1119" w:type="dxa"/>
                  <w:tcBorders>
                    <w:tl2br w:val="nil"/>
                    <w:tr2bl w:val="nil"/>
                  </w:tcBorders>
                  <w:shd w:val="clear" w:color="auto" w:fill="FFFFFF" w:themeFill="background1"/>
                  <w:noWrap w:val="0"/>
                  <w:vAlign w:val="center"/>
                </w:tcPr>
                <w:p w14:paraId="39E6F0EE">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1AEC600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800</w:t>
                  </w:r>
                </w:p>
              </w:tc>
              <w:tc>
                <w:tcPr>
                  <w:tcW w:w="1737" w:type="dxa"/>
                  <w:vMerge w:val="continue"/>
                  <w:tcBorders>
                    <w:tl2br w:val="nil"/>
                    <w:tr2bl w:val="nil"/>
                  </w:tcBorders>
                  <w:noWrap w:val="0"/>
                  <w:vAlign w:val="center"/>
                </w:tcPr>
                <w:p w14:paraId="52E1D640">
                  <w:pPr>
                    <w:pStyle w:val="43"/>
                    <w:bidi w:val="0"/>
                    <w:rPr>
                      <w:rFonts w:hint="default" w:ascii="Times New Roman" w:hAnsi="Times New Roman" w:eastAsia="宋体" w:cs="Times New Roman"/>
                      <w:color w:val="auto"/>
                      <w:lang w:val="en-US" w:eastAsia="zh-CN"/>
                    </w:rPr>
                  </w:pPr>
                </w:p>
              </w:tc>
            </w:tr>
            <w:tr w14:paraId="26305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058266B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c>
                <w:tcPr>
                  <w:tcW w:w="2269" w:type="dxa"/>
                  <w:tcBorders>
                    <w:tl2br w:val="nil"/>
                    <w:tr2bl w:val="nil"/>
                  </w:tcBorders>
                  <w:shd w:val="clear" w:color="auto" w:fill="FFFFFF" w:themeFill="background1"/>
                  <w:noWrap w:val="0"/>
                  <w:vAlign w:val="center"/>
                </w:tcPr>
                <w:p w14:paraId="2F77519D">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氟化钙污泥</w:t>
                  </w:r>
                </w:p>
              </w:tc>
              <w:tc>
                <w:tcPr>
                  <w:tcW w:w="1119" w:type="dxa"/>
                  <w:tcBorders>
                    <w:tl2br w:val="nil"/>
                    <w:tr2bl w:val="nil"/>
                  </w:tcBorders>
                  <w:shd w:val="clear" w:color="auto" w:fill="FFFFFF" w:themeFill="background1"/>
                  <w:noWrap w:val="0"/>
                  <w:vAlign w:val="center"/>
                </w:tcPr>
                <w:p w14:paraId="7D1BBF6F">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370433F1">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c>
                <w:tcPr>
                  <w:tcW w:w="1737" w:type="dxa"/>
                  <w:vMerge w:val="continue"/>
                  <w:tcBorders>
                    <w:tl2br w:val="nil"/>
                    <w:tr2bl w:val="nil"/>
                  </w:tcBorders>
                  <w:noWrap w:val="0"/>
                  <w:vAlign w:val="center"/>
                </w:tcPr>
                <w:p w14:paraId="7DB08F66">
                  <w:pPr>
                    <w:pStyle w:val="43"/>
                    <w:bidi w:val="0"/>
                    <w:rPr>
                      <w:rFonts w:hint="default" w:ascii="Times New Roman" w:hAnsi="Times New Roman" w:eastAsia="宋体" w:cs="Times New Roman"/>
                      <w:color w:val="auto"/>
                      <w:lang w:val="en-US" w:eastAsia="zh-CN"/>
                    </w:rPr>
                  </w:pPr>
                </w:p>
              </w:tc>
            </w:tr>
            <w:tr w14:paraId="1D89D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20CF07A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w:t>
                  </w:r>
                </w:p>
              </w:tc>
              <w:tc>
                <w:tcPr>
                  <w:tcW w:w="2269" w:type="dxa"/>
                  <w:tcBorders>
                    <w:tl2br w:val="nil"/>
                    <w:tr2bl w:val="nil"/>
                  </w:tcBorders>
                  <w:shd w:val="clear" w:color="auto" w:fill="FFFFFF" w:themeFill="background1"/>
                  <w:noWrap w:val="0"/>
                  <w:vAlign w:val="center"/>
                </w:tcPr>
                <w:p w14:paraId="4D31B18D">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磷渣</w:t>
                  </w:r>
                </w:p>
              </w:tc>
              <w:tc>
                <w:tcPr>
                  <w:tcW w:w="1119" w:type="dxa"/>
                  <w:tcBorders>
                    <w:tl2br w:val="nil"/>
                    <w:tr2bl w:val="nil"/>
                  </w:tcBorders>
                  <w:shd w:val="clear" w:color="auto" w:fill="FFFFFF" w:themeFill="background1"/>
                  <w:noWrap w:val="0"/>
                  <w:vAlign w:val="center"/>
                </w:tcPr>
                <w:p w14:paraId="3D424A0B">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69C4D92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1737" w:type="dxa"/>
                  <w:vMerge w:val="continue"/>
                  <w:tcBorders>
                    <w:tl2br w:val="nil"/>
                    <w:tr2bl w:val="nil"/>
                  </w:tcBorders>
                  <w:noWrap w:val="0"/>
                  <w:vAlign w:val="center"/>
                </w:tcPr>
                <w:p w14:paraId="45125A50">
                  <w:pPr>
                    <w:pStyle w:val="43"/>
                    <w:bidi w:val="0"/>
                    <w:rPr>
                      <w:rFonts w:hint="default" w:ascii="Times New Roman" w:hAnsi="Times New Roman" w:eastAsia="宋体" w:cs="Times New Roman"/>
                      <w:color w:val="auto"/>
                      <w:lang w:val="en-US" w:eastAsia="zh-CN"/>
                    </w:rPr>
                  </w:pPr>
                </w:p>
              </w:tc>
            </w:tr>
            <w:tr w14:paraId="3C481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40E5851F">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12</w:t>
                  </w:r>
                </w:p>
              </w:tc>
              <w:tc>
                <w:tcPr>
                  <w:tcW w:w="2269" w:type="dxa"/>
                  <w:tcBorders>
                    <w:tl2br w:val="nil"/>
                    <w:tr2bl w:val="nil"/>
                  </w:tcBorders>
                  <w:shd w:val="clear" w:color="auto" w:fill="FFFFFF" w:themeFill="background1"/>
                  <w:noWrap w:val="0"/>
                  <w:vAlign w:val="center"/>
                </w:tcPr>
                <w:p w14:paraId="2A30C142">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赤泥</w:t>
                  </w:r>
                </w:p>
              </w:tc>
              <w:tc>
                <w:tcPr>
                  <w:tcW w:w="1119" w:type="dxa"/>
                  <w:tcBorders>
                    <w:tl2br w:val="nil"/>
                    <w:tr2bl w:val="nil"/>
                  </w:tcBorders>
                  <w:shd w:val="clear" w:color="auto" w:fill="FFFFFF" w:themeFill="background1"/>
                  <w:noWrap w:val="0"/>
                  <w:vAlign w:val="center"/>
                </w:tcPr>
                <w:p w14:paraId="111BEA1C">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26A3D5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2000</w:t>
                  </w:r>
                </w:p>
              </w:tc>
              <w:tc>
                <w:tcPr>
                  <w:tcW w:w="1737" w:type="dxa"/>
                  <w:vMerge w:val="continue"/>
                  <w:tcBorders>
                    <w:tl2br w:val="nil"/>
                    <w:tr2bl w:val="nil"/>
                  </w:tcBorders>
                  <w:noWrap w:val="0"/>
                  <w:vAlign w:val="center"/>
                </w:tcPr>
                <w:p w14:paraId="01B81EE1">
                  <w:pPr>
                    <w:pStyle w:val="43"/>
                    <w:bidi w:val="0"/>
                    <w:rPr>
                      <w:rFonts w:hint="default" w:ascii="Times New Roman" w:hAnsi="Times New Roman" w:eastAsia="宋体" w:cs="Times New Roman"/>
                      <w:color w:val="auto"/>
                      <w:lang w:val="en-US" w:eastAsia="zh-CN"/>
                    </w:rPr>
                  </w:pPr>
                </w:p>
              </w:tc>
            </w:tr>
            <w:tr w14:paraId="1D32E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95" w:type="dxa"/>
                  <w:tcBorders>
                    <w:tl2br w:val="nil"/>
                    <w:tr2bl w:val="nil"/>
                  </w:tcBorders>
                  <w:shd w:val="clear" w:color="auto" w:fill="auto"/>
                  <w:noWrap w:val="0"/>
                  <w:vAlign w:val="center"/>
                </w:tcPr>
                <w:p w14:paraId="3559949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13</w:t>
                  </w:r>
                </w:p>
              </w:tc>
              <w:tc>
                <w:tcPr>
                  <w:tcW w:w="2269" w:type="dxa"/>
                  <w:tcBorders>
                    <w:tl2br w:val="nil"/>
                    <w:tr2bl w:val="nil"/>
                  </w:tcBorders>
                  <w:shd w:val="clear" w:color="auto" w:fill="FFFFFF" w:themeFill="background1"/>
                  <w:noWrap w:val="0"/>
                  <w:vAlign w:val="center"/>
                </w:tcPr>
                <w:p w14:paraId="1C95FCBE">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炉渣（水泥用）</w:t>
                  </w:r>
                </w:p>
              </w:tc>
              <w:tc>
                <w:tcPr>
                  <w:tcW w:w="1119" w:type="dxa"/>
                  <w:tcBorders>
                    <w:tl2br w:val="nil"/>
                    <w:tr2bl w:val="nil"/>
                  </w:tcBorders>
                  <w:shd w:val="clear" w:color="auto" w:fill="FFFFFF" w:themeFill="background1"/>
                  <w:noWrap w:val="0"/>
                  <w:vAlign w:val="center"/>
                </w:tcPr>
                <w:p w14:paraId="23559CDC">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4A0C12F4">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10000</w:t>
                  </w:r>
                </w:p>
              </w:tc>
              <w:tc>
                <w:tcPr>
                  <w:tcW w:w="1737" w:type="dxa"/>
                  <w:vMerge w:val="restart"/>
                  <w:tcBorders>
                    <w:tl2br w:val="nil"/>
                    <w:tr2bl w:val="nil"/>
                  </w:tcBorders>
                  <w:noWrap w:val="0"/>
                  <w:vAlign w:val="center"/>
                </w:tcPr>
                <w:p w14:paraId="3794DDEA">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替代混合材，用于水泥生产</w:t>
                  </w:r>
                </w:p>
              </w:tc>
            </w:tr>
            <w:tr w14:paraId="0872C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786DA61F">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14</w:t>
                  </w:r>
                </w:p>
              </w:tc>
              <w:tc>
                <w:tcPr>
                  <w:tcW w:w="2269" w:type="dxa"/>
                  <w:tcBorders>
                    <w:tl2br w:val="nil"/>
                    <w:tr2bl w:val="nil"/>
                  </w:tcBorders>
                  <w:shd w:val="clear" w:color="auto" w:fill="FFFFFF" w:themeFill="background1"/>
                  <w:noWrap w:val="0"/>
                  <w:vAlign w:val="center"/>
                </w:tcPr>
                <w:p w14:paraId="0D812ABB">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水渣</w:t>
                  </w:r>
                </w:p>
              </w:tc>
              <w:tc>
                <w:tcPr>
                  <w:tcW w:w="1119" w:type="dxa"/>
                  <w:tcBorders>
                    <w:tl2br w:val="nil"/>
                    <w:tr2bl w:val="nil"/>
                  </w:tcBorders>
                  <w:shd w:val="clear" w:color="auto" w:fill="FFFFFF" w:themeFill="background1"/>
                  <w:noWrap w:val="0"/>
                  <w:vAlign w:val="center"/>
                </w:tcPr>
                <w:p w14:paraId="4F622643">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9B9BC11">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800</w:t>
                  </w:r>
                </w:p>
              </w:tc>
              <w:tc>
                <w:tcPr>
                  <w:tcW w:w="1737" w:type="dxa"/>
                  <w:vMerge w:val="continue"/>
                  <w:tcBorders>
                    <w:tl2br w:val="nil"/>
                    <w:tr2bl w:val="nil"/>
                  </w:tcBorders>
                  <w:noWrap w:val="0"/>
                  <w:vAlign w:val="center"/>
                </w:tcPr>
                <w:p w14:paraId="5A479F8E">
                  <w:pPr>
                    <w:pStyle w:val="43"/>
                    <w:bidi w:val="0"/>
                    <w:rPr>
                      <w:rFonts w:hint="default" w:ascii="Times New Roman" w:hAnsi="Times New Roman" w:eastAsia="宋体" w:cs="Times New Roman"/>
                      <w:color w:val="auto"/>
                      <w:lang w:val="en-US" w:eastAsia="zh-CN"/>
                    </w:rPr>
                  </w:pPr>
                </w:p>
              </w:tc>
            </w:tr>
            <w:tr w14:paraId="5CF09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10EAC36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15</w:t>
                  </w:r>
                </w:p>
              </w:tc>
              <w:tc>
                <w:tcPr>
                  <w:tcW w:w="2269" w:type="dxa"/>
                  <w:tcBorders>
                    <w:tl2br w:val="nil"/>
                    <w:tr2bl w:val="nil"/>
                  </w:tcBorders>
                  <w:shd w:val="clear" w:color="auto" w:fill="FFFFFF" w:themeFill="background1"/>
                  <w:noWrap w:val="0"/>
                  <w:vAlign w:val="center"/>
                </w:tcPr>
                <w:p w14:paraId="389467B7">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矿渣粉（高炉干渣）</w:t>
                  </w:r>
                </w:p>
              </w:tc>
              <w:tc>
                <w:tcPr>
                  <w:tcW w:w="1119" w:type="dxa"/>
                  <w:tcBorders>
                    <w:tl2br w:val="nil"/>
                    <w:tr2bl w:val="nil"/>
                  </w:tcBorders>
                  <w:shd w:val="clear" w:color="auto" w:fill="FFFFFF" w:themeFill="background1"/>
                  <w:noWrap w:val="0"/>
                  <w:vAlign w:val="center"/>
                </w:tcPr>
                <w:p w14:paraId="14F7B028">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38BD6F87">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120000</w:t>
                  </w:r>
                </w:p>
              </w:tc>
              <w:tc>
                <w:tcPr>
                  <w:tcW w:w="1737" w:type="dxa"/>
                  <w:vMerge w:val="continue"/>
                  <w:tcBorders>
                    <w:tl2br w:val="nil"/>
                    <w:tr2bl w:val="nil"/>
                  </w:tcBorders>
                  <w:noWrap w:val="0"/>
                  <w:vAlign w:val="center"/>
                </w:tcPr>
                <w:p w14:paraId="1224A45E">
                  <w:pPr>
                    <w:pStyle w:val="43"/>
                    <w:bidi w:val="0"/>
                    <w:rPr>
                      <w:rFonts w:hint="default" w:ascii="Times New Roman" w:hAnsi="Times New Roman" w:eastAsia="宋体" w:cs="Times New Roman"/>
                      <w:color w:val="auto"/>
                      <w:lang w:val="en-US" w:eastAsia="zh-CN"/>
                    </w:rPr>
                  </w:pPr>
                </w:p>
              </w:tc>
            </w:tr>
            <w:tr w14:paraId="36C2C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7B1BAB4C">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16</w:t>
                  </w:r>
                </w:p>
              </w:tc>
              <w:tc>
                <w:tcPr>
                  <w:tcW w:w="2269" w:type="dxa"/>
                  <w:tcBorders>
                    <w:tl2br w:val="nil"/>
                    <w:tr2bl w:val="nil"/>
                  </w:tcBorders>
                  <w:shd w:val="clear" w:color="auto" w:fill="FFFFFF" w:themeFill="background1"/>
                  <w:noWrap w:val="0"/>
                  <w:vAlign w:val="center"/>
                </w:tcPr>
                <w:p w14:paraId="0822906D">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电炉渣</w:t>
                  </w:r>
                </w:p>
              </w:tc>
              <w:tc>
                <w:tcPr>
                  <w:tcW w:w="1119" w:type="dxa"/>
                  <w:tcBorders>
                    <w:tl2br w:val="nil"/>
                    <w:tr2bl w:val="nil"/>
                  </w:tcBorders>
                  <w:shd w:val="clear" w:color="auto" w:fill="FFFFFF" w:themeFill="background1"/>
                  <w:noWrap w:val="0"/>
                  <w:vAlign w:val="center"/>
                </w:tcPr>
                <w:p w14:paraId="5961671E">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00FE55F5">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600</w:t>
                  </w:r>
                </w:p>
              </w:tc>
              <w:tc>
                <w:tcPr>
                  <w:tcW w:w="1737" w:type="dxa"/>
                  <w:vMerge w:val="continue"/>
                  <w:tcBorders>
                    <w:tl2br w:val="nil"/>
                    <w:tr2bl w:val="nil"/>
                  </w:tcBorders>
                  <w:noWrap w:val="0"/>
                  <w:vAlign w:val="center"/>
                </w:tcPr>
                <w:p w14:paraId="20777441">
                  <w:pPr>
                    <w:pStyle w:val="43"/>
                    <w:bidi w:val="0"/>
                    <w:rPr>
                      <w:rFonts w:hint="default" w:ascii="Times New Roman" w:hAnsi="Times New Roman" w:eastAsia="宋体" w:cs="Times New Roman"/>
                      <w:color w:val="auto"/>
                      <w:lang w:val="en-US" w:eastAsia="zh-CN"/>
                    </w:rPr>
                  </w:pPr>
                </w:p>
              </w:tc>
            </w:tr>
            <w:tr w14:paraId="3EF97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775A3BB8">
                  <w:pPr>
                    <w:pStyle w:val="43"/>
                    <w:bidi w:val="0"/>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lang w:val="en-US" w:eastAsia="zh-CN"/>
                    </w:rPr>
                    <w:t>17</w:t>
                  </w:r>
                </w:p>
              </w:tc>
              <w:tc>
                <w:tcPr>
                  <w:tcW w:w="2269" w:type="dxa"/>
                  <w:tcBorders>
                    <w:tl2br w:val="nil"/>
                    <w:tr2bl w:val="nil"/>
                  </w:tcBorders>
                  <w:shd w:val="clear" w:color="auto" w:fill="FFFFFF" w:themeFill="background1"/>
                  <w:noWrap w:val="0"/>
                  <w:vAlign w:val="center"/>
                </w:tcPr>
                <w:p w14:paraId="5312A7BF">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脱硫石膏</w:t>
                  </w:r>
                </w:p>
              </w:tc>
              <w:tc>
                <w:tcPr>
                  <w:tcW w:w="1119" w:type="dxa"/>
                  <w:tcBorders>
                    <w:tl2br w:val="nil"/>
                    <w:tr2bl w:val="nil"/>
                  </w:tcBorders>
                  <w:shd w:val="clear" w:color="auto" w:fill="FFFFFF" w:themeFill="background1"/>
                  <w:noWrap w:val="0"/>
                  <w:vAlign w:val="center"/>
                </w:tcPr>
                <w:p w14:paraId="206A6044">
                  <w:pPr>
                    <w:pStyle w:val="43"/>
                    <w:bidi w:val="0"/>
                    <w:rPr>
                      <w:rFonts w:hint="default"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6F3BBCC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90000</w:t>
                  </w:r>
                </w:p>
              </w:tc>
              <w:tc>
                <w:tcPr>
                  <w:tcW w:w="1737" w:type="dxa"/>
                  <w:vMerge w:val="continue"/>
                  <w:tcBorders>
                    <w:tl2br w:val="nil"/>
                    <w:tr2bl w:val="nil"/>
                  </w:tcBorders>
                  <w:noWrap w:val="0"/>
                  <w:vAlign w:val="center"/>
                </w:tcPr>
                <w:p w14:paraId="5774EDCF">
                  <w:pPr>
                    <w:pStyle w:val="43"/>
                    <w:bidi w:val="0"/>
                    <w:rPr>
                      <w:rFonts w:hint="default" w:ascii="Times New Roman" w:hAnsi="Times New Roman" w:eastAsia="宋体" w:cs="Times New Roman"/>
                      <w:color w:val="auto"/>
                      <w:lang w:val="en-US" w:eastAsia="zh-CN"/>
                    </w:rPr>
                  </w:pPr>
                </w:p>
              </w:tc>
            </w:tr>
            <w:tr w14:paraId="42A7C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647AFF32">
                  <w:pPr>
                    <w:pStyle w:val="43"/>
                    <w:bidi w:val="0"/>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lang w:val="en-US" w:eastAsia="zh-CN"/>
                    </w:rPr>
                    <w:t>18</w:t>
                  </w:r>
                </w:p>
              </w:tc>
              <w:tc>
                <w:tcPr>
                  <w:tcW w:w="2269" w:type="dxa"/>
                  <w:tcBorders>
                    <w:tl2br w:val="nil"/>
                    <w:tr2bl w:val="nil"/>
                  </w:tcBorders>
                  <w:shd w:val="clear" w:color="auto" w:fill="FFFFFF" w:themeFill="background1"/>
                  <w:noWrap w:val="0"/>
                  <w:vAlign w:val="center"/>
                </w:tcPr>
                <w:p w14:paraId="1373DD2E">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磷石膏</w:t>
                  </w:r>
                </w:p>
              </w:tc>
              <w:tc>
                <w:tcPr>
                  <w:tcW w:w="1119" w:type="dxa"/>
                  <w:tcBorders>
                    <w:tl2br w:val="nil"/>
                    <w:tr2bl w:val="nil"/>
                  </w:tcBorders>
                  <w:shd w:val="clear" w:color="auto" w:fill="FFFFFF" w:themeFill="background1"/>
                  <w:noWrap w:val="0"/>
                  <w:vAlign w:val="center"/>
                </w:tcPr>
                <w:p w14:paraId="2E098C62">
                  <w:pPr>
                    <w:pStyle w:val="43"/>
                    <w:bidi w:val="0"/>
                    <w:rPr>
                      <w:rFonts w:hint="default"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4DC5EB58">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cs="Times New Roman"/>
                      <w:color w:val="auto"/>
                      <w:lang w:val="en-US" w:eastAsia="zh-CN"/>
                    </w:rPr>
                    <w:t>7</w:t>
                  </w:r>
                  <w:r>
                    <w:rPr>
                      <w:rFonts w:hint="default" w:ascii="Times New Roman" w:hAnsi="Times New Roman" w:eastAsia="宋体" w:cs="Times New Roman"/>
                      <w:color w:val="auto"/>
                      <w:lang w:val="en-US" w:eastAsia="zh-CN"/>
                    </w:rPr>
                    <w:t>000</w:t>
                  </w:r>
                </w:p>
              </w:tc>
              <w:tc>
                <w:tcPr>
                  <w:tcW w:w="1737" w:type="dxa"/>
                  <w:vMerge w:val="continue"/>
                  <w:tcBorders>
                    <w:tl2br w:val="nil"/>
                    <w:tr2bl w:val="nil"/>
                  </w:tcBorders>
                  <w:noWrap w:val="0"/>
                  <w:vAlign w:val="center"/>
                </w:tcPr>
                <w:p w14:paraId="4E5CBCDF">
                  <w:pPr>
                    <w:pStyle w:val="43"/>
                    <w:bidi w:val="0"/>
                    <w:rPr>
                      <w:rFonts w:hint="default" w:ascii="Times New Roman" w:hAnsi="Times New Roman" w:eastAsia="宋体" w:cs="Times New Roman"/>
                      <w:color w:val="auto"/>
                      <w:lang w:val="en-US" w:eastAsia="zh-CN"/>
                    </w:rPr>
                  </w:pPr>
                </w:p>
              </w:tc>
            </w:tr>
            <w:tr w14:paraId="606F6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0B58BBE9">
                  <w:pPr>
                    <w:pStyle w:val="43"/>
                    <w:bidi w:val="0"/>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lang w:val="en-US" w:eastAsia="zh-CN"/>
                    </w:rPr>
                    <w:t>19</w:t>
                  </w:r>
                </w:p>
              </w:tc>
              <w:tc>
                <w:tcPr>
                  <w:tcW w:w="2269" w:type="dxa"/>
                  <w:tcBorders>
                    <w:tl2br w:val="nil"/>
                    <w:tr2bl w:val="nil"/>
                  </w:tcBorders>
                  <w:shd w:val="clear" w:color="auto" w:fill="FFFFFF" w:themeFill="background1"/>
                  <w:noWrap w:val="0"/>
                  <w:vAlign w:val="center"/>
                </w:tcPr>
                <w:p w14:paraId="416C9CE2">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钛石膏</w:t>
                  </w:r>
                </w:p>
              </w:tc>
              <w:tc>
                <w:tcPr>
                  <w:tcW w:w="1119" w:type="dxa"/>
                  <w:tcBorders>
                    <w:tl2br w:val="nil"/>
                    <w:tr2bl w:val="nil"/>
                  </w:tcBorders>
                  <w:shd w:val="clear" w:color="auto" w:fill="FFFFFF" w:themeFill="background1"/>
                  <w:noWrap w:val="0"/>
                  <w:vAlign w:val="center"/>
                </w:tcPr>
                <w:p w14:paraId="7F2D4347">
                  <w:pPr>
                    <w:pStyle w:val="43"/>
                    <w:bidi w:val="0"/>
                    <w:rPr>
                      <w:rFonts w:hint="default"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72CB0BD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w:t>
                  </w:r>
                </w:p>
              </w:tc>
              <w:tc>
                <w:tcPr>
                  <w:tcW w:w="1737" w:type="dxa"/>
                  <w:vMerge w:val="continue"/>
                  <w:tcBorders>
                    <w:tl2br w:val="nil"/>
                    <w:tr2bl w:val="nil"/>
                  </w:tcBorders>
                  <w:noWrap w:val="0"/>
                  <w:vAlign w:val="center"/>
                </w:tcPr>
                <w:p w14:paraId="1ABBD5DE">
                  <w:pPr>
                    <w:pStyle w:val="43"/>
                    <w:bidi w:val="0"/>
                    <w:rPr>
                      <w:rFonts w:hint="default" w:ascii="Times New Roman" w:hAnsi="Times New Roman" w:eastAsia="宋体" w:cs="Times New Roman"/>
                      <w:color w:val="auto"/>
                      <w:lang w:val="en-US" w:eastAsia="zh-CN"/>
                    </w:rPr>
                  </w:pPr>
                </w:p>
              </w:tc>
            </w:tr>
            <w:tr w14:paraId="7D5DF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05E7BB4C">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20</w:t>
                  </w:r>
                </w:p>
              </w:tc>
              <w:tc>
                <w:tcPr>
                  <w:tcW w:w="2269" w:type="dxa"/>
                  <w:tcBorders>
                    <w:tl2br w:val="nil"/>
                    <w:tr2bl w:val="nil"/>
                  </w:tcBorders>
                  <w:shd w:val="clear" w:color="auto" w:fill="FFFFFF" w:themeFill="background1"/>
                  <w:noWrap w:val="0"/>
                  <w:vAlign w:val="center"/>
                </w:tcPr>
                <w:p w14:paraId="5615A9F6">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氟石膏</w:t>
                  </w:r>
                </w:p>
              </w:tc>
              <w:tc>
                <w:tcPr>
                  <w:tcW w:w="1119" w:type="dxa"/>
                  <w:tcBorders>
                    <w:tl2br w:val="nil"/>
                    <w:tr2bl w:val="nil"/>
                  </w:tcBorders>
                  <w:shd w:val="clear" w:color="auto" w:fill="FFFFFF" w:themeFill="background1"/>
                  <w:noWrap w:val="0"/>
                  <w:vAlign w:val="center"/>
                </w:tcPr>
                <w:p w14:paraId="0FAB607A">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72B89D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w:t>
                  </w:r>
                </w:p>
              </w:tc>
              <w:tc>
                <w:tcPr>
                  <w:tcW w:w="1737" w:type="dxa"/>
                  <w:vMerge w:val="continue"/>
                  <w:tcBorders>
                    <w:tl2br w:val="nil"/>
                    <w:tr2bl w:val="nil"/>
                  </w:tcBorders>
                  <w:noWrap w:val="0"/>
                  <w:vAlign w:val="center"/>
                </w:tcPr>
                <w:p w14:paraId="2A2B7BC3">
                  <w:pPr>
                    <w:pStyle w:val="43"/>
                    <w:bidi w:val="0"/>
                    <w:rPr>
                      <w:rFonts w:hint="default" w:ascii="Times New Roman" w:hAnsi="Times New Roman" w:eastAsia="宋体" w:cs="Times New Roman"/>
                      <w:color w:val="auto"/>
                      <w:lang w:val="en-US" w:eastAsia="zh-CN"/>
                    </w:rPr>
                  </w:pPr>
                </w:p>
              </w:tc>
            </w:tr>
            <w:tr w14:paraId="7808E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95" w:type="dxa"/>
                  <w:tcBorders>
                    <w:tl2br w:val="nil"/>
                    <w:tr2bl w:val="nil"/>
                  </w:tcBorders>
                  <w:shd w:val="clear" w:color="auto" w:fill="auto"/>
                  <w:noWrap w:val="0"/>
                  <w:vAlign w:val="center"/>
                </w:tcPr>
                <w:p w14:paraId="383B85AC">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21</w:t>
                  </w:r>
                </w:p>
              </w:tc>
              <w:tc>
                <w:tcPr>
                  <w:tcW w:w="2269" w:type="dxa"/>
                  <w:tcBorders>
                    <w:tl2br w:val="nil"/>
                    <w:tr2bl w:val="nil"/>
                  </w:tcBorders>
                  <w:shd w:val="clear" w:color="auto" w:fill="FFFFFF" w:themeFill="background1"/>
                  <w:noWrap w:val="0"/>
                  <w:vAlign w:val="center"/>
                </w:tcPr>
                <w:p w14:paraId="7500E04F">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冶炼废渣</w:t>
                  </w:r>
                </w:p>
              </w:tc>
              <w:tc>
                <w:tcPr>
                  <w:tcW w:w="1119" w:type="dxa"/>
                  <w:tcBorders>
                    <w:tl2br w:val="nil"/>
                    <w:tr2bl w:val="nil"/>
                  </w:tcBorders>
                  <w:shd w:val="clear" w:color="auto" w:fill="FFFFFF" w:themeFill="background1"/>
                  <w:noWrap w:val="0"/>
                  <w:vAlign w:val="center"/>
                </w:tcPr>
                <w:p w14:paraId="5232CBA0">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30EB23B6">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600</w:t>
                  </w:r>
                </w:p>
              </w:tc>
              <w:tc>
                <w:tcPr>
                  <w:tcW w:w="1737" w:type="dxa"/>
                  <w:vMerge w:val="continue"/>
                  <w:tcBorders>
                    <w:tl2br w:val="nil"/>
                    <w:tr2bl w:val="nil"/>
                  </w:tcBorders>
                  <w:noWrap w:val="0"/>
                  <w:vAlign w:val="center"/>
                </w:tcPr>
                <w:p w14:paraId="43FAEB7A">
                  <w:pPr>
                    <w:pStyle w:val="43"/>
                    <w:bidi w:val="0"/>
                    <w:rPr>
                      <w:rFonts w:hint="default" w:ascii="Times New Roman" w:hAnsi="Times New Roman" w:eastAsia="宋体" w:cs="Times New Roman"/>
                      <w:color w:val="auto"/>
                      <w:lang w:val="en-US" w:eastAsia="zh-CN"/>
                    </w:rPr>
                  </w:pPr>
                </w:p>
              </w:tc>
            </w:tr>
            <w:tr w14:paraId="2AE61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2965B789">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22</w:t>
                  </w:r>
                </w:p>
              </w:tc>
              <w:tc>
                <w:tcPr>
                  <w:tcW w:w="2269" w:type="dxa"/>
                  <w:tcBorders>
                    <w:tl2br w:val="nil"/>
                    <w:tr2bl w:val="nil"/>
                  </w:tcBorders>
                  <w:shd w:val="clear" w:color="auto" w:fill="FFFFFF" w:themeFill="background1"/>
                  <w:noWrap w:val="0"/>
                  <w:vAlign w:val="center"/>
                </w:tcPr>
                <w:p w14:paraId="46D7E6E4">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飞灰</w:t>
                  </w:r>
                  <w:r>
                    <w:rPr>
                      <w:rFonts w:hint="eastAsia" w:cs="Times New Roman"/>
                      <w:color w:val="auto"/>
                      <w:lang w:val="en-US" w:eastAsia="zh-CN"/>
                    </w:rPr>
                    <w:t>（煤灰）</w:t>
                  </w:r>
                </w:p>
              </w:tc>
              <w:tc>
                <w:tcPr>
                  <w:tcW w:w="1119" w:type="dxa"/>
                  <w:tcBorders>
                    <w:tl2br w:val="nil"/>
                    <w:tr2bl w:val="nil"/>
                  </w:tcBorders>
                  <w:shd w:val="clear" w:color="auto" w:fill="FFFFFF" w:themeFill="background1"/>
                  <w:noWrap w:val="0"/>
                  <w:vAlign w:val="center"/>
                </w:tcPr>
                <w:p w14:paraId="1F1EC68C">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6B9FE866">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10200</w:t>
                  </w:r>
                </w:p>
              </w:tc>
              <w:tc>
                <w:tcPr>
                  <w:tcW w:w="1737" w:type="dxa"/>
                  <w:vMerge w:val="restart"/>
                  <w:tcBorders>
                    <w:tl2br w:val="nil"/>
                    <w:tr2bl w:val="nil"/>
                  </w:tcBorders>
                  <w:noWrap w:val="0"/>
                  <w:vAlign w:val="center"/>
                </w:tcPr>
                <w:p w14:paraId="26E866E2">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替代燃料</w:t>
                  </w:r>
                </w:p>
              </w:tc>
            </w:tr>
            <w:tr w14:paraId="2DA42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74BDA54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23</w:t>
                  </w:r>
                </w:p>
              </w:tc>
              <w:tc>
                <w:tcPr>
                  <w:tcW w:w="2269" w:type="dxa"/>
                  <w:tcBorders>
                    <w:tl2br w:val="nil"/>
                    <w:tr2bl w:val="nil"/>
                  </w:tcBorders>
                  <w:shd w:val="clear" w:color="auto" w:fill="FFFFFF" w:themeFill="background1"/>
                  <w:noWrap w:val="0"/>
                  <w:vAlign w:val="center"/>
                </w:tcPr>
                <w:p w14:paraId="19594406">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废纺</w:t>
                  </w:r>
                </w:p>
              </w:tc>
              <w:tc>
                <w:tcPr>
                  <w:tcW w:w="1119" w:type="dxa"/>
                  <w:tcBorders>
                    <w:tl2br w:val="nil"/>
                    <w:tr2bl w:val="nil"/>
                  </w:tcBorders>
                  <w:shd w:val="clear" w:color="auto" w:fill="FFFFFF" w:themeFill="background1"/>
                  <w:noWrap w:val="0"/>
                  <w:vAlign w:val="center"/>
                </w:tcPr>
                <w:p w14:paraId="0C991DFB">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49384CA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c>
                <w:tcPr>
                  <w:tcW w:w="1737" w:type="dxa"/>
                  <w:vMerge w:val="continue"/>
                  <w:tcBorders>
                    <w:tl2br w:val="nil"/>
                    <w:tr2bl w:val="nil"/>
                  </w:tcBorders>
                  <w:noWrap w:val="0"/>
                  <w:vAlign w:val="center"/>
                </w:tcPr>
                <w:p w14:paraId="2E7BD045">
                  <w:pPr>
                    <w:pStyle w:val="43"/>
                    <w:bidi w:val="0"/>
                    <w:rPr>
                      <w:rFonts w:hint="default" w:ascii="Times New Roman" w:hAnsi="Times New Roman" w:eastAsia="宋体" w:cs="Times New Roman"/>
                      <w:color w:val="auto"/>
                      <w:lang w:val="en-US" w:eastAsia="zh-CN"/>
                    </w:rPr>
                  </w:pPr>
                </w:p>
              </w:tc>
            </w:tr>
            <w:tr w14:paraId="1A77E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33AFAE06">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24</w:t>
                  </w:r>
                </w:p>
              </w:tc>
              <w:tc>
                <w:tcPr>
                  <w:tcW w:w="2269" w:type="dxa"/>
                  <w:tcBorders>
                    <w:tl2br w:val="nil"/>
                    <w:tr2bl w:val="nil"/>
                  </w:tcBorders>
                  <w:shd w:val="clear" w:color="auto" w:fill="FFFFFF" w:themeFill="background1"/>
                  <w:noWrap w:val="0"/>
                  <w:vAlign w:val="center"/>
                </w:tcPr>
                <w:p w14:paraId="31206AAC">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废塑料</w:t>
                  </w:r>
                </w:p>
              </w:tc>
              <w:tc>
                <w:tcPr>
                  <w:tcW w:w="1119" w:type="dxa"/>
                  <w:tcBorders>
                    <w:tl2br w:val="nil"/>
                    <w:tr2bl w:val="nil"/>
                  </w:tcBorders>
                  <w:shd w:val="clear" w:color="auto" w:fill="FFFFFF" w:themeFill="background1"/>
                  <w:noWrap w:val="0"/>
                  <w:vAlign w:val="center"/>
                </w:tcPr>
                <w:p w14:paraId="11143BA3">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1890D03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w:t>
                  </w:r>
                </w:p>
              </w:tc>
              <w:tc>
                <w:tcPr>
                  <w:tcW w:w="1737" w:type="dxa"/>
                  <w:vMerge w:val="continue"/>
                  <w:tcBorders>
                    <w:tl2br w:val="nil"/>
                    <w:tr2bl w:val="nil"/>
                  </w:tcBorders>
                  <w:noWrap w:val="0"/>
                  <w:vAlign w:val="center"/>
                </w:tcPr>
                <w:p w14:paraId="7B637669">
                  <w:pPr>
                    <w:pStyle w:val="43"/>
                    <w:bidi w:val="0"/>
                    <w:rPr>
                      <w:rFonts w:hint="default" w:ascii="Times New Roman" w:hAnsi="Times New Roman" w:eastAsia="宋体" w:cs="Times New Roman"/>
                      <w:color w:val="auto"/>
                      <w:lang w:val="en-US" w:eastAsia="zh-CN"/>
                    </w:rPr>
                  </w:pPr>
                </w:p>
              </w:tc>
            </w:tr>
            <w:tr w14:paraId="30F7D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717A7AEA">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25</w:t>
                  </w:r>
                </w:p>
              </w:tc>
              <w:tc>
                <w:tcPr>
                  <w:tcW w:w="2269" w:type="dxa"/>
                  <w:tcBorders>
                    <w:tl2br w:val="nil"/>
                    <w:tr2bl w:val="nil"/>
                  </w:tcBorders>
                  <w:shd w:val="clear" w:color="auto" w:fill="FFFFFF" w:themeFill="background1"/>
                  <w:noWrap w:val="0"/>
                  <w:vAlign w:val="center"/>
                </w:tcPr>
                <w:p w14:paraId="126A2A80">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废橡胶</w:t>
                  </w:r>
                </w:p>
              </w:tc>
              <w:tc>
                <w:tcPr>
                  <w:tcW w:w="1119" w:type="dxa"/>
                  <w:tcBorders>
                    <w:tl2br w:val="nil"/>
                    <w:tr2bl w:val="nil"/>
                  </w:tcBorders>
                  <w:shd w:val="clear" w:color="auto" w:fill="FFFFFF" w:themeFill="background1"/>
                  <w:noWrap w:val="0"/>
                  <w:vAlign w:val="center"/>
                </w:tcPr>
                <w:p w14:paraId="007C26FC">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656EB5E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1100</w:t>
                  </w:r>
                </w:p>
              </w:tc>
              <w:tc>
                <w:tcPr>
                  <w:tcW w:w="1737" w:type="dxa"/>
                  <w:vMerge w:val="continue"/>
                  <w:tcBorders>
                    <w:tl2br w:val="nil"/>
                    <w:tr2bl w:val="nil"/>
                  </w:tcBorders>
                  <w:noWrap w:val="0"/>
                  <w:vAlign w:val="center"/>
                </w:tcPr>
                <w:p w14:paraId="269C5353">
                  <w:pPr>
                    <w:pStyle w:val="43"/>
                    <w:bidi w:val="0"/>
                    <w:rPr>
                      <w:rFonts w:hint="default" w:ascii="Times New Roman" w:hAnsi="Times New Roman" w:eastAsia="宋体" w:cs="Times New Roman"/>
                      <w:color w:val="auto"/>
                      <w:lang w:val="en-US" w:eastAsia="zh-CN"/>
                    </w:rPr>
                  </w:pPr>
                </w:p>
              </w:tc>
            </w:tr>
            <w:tr w14:paraId="1B014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65FC059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26</w:t>
                  </w:r>
                </w:p>
              </w:tc>
              <w:tc>
                <w:tcPr>
                  <w:tcW w:w="2269" w:type="dxa"/>
                  <w:tcBorders>
                    <w:tl2br w:val="nil"/>
                    <w:tr2bl w:val="nil"/>
                  </w:tcBorders>
                  <w:shd w:val="clear" w:color="auto" w:fill="FFFFFF" w:themeFill="background1"/>
                  <w:noWrap w:val="0"/>
                  <w:vAlign w:val="center"/>
                </w:tcPr>
                <w:p w14:paraId="6F0E06E9">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废皮革</w:t>
                  </w:r>
                </w:p>
              </w:tc>
              <w:tc>
                <w:tcPr>
                  <w:tcW w:w="1119" w:type="dxa"/>
                  <w:tcBorders>
                    <w:tl2br w:val="nil"/>
                    <w:tr2bl w:val="nil"/>
                  </w:tcBorders>
                  <w:shd w:val="clear" w:color="auto" w:fill="FFFFFF" w:themeFill="background1"/>
                  <w:noWrap w:val="0"/>
                  <w:vAlign w:val="center"/>
                </w:tcPr>
                <w:p w14:paraId="0AC5DC16">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4B2BDA0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1737" w:type="dxa"/>
                  <w:vMerge w:val="continue"/>
                  <w:tcBorders>
                    <w:tl2br w:val="nil"/>
                    <w:tr2bl w:val="nil"/>
                  </w:tcBorders>
                  <w:noWrap w:val="0"/>
                  <w:vAlign w:val="center"/>
                </w:tcPr>
                <w:p w14:paraId="2C1E337D">
                  <w:pPr>
                    <w:pStyle w:val="43"/>
                    <w:bidi w:val="0"/>
                    <w:rPr>
                      <w:rFonts w:hint="default" w:ascii="Times New Roman" w:hAnsi="Times New Roman" w:eastAsia="宋体" w:cs="Times New Roman"/>
                      <w:color w:val="auto"/>
                      <w:lang w:val="en-US" w:eastAsia="zh-CN"/>
                    </w:rPr>
                  </w:pPr>
                </w:p>
              </w:tc>
            </w:tr>
            <w:tr w14:paraId="5F32C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23AF6A4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27</w:t>
                  </w:r>
                </w:p>
              </w:tc>
              <w:tc>
                <w:tcPr>
                  <w:tcW w:w="2269" w:type="dxa"/>
                  <w:tcBorders>
                    <w:tl2br w:val="nil"/>
                    <w:tr2bl w:val="nil"/>
                  </w:tcBorders>
                  <w:shd w:val="clear" w:color="auto" w:fill="FFFFFF" w:themeFill="background1"/>
                  <w:noWrap w:val="0"/>
                  <w:vAlign w:val="center"/>
                </w:tcPr>
                <w:p w14:paraId="70DEF10F">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炭黑</w:t>
                  </w:r>
                </w:p>
              </w:tc>
              <w:tc>
                <w:tcPr>
                  <w:tcW w:w="1119" w:type="dxa"/>
                  <w:tcBorders>
                    <w:tl2br w:val="nil"/>
                    <w:tr2bl w:val="nil"/>
                  </w:tcBorders>
                  <w:shd w:val="clear" w:color="auto" w:fill="FFFFFF" w:themeFill="background1"/>
                  <w:noWrap w:val="0"/>
                  <w:vAlign w:val="center"/>
                </w:tcPr>
                <w:p w14:paraId="3D20638D">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50D64C87">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c>
                <w:tcPr>
                  <w:tcW w:w="1737" w:type="dxa"/>
                  <w:vMerge w:val="continue"/>
                  <w:tcBorders>
                    <w:tl2br w:val="nil"/>
                    <w:tr2bl w:val="nil"/>
                  </w:tcBorders>
                  <w:noWrap w:val="0"/>
                  <w:vAlign w:val="center"/>
                </w:tcPr>
                <w:p w14:paraId="138DD719">
                  <w:pPr>
                    <w:pStyle w:val="43"/>
                    <w:bidi w:val="0"/>
                    <w:rPr>
                      <w:rFonts w:hint="default" w:ascii="Times New Roman" w:hAnsi="Times New Roman" w:eastAsia="宋体" w:cs="Times New Roman"/>
                      <w:color w:val="auto"/>
                      <w:lang w:val="en-US" w:eastAsia="zh-CN"/>
                    </w:rPr>
                  </w:pPr>
                </w:p>
              </w:tc>
            </w:tr>
            <w:tr w14:paraId="196C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5" w:type="dxa"/>
                  <w:tcBorders>
                    <w:tl2br w:val="nil"/>
                    <w:tr2bl w:val="nil"/>
                  </w:tcBorders>
                  <w:shd w:val="clear" w:color="auto" w:fill="auto"/>
                  <w:noWrap w:val="0"/>
                  <w:vAlign w:val="center"/>
                </w:tcPr>
                <w:p w14:paraId="105D3072">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28</w:t>
                  </w:r>
                </w:p>
              </w:tc>
              <w:tc>
                <w:tcPr>
                  <w:tcW w:w="2269" w:type="dxa"/>
                  <w:tcBorders>
                    <w:tl2br w:val="nil"/>
                    <w:tr2bl w:val="nil"/>
                  </w:tcBorders>
                  <w:shd w:val="clear" w:color="auto" w:fill="FFFFFF" w:themeFill="background1"/>
                  <w:noWrap w:val="0"/>
                  <w:vAlign w:val="center"/>
                </w:tcPr>
                <w:p w14:paraId="4B1C93F0">
                  <w:pPr>
                    <w:pStyle w:val="43"/>
                    <w:bidi w:val="0"/>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生物质燃料</w:t>
                  </w:r>
                </w:p>
              </w:tc>
              <w:tc>
                <w:tcPr>
                  <w:tcW w:w="1119" w:type="dxa"/>
                  <w:tcBorders>
                    <w:tl2br w:val="nil"/>
                    <w:tr2bl w:val="nil"/>
                  </w:tcBorders>
                  <w:shd w:val="clear" w:color="auto" w:fill="FFFFFF" w:themeFill="background1"/>
                  <w:noWrap w:val="0"/>
                  <w:vAlign w:val="center"/>
                </w:tcPr>
                <w:p w14:paraId="1A1BC02B">
                  <w:pPr>
                    <w:pStyle w:val="4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固态</w:t>
                  </w:r>
                </w:p>
              </w:tc>
              <w:tc>
                <w:tcPr>
                  <w:tcW w:w="2252" w:type="dxa"/>
                  <w:tcBorders>
                    <w:tl2br w:val="nil"/>
                    <w:tr2bl w:val="nil"/>
                  </w:tcBorders>
                  <w:shd w:val="clear" w:color="auto" w:fill="FFFFFF" w:themeFill="background1"/>
                  <w:noWrap w:val="0"/>
                  <w:vAlign w:val="center"/>
                </w:tcPr>
                <w:p w14:paraId="37098BC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3000</w:t>
                  </w:r>
                </w:p>
              </w:tc>
              <w:tc>
                <w:tcPr>
                  <w:tcW w:w="1737" w:type="dxa"/>
                  <w:vMerge w:val="continue"/>
                  <w:tcBorders>
                    <w:tl2br w:val="nil"/>
                    <w:tr2bl w:val="nil"/>
                  </w:tcBorders>
                  <w:noWrap w:val="0"/>
                  <w:vAlign w:val="center"/>
                </w:tcPr>
                <w:p w14:paraId="2F5F3560">
                  <w:pPr>
                    <w:pStyle w:val="43"/>
                    <w:bidi w:val="0"/>
                    <w:rPr>
                      <w:rFonts w:hint="default" w:ascii="Times New Roman" w:hAnsi="Times New Roman" w:eastAsia="宋体" w:cs="Times New Roman"/>
                      <w:color w:val="auto"/>
                      <w:lang w:val="en-US" w:eastAsia="zh-CN"/>
                    </w:rPr>
                  </w:pPr>
                </w:p>
              </w:tc>
            </w:tr>
            <w:tr w14:paraId="6436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183" w:type="dxa"/>
                  <w:gridSpan w:val="3"/>
                  <w:tcBorders>
                    <w:tl2br w:val="nil"/>
                    <w:tr2bl w:val="nil"/>
                  </w:tcBorders>
                  <w:noWrap w:val="0"/>
                  <w:vAlign w:val="center"/>
                </w:tcPr>
                <w:p w14:paraId="0A78F18B">
                  <w:pPr>
                    <w:pStyle w:val="4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合计</w:t>
                  </w:r>
                </w:p>
              </w:tc>
              <w:tc>
                <w:tcPr>
                  <w:tcW w:w="2252" w:type="dxa"/>
                  <w:tcBorders>
                    <w:tl2br w:val="nil"/>
                    <w:tr2bl w:val="nil"/>
                  </w:tcBorders>
                  <w:noWrap w:val="0"/>
                  <w:vAlign w:val="center"/>
                </w:tcPr>
                <w:p w14:paraId="023147E6">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550000</w:t>
                  </w:r>
                </w:p>
              </w:tc>
              <w:tc>
                <w:tcPr>
                  <w:tcW w:w="1737" w:type="dxa"/>
                  <w:tcBorders>
                    <w:tl2br w:val="nil"/>
                    <w:tr2bl w:val="nil"/>
                  </w:tcBorders>
                  <w:noWrap w:val="0"/>
                  <w:vAlign w:val="center"/>
                </w:tcPr>
                <w:p w14:paraId="1F31E792">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w:t>
                  </w:r>
                </w:p>
              </w:tc>
            </w:tr>
            <w:tr w14:paraId="64E3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172" w:type="dxa"/>
                  <w:gridSpan w:val="5"/>
                  <w:tcBorders>
                    <w:tl2br w:val="nil"/>
                    <w:tr2bl w:val="nil"/>
                  </w:tcBorders>
                  <w:noWrap w:val="0"/>
                  <w:vAlign w:val="center"/>
                </w:tcPr>
                <w:p w14:paraId="4E2E66C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Arial"/>
                      <w:sz w:val="21"/>
                    </w:rPr>
                  </w:pPr>
                  <w:r>
                    <w:rPr>
                      <w:rFonts w:hint="eastAsia" w:ascii="Arial"/>
                      <w:sz w:val="21"/>
                    </w:rPr>
                    <w:t>注：①本项目拟</w:t>
                  </w:r>
                  <w:r>
                    <w:rPr>
                      <w:rFonts w:hint="eastAsia" w:ascii="Arial"/>
                      <w:sz w:val="21"/>
                      <w:lang w:val="en-US" w:eastAsia="zh-CN"/>
                    </w:rPr>
                    <w:t>综合利用</w:t>
                  </w:r>
                  <w:r>
                    <w:rPr>
                      <w:rFonts w:hint="eastAsia" w:ascii="Arial"/>
                      <w:sz w:val="21"/>
                    </w:rPr>
                    <w:t>的一般工业固体废物为当地及周边地区产生的经鉴定符合进厂准入条件的一般工业</w:t>
                  </w:r>
                  <w:r>
                    <w:rPr>
                      <w:rFonts w:hint="eastAsia" w:ascii="Arial"/>
                      <w:sz w:val="21"/>
                      <w:lang w:val="en-US" w:eastAsia="zh-CN"/>
                    </w:rPr>
                    <w:t>固体废物</w:t>
                  </w:r>
                  <w:r>
                    <w:rPr>
                      <w:rFonts w:hint="eastAsia" w:ascii="Arial"/>
                      <w:sz w:val="21"/>
                    </w:rPr>
                    <w:t>；</w:t>
                  </w:r>
                </w:p>
                <w:p w14:paraId="70DCB91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Arial"/>
                      <w:sz w:val="21"/>
                    </w:rPr>
                  </w:pPr>
                  <w:r>
                    <w:rPr>
                      <w:rFonts w:hint="eastAsia" w:ascii="Arial"/>
                      <w:sz w:val="21"/>
                    </w:rPr>
                    <w:t>②本项目</w:t>
                  </w:r>
                  <w:r>
                    <w:rPr>
                      <w:rFonts w:hint="eastAsia" w:ascii="Arial"/>
                      <w:sz w:val="21"/>
                      <w:lang w:val="en-US" w:eastAsia="zh-CN"/>
                    </w:rPr>
                    <w:t>综合利用</w:t>
                  </w:r>
                  <w:r>
                    <w:rPr>
                      <w:rFonts w:hint="eastAsia" w:ascii="Arial"/>
                      <w:sz w:val="21"/>
                    </w:rPr>
                    <w:t>的一般工业固体废物</w:t>
                  </w:r>
                  <w:r>
                    <w:rPr>
                      <w:rFonts w:hint="eastAsia" w:ascii="Arial"/>
                      <w:sz w:val="21"/>
                      <w:lang w:val="en-US" w:eastAsia="zh-CN"/>
                    </w:rPr>
                    <w:t>要求</w:t>
                  </w:r>
                  <w:r>
                    <w:rPr>
                      <w:rFonts w:hint="eastAsia" w:ascii="Arial"/>
                      <w:sz w:val="21"/>
                    </w:rPr>
                    <w:t>进场含</w:t>
                  </w:r>
                  <w:r>
                    <w:rPr>
                      <w:rFonts w:hint="default" w:ascii="Times New Roman" w:hAnsi="Times New Roman" w:cs="Times New Roman"/>
                      <w:sz w:val="21"/>
                    </w:rPr>
                    <w:t>水率低于</w:t>
                  </w:r>
                  <w:r>
                    <w:rPr>
                      <w:rFonts w:hint="eastAsia" w:cs="Times New Roman"/>
                      <w:sz w:val="21"/>
                      <w:lang w:val="en-US" w:eastAsia="zh-CN"/>
                    </w:rPr>
                    <w:t>5</w:t>
                  </w:r>
                  <w:r>
                    <w:rPr>
                      <w:rFonts w:hint="default" w:ascii="Times New Roman" w:hAnsi="Times New Roman" w:cs="Times New Roman"/>
                      <w:sz w:val="21"/>
                    </w:rPr>
                    <w:t>%</w:t>
                  </w:r>
                  <w:r>
                    <w:rPr>
                      <w:rFonts w:hint="eastAsia" w:ascii="Arial"/>
                      <w:sz w:val="21"/>
                    </w:rPr>
                    <w:t>，确保无渗滤液产生；</w:t>
                  </w:r>
                </w:p>
                <w:p w14:paraId="30E7E3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Arial"/>
                      <w:sz w:val="21"/>
                    </w:rPr>
                  </w:pPr>
                  <w:r>
                    <w:rPr>
                      <w:rFonts w:hint="eastAsia" w:ascii="Arial"/>
                      <w:sz w:val="21"/>
                    </w:rPr>
                    <w:t>③本项目</w:t>
                  </w:r>
                  <w:r>
                    <w:rPr>
                      <w:rFonts w:hint="eastAsia" w:ascii="Arial"/>
                      <w:sz w:val="21"/>
                      <w:lang w:val="en-US" w:eastAsia="zh-CN"/>
                    </w:rPr>
                    <w:t>综合利用</w:t>
                  </w:r>
                  <w:r>
                    <w:rPr>
                      <w:rFonts w:hint="eastAsia" w:ascii="Arial"/>
                      <w:sz w:val="21"/>
                    </w:rPr>
                    <w:t>的一般工业固体废物</w:t>
                  </w:r>
                  <w:r>
                    <w:rPr>
                      <w:rFonts w:hint="eastAsia" w:ascii="Arial"/>
                      <w:sz w:val="21"/>
                      <w:lang w:val="en-US" w:eastAsia="zh-CN"/>
                    </w:rPr>
                    <w:t>入厂后</w:t>
                  </w:r>
                  <w:r>
                    <w:rPr>
                      <w:rFonts w:hint="eastAsia" w:ascii="Arial"/>
                      <w:sz w:val="21"/>
                    </w:rPr>
                    <w:t>可直接使用，不需要</w:t>
                  </w:r>
                  <w:r>
                    <w:rPr>
                      <w:rFonts w:hint="eastAsia" w:ascii="Arial"/>
                      <w:sz w:val="21"/>
                      <w:lang w:val="en-US" w:eastAsia="zh-CN"/>
                    </w:rPr>
                    <w:t>再</w:t>
                  </w:r>
                  <w:r>
                    <w:rPr>
                      <w:rFonts w:hint="eastAsia" w:ascii="Arial"/>
                      <w:sz w:val="21"/>
                    </w:rPr>
                    <w:t>进行预处理；</w:t>
                  </w:r>
                </w:p>
                <w:p w14:paraId="1E284EF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Arial"/>
                      <w:sz w:val="21"/>
                    </w:rPr>
                  </w:pPr>
                  <w:r>
                    <w:rPr>
                      <w:rFonts w:hint="eastAsia" w:ascii="Arial"/>
                      <w:sz w:val="21"/>
                    </w:rPr>
                    <w:t>④按要求建立一般工业固体废物管理台账。</w:t>
                  </w:r>
                </w:p>
              </w:tc>
            </w:tr>
          </w:tbl>
          <w:p w14:paraId="14963C22">
            <w:pPr>
              <w:pStyle w:val="4"/>
              <w:pageBreakBefore w:val="0"/>
              <w:widowControl w:val="0"/>
              <w:numPr>
                <w:ilvl w:val="0"/>
                <w:numId w:val="0"/>
              </w:numPr>
              <w:kinsoku/>
              <w:wordWrap/>
              <w:overflowPunct/>
              <w:topLinePunct w:val="0"/>
              <w:autoSpaceDE/>
              <w:autoSpaceDN/>
              <w:bidi w:val="0"/>
              <w:snapToGrid/>
              <w:ind w:leftChars="0" w:firstLine="480" w:firstLineChars="200"/>
              <w:textAlignment w:val="auto"/>
              <w:rPr>
                <w:rFonts w:hint="eastAsia"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lang w:val="en-US" w:eastAsia="zh-CN"/>
              </w:rPr>
              <w:t>本项目拟综合利用的一般工业固体废物主要来源</w:t>
            </w:r>
            <w:r>
              <w:rPr>
                <w:rFonts w:hint="eastAsia" w:eastAsia="宋体" w:cs="Times New Roman"/>
                <w:b w:val="0"/>
                <w:bCs/>
                <w:color w:val="auto"/>
                <w:lang w:val="en-US" w:eastAsia="zh-CN"/>
              </w:rPr>
              <w:t>济宁</w:t>
            </w:r>
            <w:r>
              <w:rPr>
                <w:rFonts w:hint="eastAsia" w:ascii="Times New Roman" w:hAnsi="Times New Roman" w:eastAsia="宋体" w:cs="Times New Roman"/>
                <w:b w:val="0"/>
                <w:bCs/>
                <w:color w:val="auto"/>
                <w:lang w:val="en-US" w:eastAsia="zh-CN"/>
              </w:rPr>
              <w:t>市及周边地区，设计处置的固废总量为</w:t>
            </w:r>
            <w:r>
              <w:rPr>
                <w:rFonts w:hint="eastAsia" w:eastAsia="宋体" w:cs="Times New Roman"/>
                <w:b w:val="0"/>
                <w:bCs/>
                <w:color w:val="auto"/>
                <w:lang w:val="en-US" w:eastAsia="zh-CN"/>
              </w:rPr>
              <w:t>55</w:t>
            </w:r>
            <w:r>
              <w:rPr>
                <w:rFonts w:hint="eastAsia" w:ascii="Times New Roman" w:hAnsi="Times New Roman" w:eastAsia="宋体" w:cs="Times New Roman"/>
                <w:b w:val="0"/>
                <w:bCs/>
                <w:color w:val="auto"/>
                <w:lang w:val="en-US" w:eastAsia="zh-CN"/>
              </w:rPr>
              <w:t>万t/a，不接收不明性质和经鉴别属于危险废物的物料，不涉及《重点管控新污染物清单（2023版）》中明确的14类重点管控新污染物、优先控制化学名录以及《斯德哥尔摩公约》附件的化学物质，项目实施后不增加熟料和水泥的产能，对水泥产品质量无影响。</w:t>
            </w:r>
          </w:p>
          <w:p w14:paraId="70E87215">
            <w:pPr>
              <w:pStyle w:val="4"/>
              <w:pageBreakBefore w:val="0"/>
              <w:widowControl w:val="0"/>
              <w:numPr>
                <w:ilvl w:val="0"/>
                <w:numId w:val="0"/>
              </w:numPr>
              <w:kinsoku/>
              <w:wordWrap/>
              <w:overflowPunct/>
              <w:topLinePunct w:val="0"/>
              <w:autoSpaceDE/>
              <w:autoSpaceDN/>
              <w:bidi w:val="0"/>
              <w:snapToGrid/>
              <w:ind w:leftChars="0" w:firstLine="480" w:firstLineChars="200"/>
              <w:textAlignment w:val="auto"/>
              <w:rPr>
                <w:rFonts w:hint="eastAsia"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lang w:val="en-US" w:eastAsia="zh-CN"/>
              </w:rPr>
              <w:t>本项目实施后综合利用的一般工业固体废物的种类</w:t>
            </w:r>
            <w:r>
              <w:rPr>
                <w:rFonts w:hint="eastAsia" w:eastAsia="宋体" w:cs="Times New Roman"/>
                <w:b w:val="0"/>
                <w:bCs/>
                <w:color w:val="auto"/>
                <w:lang w:val="en-US" w:eastAsia="zh-CN"/>
              </w:rPr>
              <w:t>、代码及主要来源</w:t>
            </w:r>
            <w:r>
              <w:rPr>
                <w:rFonts w:hint="eastAsia" w:ascii="Times New Roman" w:hAnsi="Times New Roman" w:eastAsia="宋体" w:cs="Times New Roman"/>
                <w:b w:val="0"/>
                <w:bCs/>
                <w:color w:val="auto"/>
                <w:lang w:val="en-US" w:eastAsia="zh-CN"/>
              </w:rPr>
              <w:t>见</w:t>
            </w:r>
            <w:r>
              <w:rPr>
                <w:rFonts w:hint="eastAsia" w:eastAsia="宋体" w:cs="Times New Roman"/>
                <w:b w:val="0"/>
                <w:bCs/>
                <w:color w:val="auto"/>
                <w:lang w:val="en-US" w:eastAsia="zh-CN"/>
              </w:rPr>
              <w:t>表2-6。</w:t>
            </w:r>
            <w:r>
              <w:rPr>
                <w:rFonts w:hint="eastAsia" w:ascii="Times New Roman" w:hAnsi="Times New Roman" w:eastAsia="宋体" w:cs="Times New Roman"/>
                <w:b w:val="0"/>
                <w:bCs/>
                <w:color w:val="auto"/>
                <w:lang w:val="en-US" w:eastAsia="zh-CN"/>
              </w:rPr>
              <w:t>固废名称、代码参考《固体废物分类与代码目录（2024 版）》。</w:t>
            </w:r>
          </w:p>
          <w:p w14:paraId="772D91C0">
            <w:pPr>
              <w:adjustRightInd w:val="0"/>
              <w:snapToGrid w:val="0"/>
              <w:spacing w:line="240" w:lineRule="auto"/>
              <w:ind w:firstLine="482" w:firstLineChars="200"/>
              <w:jc w:val="center"/>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表2-</w:t>
            </w:r>
            <w:r>
              <w:rPr>
                <w:rFonts w:hint="eastAsia" w:cs="Times New Roman"/>
                <w:b/>
                <w:bCs/>
                <w:color w:val="auto"/>
                <w:sz w:val="24"/>
                <w:szCs w:val="24"/>
                <w:lang w:val="en-US" w:eastAsia="zh-CN"/>
              </w:rPr>
              <w:t>6</w:t>
            </w:r>
            <w:r>
              <w:rPr>
                <w:rFonts w:hint="eastAsia" w:ascii="Times New Roman" w:hAnsi="Times New Roman" w:eastAsia="宋体" w:cs="Times New Roman"/>
                <w:b/>
                <w:bCs/>
                <w:color w:val="auto"/>
                <w:sz w:val="24"/>
                <w:szCs w:val="24"/>
                <w:lang w:val="en-US" w:eastAsia="zh-CN"/>
              </w:rPr>
              <w:t xml:space="preserve"> 本项目</w:t>
            </w:r>
            <w:r>
              <w:rPr>
                <w:rFonts w:hint="eastAsia" w:cs="Times New Roman"/>
                <w:b/>
                <w:bCs/>
                <w:color w:val="auto"/>
                <w:sz w:val="24"/>
                <w:szCs w:val="24"/>
                <w:lang w:val="en-US" w:eastAsia="zh-CN"/>
              </w:rPr>
              <w:t>处置</w:t>
            </w:r>
            <w:r>
              <w:rPr>
                <w:rFonts w:hint="eastAsia" w:ascii="Times New Roman" w:hAnsi="Times New Roman" w:eastAsia="宋体" w:cs="Times New Roman"/>
                <w:b/>
                <w:bCs/>
                <w:color w:val="auto"/>
                <w:sz w:val="24"/>
                <w:szCs w:val="24"/>
                <w:lang w:val="en-US" w:eastAsia="zh-CN"/>
              </w:rPr>
              <w:t>一般固体废物</w:t>
            </w:r>
            <w:r>
              <w:rPr>
                <w:rFonts w:hint="eastAsia" w:cs="Times New Roman"/>
                <w:b/>
                <w:bCs/>
                <w:color w:val="auto"/>
                <w:sz w:val="24"/>
                <w:szCs w:val="24"/>
                <w:lang w:val="en-US" w:eastAsia="zh-CN"/>
              </w:rPr>
              <w:t>主要来源及成分</w:t>
            </w:r>
            <w:r>
              <w:rPr>
                <w:rFonts w:hint="eastAsia" w:ascii="Times New Roman" w:hAnsi="Times New Roman" w:eastAsia="宋体" w:cs="Times New Roman"/>
                <w:b/>
                <w:bCs/>
                <w:color w:val="auto"/>
                <w:sz w:val="24"/>
                <w:szCs w:val="24"/>
                <w:lang w:val="en-US" w:eastAsia="zh-CN"/>
              </w:rPr>
              <w:t>一览表</w:t>
            </w:r>
          </w:p>
          <w:tbl>
            <w:tblPr>
              <w:tblStyle w:val="1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20"/>
              <w:gridCol w:w="1361"/>
              <w:gridCol w:w="1603"/>
              <w:gridCol w:w="3487"/>
            </w:tblGrid>
            <w:tr w14:paraId="12985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noWrap w:val="0"/>
                  <w:vAlign w:val="center"/>
                </w:tcPr>
                <w:p w14:paraId="7D41A0D0">
                  <w:pPr>
                    <w:pStyle w:val="43"/>
                    <w:bidi w:val="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名称</w:t>
                  </w:r>
                </w:p>
              </w:tc>
              <w:tc>
                <w:tcPr>
                  <w:tcW w:w="1361" w:type="dxa"/>
                  <w:tcBorders>
                    <w:tl2br w:val="nil"/>
                    <w:tr2bl w:val="nil"/>
                  </w:tcBorders>
                  <w:noWrap w:val="0"/>
                  <w:vAlign w:val="center"/>
                </w:tcPr>
                <w:p w14:paraId="6BC8BA31">
                  <w:pPr>
                    <w:pStyle w:val="43"/>
                    <w:bidi w:val="0"/>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种类</w:t>
                  </w:r>
                </w:p>
              </w:tc>
              <w:tc>
                <w:tcPr>
                  <w:tcW w:w="1603" w:type="dxa"/>
                  <w:tcBorders>
                    <w:tl2br w:val="nil"/>
                    <w:tr2bl w:val="nil"/>
                  </w:tcBorders>
                  <w:noWrap w:val="0"/>
                  <w:vAlign w:val="center"/>
                </w:tcPr>
                <w:p w14:paraId="538EE4F3">
                  <w:pPr>
                    <w:pStyle w:val="43"/>
                    <w:bidi w:val="0"/>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代码</w:t>
                  </w:r>
                </w:p>
              </w:tc>
              <w:tc>
                <w:tcPr>
                  <w:tcW w:w="3487" w:type="dxa"/>
                  <w:tcBorders>
                    <w:tl2br w:val="nil"/>
                    <w:tr2bl w:val="nil"/>
                  </w:tcBorders>
                  <w:noWrap w:val="0"/>
                  <w:vAlign w:val="center"/>
                </w:tcPr>
                <w:p w14:paraId="49E8A4C1">
                  <w:pPr>
                    <w:pStyle w:val="43"/>
                    <w:bidi w:val="0"/>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来源说明</w:t>
                  </w:r>
                </w:p>
              </w:tc>
            </w:tr>
            <w:tr w14:paraId="731E1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auto"/>
                  <w:noWrap w:val="0"/>
                  <w:vAlign w:val="center"/>
                </w:tcPr>
                <w:p w14:paraId="48A27ACB">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水渣</w:t>
                  </w:r>
                </w:p>
              </w:tc>
              <w:tc>
                <w:tcPr>
                  <w:tcW w:w="1361" w:type="dxa"/>
                  <w:vMerge w:val="restart"/>
                  <w:tcBorders>
                    <w:tl2br w:val="nil"/>
                    <w:tr2bl w:val="nil"/>
                  </w:tcBorders>
                  <w:shd w:val="clear" w:color="auto" w:fill="auto"/>
                  <w:noWrap w:val="0"/>
                  <w:vAlign w:val="center"/>
                </w:tcPr>
                <w:p w14:paraId="623B02BA">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SW01冶炼废渣</w:t>
                  </w:r>
                </w:p>
              </w:tc>
              <w:tc>
                <w:tcPr>
                  <w:tcW w:w="1603" w:type="dxa"/>
                  <w:tcBorders>
                    <w:tl2br w:val="nil"/>
                    <w:tr2bl w:val="nil"/>
                  </w:tcBorders>
                  <w:shd w:val="clear" w:color="auto" w:fill="auto"/>
                  <w:noWrap w:val="0"/>
                  <w:vAlign w:val="center"/>
                </w:tcPr>
                <w:p w14:paraId="2BCC131D">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311-002-S01</w:t>
                  </w:r>
                </w:p>
              </w:tc>
              <w:tc>
                <w:tcPr>
                  <w:tcW w:w="3487" w:type="dxa"/>
                  <w:tcBorders>
                    <w:tl2br w:val="nil"/>
                    <w:tr2bl w:val="nil"/>
                  </w:tcBorders>
                  <w:shd w:val="clear" w:color="auto" w:fill="auto"/>
                  <w:noWrap w:val="0"/>
                  <w:vAlign w:val="center"/>
                </w:tcPr>
                <w:p w14:paraId="2411E801">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水渣是把熔融状态的高炉渣置于水中急速冷却而形成的</w:t>
                  </w:r>
                  <w:r>
                    <w:rPr>
                      <w:rFonts w:hint="eastAsia" w:cs="Times New Roman"/>
                      <w:b w:val="0"/>
                      <w:bCs w:val="0"/>
                      <w:color w:val="auto"/>
                      <w:lang w:val="en-US" w:eastAsia="zh-CN"/>
                    </w:rPr>
                    <w:t>废渣</w:t>
                  </w:r>
                </w:p>
              </w:tc>
            </w:tr>
            <w:tr w14:paraId="3D409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auto"/>
                  <w:noWrap w:val="0"/>
                  <w:vAlign w:val="center"/>
                </w:tcPr>
                <w:p w14:paraId="6D44C89B">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矿渣粉（高炉干渣）</w:t>
                  </w:r>
                </w:p>
              </w:tc>
              <w:tc>
                <w:tcPr>
                  <w:tcW w:w="1361" w:type="dxa"/>
                  <w:vMerge w:val="continue"/>
                  <w:tcBorders>
                    <w:tl2br w:val="nil"/>
                    <w:tr2bl w:val="nil"/>
                  </w:tcBorders>
                  <w:shd w:val="clear" w:color="auto" w:fill="auto"/>
                  <w:noWrap w:val="0"/>
                  <w:vAlign w:val="center"/>
                </w:tcPr>
                <w:p w14:paraId="1C82088E">
                  <w:pPr>
                    <w:pStyle w:val="43"/>
                    <w:bidi w:val="0"/>
                    <w:rPr>
                      <w:rFonts w:hint="eastAsia" w:ascii="Times New Roman" w:hAnsi="Times New Roman" w:eastAsia="宋体" w:cs="Times New Roman"/>
                      <w:b w:val="0"/>
                      <w:bCs w:val="0"/>
                      <w:color w:val="auto"/>
                      <w:kern w:val="2"/>
                      <w:sz w:val="21"/>
                      <w:szCs w:val="21"/>
                      <w:lang w:val="en-US" w:eastAsia="zh-CN" w:bidi="ar-SA"/>
                    </w:rPr>
                  </w:pPr>
                </w:p>
              </w:tc>
              <w:tc>
                <w:tcPr>
                  <w:tcW w:w="1603" w:type="dxa"/>
                  <w:tcBorders>
                    <w:tl2br w:val="nil"/>
                    <w:tr2bl w:val="nil"/>
                  </w:tcBorders>
                  <w:shd w:val="clear" w:color="auto" w:fill="auto"/>
                  <w:noWrap w:val="0"/>
                  <w:vAlign w:val="center"/>
                </w:tcPr>
                <w:p w14:paraId="04E51A12">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311-002-S01</w:t>
                  </w:r>
                </w:p>
              </w:tc>
              <w:tc>
                <w:tcPr>
                  <w:tcW w:w="3487" w:type="dxa"/>
                  <w:tcBorders>
                    <w:tl2br w:val="nil"/>
                    <w:tr2bl w:val="nil"/>
                  </w:tcBorders>
                  <w:shd w:val="clear" w:color="auto" w:fill="auto"/>
                  <w:noWrap w:val="0"/>
                  <w:vAlign w:val="center"/>
                </w:tcPr>
                <w:p w14:paraId="287CEA91">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在高炉冶炼生铁过程中，铁矿、焦炭中的灰分和助熔剂以及不能进入生铁中的杂质形成以硅酸盐和氯铝酸盐为主的浮在铁水上面的熔渣</w:t>
                  </w:r>
                </w:p>
              </w:tc>
            </w:tr>
            <w:tr w14:paraId="48168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auto"/>
                  <w:noWrap w:val="0"/>
                  <w:vAlign w:val="center"/>
                </w:tcPr>
                <w:p w14:paraId="25DE24E9">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电炉渣</w:t>
                  </w:r>
                </w:p>
              </w:tc>
              <w:tc>
                <w:tcPr>
                  <w:tcW w:w="1361" w:type="dxa"/>
                  <w:vMerge w:val="continue"/>
                  <w:tcBorders>
                    <w:tl2br w:val="nil"/>
                    <w:tr2bl w:val="nil"/>
                  </w:tcBorders>
                  <w:shd w:val="clear" w:color="auto" w:fill="auto"/>
                  <w:noWrap w:val="0"/>
                  <w:vAlign w:val="center"/>
                </w:tcPr>
                <w:p w14:paraId="4D643C49">
                  <w:pPr>
                    <w:pStyle w:val="43"/>
                    <w:bidi w:val="0"/>
                    <w:rPr>
                      <w:rFonts w:hint="eastAsia" w:ascii="Times New Roman" w:hAnsi="Times New Roman" w:eastAsia="宋体" w:cs="Times New Roman"/>
                      <w:b w:val="0"/>
                      <w:bCs w:val="0"/>
                      <w:color w:val="auto"/>
                      <w:kern w:val="2"/>
                      <w:sz w:val="21"/>
                      <w:szCs w:val="21"/>
                      <w:lang w:val="en-US" w:eastAsia="zh-CN" w:bidi="ar-SA"/>
                    </w:rPr>
                  </w:pPr>
                </w:p>
              </w:tc>
              <w:tc>
                <w:tcPr>
                  <w:tcW w:w="1603" w:type="dxa"/>
                  <w:tcBorders>
                    <w:tl2br w:val="nil"/>
                    <w:tr2bl w:val="nil"/>
                  </w:tcBorders>
                  <w:shd w:val="clear" w:color="auto" w:fill="auto"/>
                  <w:noWrap w:val="0"/>
                  <w:vAlign w:val="center"/>
                </w:tcPr>
                <w:p w14:paraId="686ADCCC">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312-001-S01</w:t>
                  </w:r>
                </w:p>
              </w:tc>
              <w:tc>
                <w:tcPr>
                  <w:tcW w:w="3487" w:type="dxa"/>
                  <w:tcBorders>
                    <w:tl2br w:val="nil"/>
                    <w:tr2bl w:val="nil"/>
                  </w:tcBorders>
                  <w:shd w:val="clear" w:color="auto" w:fill="auto"/>
                  <w:noWrap w:val="0"/>
                  <w:vAlign w:val="center"/>
                </w:tcPr>
                <w:p w14:paraId="40482645">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电炉炼钢产生的渣，包括氧化渣、还原渣和冶炼渣</w:t>
                  </w:r>
                </w:p>
              </w:tc>
            </w:tr>
            <w:tr w14:paraId="3D59D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44F0A326">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铁合金炉渣</w:t>
                  </w:r>
                </w:p>
              </w:tc>
              <w:tc>
                <w:tcPr>
                  <w:tcW w:w="1361" w:type="dxa"/>
                  <w:vMerge w:val="continue"/>
                  <w:tcBorders>
                    <w:tl2br w:val="nil"/>
                    <w:tr2bl w:val="nil"/>
                  </w:tcBorders>
                  <w:shd w:val="clear" w:color="auto" w:fill="auto"/>
                  <w:noWrap w:val="0"/>
                  <w:vAlign w:val="center"/>
                </w:tcPr>
                <w:p w14:paraId="6267BDF1">
                  <w:pPr>
                    <w:pStyle w:val="43"/>
                    <w:bidi w:val="0"/>
                    <w:rPr>
                      <w:rFonts w:hint="eastAsia" w:ascii="Times New Roman" w:hAnsi="Times New Roman" w:eastAsia="宋体" w:cs="Times New Roman"/>
                      <w:color w:val="auto"/>
                      <w:kern w:val="2"/>
                      <w:sz w:val="21"/>
                      <w:szCs w:val="21"/>
                      <w:lang w:val="en-US" w:eastAsia="zh-CN" w:bidi="ar-SA"/>
                    </w:rPr>
                  </w:pPr>
                </w:p>
              </w:tc>
              <w:tc>
                <w:tcPr>
                  <w:tcW w:w="1603" w:type="dxa"/>
                  <w:tcBorders>
                    <w:tl2br w:val="nil"/>
                    <w:tr2bl w:val="nil"/>
                  </w:tcBorders>
                  <w:shd w:val="clear" w:color="auto" w:fill="auto"/>
                  <w:noWrap w:val="0"/>
                  <w:vAlign w:val="center"/>
                </w:tcPr>
                <w:p w14:paraId="23D5F971">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314-001-S01</w:t>
                  </w:r>
                </w:p>
              </w:tc>
              <w:tc>
                <w:tcPr>
                  <w:tcW w:w="3487" w:type="dxa"/>
                  <w:tcBorders>
                    <w:tl2br w:val="nil"/>
                    <w:tr2bl w:val="nil"/>
                  </w:tcBorders>
                  <w:shd w:val="clear" w:color="auto" w:fill="auto"/>
                  <w:noWrap w:val="0"/>
                  <w:vAlign w:val="center"/>
                </w:tcPr>
                <w:p w14:paraId="12AE66C3">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铁合金冶炼过程中产生的废渣</w:t>
                  </w:r>
                </w:p>
              </w:tc>
            </w:tr>
            <w:tr w14:paraId="606DA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487E050C">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冶炼废渣</w:t>
                  </w:r>
                </w:p>
              </w:tc>
              <w:tc>
                <w:tcPr>
                  <w:tcW w:w="1361" w:type="dxa"/>
                  <w:vMerge w:val="continue"/>
                  <w:tcBorders>
                    <w:tl2br w:val="nil"/>
                    <w:tr2bl w:val="nil"/>
                  </w:tcBorders>
                  <w:shd w:val="clear" w:color="auto" w:fill="auto"/>
                  <w:noWrap w:val="0"/>
                  <w:vAlign w:val="center"/>
                </w:tcPr>
                <w:p w14:paraId="6AF727C8">
                  <w:pPr>
                    <w:pStyle w:val="43"/>
                    <w:bidi w:val="0"/>
                    <w:rPr>
                      <w:rFonts w:hint="eastAsia" w:ascii="Times New Roman" w:hAnsi="Times New Roman" w:eastAsia="宋体" w:cs="Times New Roman"/>
                      <w:color w:val="auto"/>
                      <w:kern w:val="2"/>
                      <w:sz w:val="21"/>
                      <w:szCs w:val="21"/>
                      <w:lang w:val="en-US" w:eastAsia="zh-CN" w:bidi="ar-SA"/>
                    </w:rPr>
                  </w:pPr>
                </w:p>
              </w:tc>
              <w:tc>
                <w:tcPr>
                  <w:tcW w:w="1603" w:type="dxa"/>
                  <w:tcBorders>
                    <w:tl2br w:val="nil"/>
                    <w:tr2bl w:val="nil"/>
                  </w:tcBorders>
                  <w:shd w:val="clear" w:color="auto" w:fill="auto"/>
                  <w:noWrap w:val="0"/>
                  <w:vAlign w:val="center"/>
                </w:tcPr>
                <w:p w14:paraId="799A1618">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321-003-S01</w:t>
                  </w:r>
                </w:p>
                <w:p w14:paraId="3F42818D">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32</w:t>
                  </w:r>
                  <w:r>
                    <w:rPr>
                      <w:rFonts w:hint="eastAsia" w:cs="Times New Roman"/>
                      <w:color w:val="auto"/>
                      <w:kern w:val="2"/>
                      <w:sz w:val="21"/>
                      <w:szCs w:val="21"/>
                      <w:lang w:val="en-US" w:eastAsia="zh-CN" w:bidi="ar-SA"/>
                    </w:rPr>
                    <w:t>4</w:t>
                  </w:r>
                  <w:r>
                    <w:rPr>
                      <w:rFonts w:hint="eastAsia" w:ascii="Times New Roman" w:hAnsi="Times New Roman" w:eastAsia="宋体" w:cs="Times New Roman"/>
                      <w:color w:val="auto"/>
                      <w:kern w:val="2"/>
                      <w:sz w:val="21"/>
                      <w:szCs w:val="21"/>
                      <w:lang w:val="en-US" w:eastAsia="zh-CN" w:bidi="ar-SA"/>
                    </w:rPr>
                    <w:t>-00</w:t>
                  </w:r>
                  <w:r>
                    <w:rPr>
                      <w:rFonts w:hint="eastAsia"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-S01</w:t>
                  </w:r>
                </w:p>
                <w:p w14:paraId="3905F1B3">
                  <w:pPr>
                    <w:pStyle w:val="43"/>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900-099-S01</w:t>
                  </w:r>
                </w:p>
              </w:tc>
              <w:tc>
                <w:tcPr>
                  <w:tcW w:w="3487" w:type="dxa"/>
                  <w:tcBorders>
                    <w:tl2br w:val="nil"/>
                    <w:tr2bl w:val="nil"/>
                  </w:tcBorders>
                  <w:shd w:val="clear" w:color="auto" w:fill="auto"/>
                  <w:noWrap w:val="0"/>
                  <w:vAlign w:val="center"/>
                </w:tcPr>
                <w:p w14:paraId="02AF9B87">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矿铜熔炼环节产生的熔炼渣</w:t>
                  </w:r>
                  <w:r>
                    <w:rPr>
                      <w:rFonts w:hint="eastAsia" w:cs="Times New Roman"/>
                      <w:color w:val="auto"/>
                      <w:kern w:val="2"/>
                      <w:sz w:val="21"/>
                      <w:szCs w:val="21"/>
                      <w:lang w:val="en-US" w:eastAsia="zh-CN" w:bidi="ar-SA"/>
                    </w:rPr>
                    <w:t>；有色金属合金制造过程中产生的废渣；其他金属冶炼加工过程产生的废渣</w:t>
                  </w:r>
                </w:p>
              </w:tc>
            </w:tr>
            <w:tr w14:paraId="64D28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auto"/>
                  <w:noWrap w:val="0"/>
                  <w:vAlign w:val="center"/>
                </w:tcPr>
                <w:p w14:paraId="0ECD3F40">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炉渣</w:t>
                  </w:r>
                </w:p>
              </w:tc>
              <w:tc>
                <w:tcPr>
                  <w:tcW w:w="1361" w:type="dxa"/>
                  <w:tcBorders>
                    <w:tl2br w:val="nil"/>
                    <w:tr2bl w:val="nil"/>
                  </w:tcBorders>
                  <w:shd w:val="clear" w:color="auto" w:fill="auto"/>
                  <w:noWrap w:val="0"/>
                  <w:vAlign w:val="center"/>
                </w:tcPr>
                <w:p w14:paraId="7D99E617">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SW03炉渣</w:t>
                  </w:r>
                </w:p>
              </w:tc>
              <w:tc>
                <w:tcPr>
                  <w:tcW w:w="1603" w:type="dxa"/>
                  <w:tcBorders>
                    <w:tl2br w:val="nil"/>
                    <w:tr2bl w:val="nil"/>
                  </w:tcBorders>
                  <w:shd w:val="clear" w:color="auto" w:fill="auto"/>
                  <w:noWrap w:val="0"/>
                  <w:vAlign w:val="center"/>
                </w:tcPr>
                <w:p w14:paraId="5EDB1C72">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900-001-S03</w:t>
                  </w:r>
                </w:p>
              </w:tc>
              <w:tc>
                <w:tcPr>
                  <w:tcW w:w="3487" w:type="dxa"/>
                  <w:tcBorders>
                    <w:tl2br w:val="nil"/>
                    <w:tr2bl w:val="nil"/>
                  </w:tcBorders>
                  <w:shd w:val="clear" w:color="auto" w:fill="auto"/>
                  <w:noWrap w:val="0"/>
                  <w:vAlign w:val="center"/>
                </w:tcPr>
                <w:p w14:paraId="01DF3705">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煤炭燃烧产生的炉渣</w:t>
                  </w:r>
                </w:p>
              </w:tc>
            </w:tr>
            <w:tr w14:paraId="6DF38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auto"/>
                  <w:noWrap w:val="0"/>
                  <w:vAlign w:val="center"/>
                </w:tcPr>
                <w:p w14:paraId="7EB6B470">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煤矸石</w:t>
                  </w:r>
                </w:p>
              </w:tc>
              <w:tc>
                <w:tcPr>
                  <w:tcW w:w="1361" w:type="dxa"/>
                  <w:tcBorders>
                    <w:tl2br w:val="nil"/>
                    <w:tr2bl w:val="nil"/>
                  </w:tcBorders>
                  <w:shd w:val="clear" w:color="auto" w:fill="auto"/>
                  <w:noWrap w:val="0"/>
                  <w:vAlign w:val="center"/>
                </w:tcPr>
                <w:p w14:paraId="346D7BD7">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SW04煤矸石</w:t>
                  </w:r>
                </w:p>
              </w:tc>
              <w:tc>
                <w:tcPr>
                  <w:tcW w:w="1603" w:type="dxa"/>
                  <w:tcBorders>
                    <w:tl2br w:val="nil"/>
                    <w:tr2bl w:val="nil"/>
                  </w:tcBorders>
                  <w:shd w:val="clear" w:color="auto" w:fill="auto"/>
                  <w:noWrap w:val="0"/>
                  <w:vAlign w:val="center"/>
                </w:tcPr>
                <w:p w14:paraId="721C443E">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060-001-S04</w:t>
                  </w:r>
                </w:p>
              </w:tc>
              <w:tc>
                <w:tcPr>
                  <w:tcW w:w="3487" w:type="dxa"/>
                  <w:tcBorders>
                    <w:tl2br w:val="nil"/>
                    <w:tr2bl w:val="nil"/>
                  </w:tcBorders>
                  <w:shd w:val="clear" w:color="auto" w:fill="auto"/>
                  <w:noWrap w:val="0"/>
                  <w:vAlign w:val="center"/>
                </w:tcPr>
                <w:p w14:paraId="79D2C406">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煤矿在开拓掘进、采煤和煤炭洗选等生产过程中排出的含碳岩石</w:t>
                  </w:r>
                </w:p>
              </w:tc>
            </w:tr>
            <w:tr w14:paraId="67BF9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noWrap w:val="0"/>
                  <w:vAlign w:val="center"/>
                </w:tcPr>
                <w:p w14:paraId="5D4CDA0E">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铁矿选矿粉末</w:t>
                  </w:r>
                </w:p>
              </w:tc>
              <w:tc>
                <w:tcPr>
                  <w:tcW w:w="1361" w:type="dxa"/>
                  <w:vMerge w:val="restart"/>
                  <w:tcBorders>
                    <w:tl2br w:val="nil"/>
                    <w:tr2bl w:val="nil"/>
                  </w:tcBorders>
                  <w:noWrap w:val="0"/>
                  <w:vAlign w:val="center"/>
                </w:tcPr>
                <w:p w14:paraId="3BC0E801">
                  <w:pPr>
                    <w:pStyle w:val="43"/>
                    <w:bidi w:val="0"/>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SW05尾矿</w:t>
                  </w:r>
                </w:p>
              </w:tc>
              <w:tc>
                <w:tcPr>
                  <w:tcW w:w="1603" w:type="dxa"/>
                  <w:tcBorders>
                    <w:tl2br w:val="nil"/>
                    <w:tr2bl w:val="nil"/>
                  </w:tcBorders>
                  <w:noWrap w:val="0"/>
                  <w:vAlign w:val="center"/>
                </w:tcPr>
                <w:p w14:paraId="49A1EC4F">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081-001-S05</w:t>
                  </w:r>
                </w:p>
              </w:tc>
              <w:tc>
                <w:tcPr>
                  <w:tcW w:w="3487" w:type="dxa"/>
                  <w:tcBorders>
                    <w:tl2br w:val="nil"/>
                    <w:tr2bl w:val="nil"/>
                  </w:tcBorders>
                  <w:noWrap w:val="0"/>
                  <w:vAlign w:val="center"/>
                </w:tcPr>
                <w:p w14:paraId="7E2BB529">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铁矿山开采出的矿石，经选矿厂选出有价值的精矿后产生的固体废物</w:t>
                  </w:r>
                </w:p>
              </w:tc>
            </w:tr>
            <w:tr w14:paraId="7D3F9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noWrap w:val="0"/>
                  <w:vAlign w:val="center"/>
                </w:tcPr>
                <w:p w14:paraId="758743EC">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尾矿渣</w:t>
                  </w:r>
                </w:p>
              </w:tc>
              <w:tc>
                <w:tcPr>
                  <w:tcW w:w="1361" w:type="dxa"/>
                  <w:vMerge w:val="continue"/>
                  <w:tcBorders>
                    <w:tl2br w:val="nil"/>
                    <w:tr2bl w:val="nil"/>
                  </w:tcBorders>
                  <w:noWrap w:val="0"/>
                  <w:vAlign w:val="center"/>
                </w:tcPr>
                <w:p w14:paraId="3406D2AA">
                  <w:pPr>
                    <w:pStyle w:val="43"/>
                    <w:bidi w:val="0"/>
                    <w:rPr>
                      <w:rFonts w:hint="default" w:ascii="Times New Roman" w:hAnsi="Times New Roman" w:cs="Times New Roman"/>
                      <w:b w:val="0"/>
                      <w:bCs w:val="0"/>
                      <w:color w:val="auto"/>
                      <w:lang w:val="en-US" w:eastAsia="zh-CN"/>
                    </w:rPr>
                  </w:pPr>
                </w:p>
              </w:tc>
              <w:tc>
                <w:tcPr>
                  <w:tcW w:w="1603" w:type="dxa"/>
                  <w:tcBorders>
                    <w:tl2br w:val="nil"/>
                    <w:tr2bl w:val="nil"/>
                  </w:tcBorders>
                  <w:noWrap w:val="0"/>
                  <w:vAlign w:val="center"/>
                </w:tcPr>
                <w:p w14:paraId="3F0A6047">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091-001-S05</w:t>
                  </w:r>
                </w:p>
              </w:tc>
              <w:tc>
                <w:tcPr>
                  <w:tcW w:w="3487" w:type="dxa"/>
                  <w:tcBorders>
                    <w:tl2br w:val="nil"/>
                    <w:tr2bl w:val="nil"/>
                  </w:tcBorders>
                  <w:noWrap w:val="0"/>
                  <w:vAlign w:val="center"/>
                </w:tcPr>
                <w:p w14:paraId="4BDA4DDB">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铜矿山开采出的矿石，经选矿厂选出有价值的精矿后产生的固体废物</w:t>
                  </w:r>
                </w:p>
              </w:tc>
            </w:tr>
            <w:tr w14:paraId="36F01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20" w:type="dxa"/>
                  <w:tcBorders>
                    <w:tl2br w:val="nil"/>
                    <w:tr2bl w:val="nil"/>
                  </w:tcBorders>
                  <w:noWrap w:val="0"/>
                  <w:vAlign w:val="center"/>
                </w:tcPr>
                <w:p w14:paraId="60D4B340">
                  <w:pPr>
                    <w:pStyle w:val="43"/>
                    <w:bidi w:val="0"/>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石英</w:t>
                  </w:r>
                  <w:r>
                    <w:rPr>
                      <w:rFonts w:hint="eastAsia" w:cs="Times New Roman"/>
                      <w:b w:val="0"/>
                      <w:bCs w:val="0"/>
                      <w:color w:val="auto"/>
                      <w:lang w:val="en-US" w:eastAsia="zh-CN"/>
                    </w:rPr>
                    <w:t>石</w:t>
                  </w:r>
                  <w:r>
                    <w:rPr>
                      <w:rFonts w:hint="eastAsia" w:ascii="Times New Roman" w:hAnsi="Times New Roman" w:cs="Times New Roman"/>
                      <w:b w:val="0"/>
                      <w:bCs w:val="0"/>
                      <w:color w:val="auto"/>
                      <w:lang w:val="en-US" w:eastAsia="zh-CN"/>
                    </w:rPr>
                    <w:t>选矿</w:t>
                  </w:r>
                  <w:r>
                    <w:rPr>
                      <w:rFonts w:hint="eastAsia" w:cs="Times New Roman"/>
                      <w:b w:val="0"/>
                      <w:bCs w:val="0"/>
                      <w:color w:val="auto"/>
                      <w:lang w:val="en-US" w:eastAsia="zh-CN"/>
                    </w:rPr>
                    <w:t>污泥</w:t>
                  </w:r>
                </w:p>
              </w:tc>
              <w:tc>
                <w:tcPr>
                  <w:tcW w:w="1361" w:type="dxa"/>
                  <w:vMerge w:val="continue"/>
                  <w:tcBorders>
                    <w:tl2br w:val="nil"/>
                    <w:tr2bl w:val="nil"/>
                  </w:tcBorders>
                  <w:noWrap w:val="0"/>
                  <w:vAlign w:val="center"/>
                </w:tcPr>
                <w:p w14:paraId="6DEA1FE3">
                  <w:pPr>
                    <w:pStyle w:val="43"/>
                    <w:bidi w:val="0"/>
                    <w:rPr>
                      <w:rFonts w:hint="eastAsia" w:ascii="Times New Roman" w:hAnsi="Times New Roman" w:cs="Times New Roman"/>
                      <w:b w:val="0"/>
                      <w:bCs w:val="0"/>
                      <w:color w:val="auto"/>
                      <w:lang w:val="en-US" w:eastAsia="zh-CN"/>
                    </w:rPr>
                  </w:pPr>
                </w:p>
              </w:tc>
              <w:tc>
                <w:tcPr>
                  <w:tcW w:w="1603" w:type="dxa"/>
                  <w:tcBorders>
                    <w:tl2br w:val="nil"/>
                    <w:tr2bl w:val="nil"/>
                  </w:tcBorders>
                  <w:noWrap w:val="0"/>
                  <w:vAlign w:val="center"/>
                </w:tcPr>
                <w:p w14:paraId="6E51330E">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109-001-S05</w:t>
                  </w:r>
                </w:p>
              </w:tc>
              <w:tc>
                <w:tcPr>
                  <w:tcW w:w="3487" w:type="dxa"/>
                  <w:tcBorders>
                    <w:tl2br w:val="nil"/>
                    <w:tr2bl w:val="nil"/>
                  </w:tcBorders>
                  <w:noWrap w:val="0"/>
                  <w:vAlign w:val="center"/>
                </w:tcPr>
                <w:p w14:paraId="63B90D9B">
                  <w:pPr>
                    <w:pStyle w:val="43"/>
                    <w:bidi w:val="0"/>
                    <w:rPr>
                      <w:rFonts w:hint="eastAsia" w:ascii="Times New Roman" w:hAnsi="Times New Roman" w:cs="Times New Roman"/>
                      <w:b w:val="0"/>
                      <w:bCs w:val="0"/>
                      <w:color w:val="auto"/>
                      <w:lang w:val="en-US" w:eastAsia="zh-CN"/>
                    </w:rPr>
                  </w:pPr>
                  <w:r>
                    <w:rPr>
                      <w:rFonts w:hint="eastAsia" w:cs="Times New Roman"/>
                      <w:b w:val="0"/>
                      <w:bCs w:val="0"/>
                      <w:color w:val="auto"/>
                      <w:lang w:val="en-US" w:eastAsia="zh-CN"/>
                    </w:rPr>
                    <w:t>石英石</w:t>
                  </w:r>
                  <w:r>
                    <w:rPr>
                      <w:rFonts w:hint="eastAsia" w:ascii="Times New Roman" w:hAnsi="Times New Roman" w:cs="Times New Roman"/>
                      <w:b w:val="0"/>
                      <w:bCs w:val="0"/>
                      <w:color w:val="auto"/>
                      <w:lang w:val="en-US" w:eastAsia="zh-CN"/>
                    </w:rPr>
                    <w:t>选矿过程中产生的固体废弃物</w:t>
                  </w:r>
                </w:p>
              </w:tc>
            </w:tr>
            <w:tr w14:paraId="77EDA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auto"/>
                  <w:noWrap w:val="0"/>
                  <w:vAlign w:val="center"/>
                </w:tcPr>
                <w:p w14:paraId="4CE1EDF3">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萤石选矿尾渣</w:t>
                  </w:r>
                </w:p>
              </w:tc>
              <w:tc>
                <w:tcPr>
                  <w:tcW w:w="1361" w:type="dxa"/>
                  <w:vMerge w:val="continue"/>
                  <w:tcBorders>
                    <w:tl2br w:val="nil"/>
                    <w:tr2bl w:val="nil"/>
                  </w:tcBorders>
                  <w:shd w:val="clear" w:color="auto" w:fill="auto"/>
                  <w:noWrap w:val="0"/>
                  <w:vAlign w:val="center"/>
                </w:tcPr>
                <w:p w14:paraId="5ADCB01E">
                  <w:pPr>
                    <w:pStyle w:val="43"/>
                    <w:bidi w:val="0"/>
                    <w:rPr>
                      <w:rFonts w:hint="default" w:ascii="Times New Roman" w:hAnsi="Times New Roman" w:eastAsia="宋体" w:cs="Times New Roman"/>
                      <w:b w:val="0"/>
                      <w:bCs w:val="0"/>
                      <w:color w:val="auto"/>
                      <w:kern w:val="2"/>
                      <w:sz w:val="21"/>
                      <w:szCs w:val="21"/>
                      <w:lang w:val="en-US" w:eastAsia="zh-CN" w:bidi="ar-SA"/>
                    </w:rPr>
                  </w:pPr>
                </w:p>
              </w:tc>
              <w:tc>
                <w:tcPr>
                  <w:tcW w:w="1603" w:type="dxa"/>
                  <w:tcBorders>
                    <w:tl2br w:val="nil"/>
                    <w:tr2bl w:val="nil"/>
                  </w:tcBorders>
                  <w:shd w:val="clear" w:color="auto" w:fill="auto"/>
                  <w:noWrap w:val="0"/>
                  <w:vAlign w:val="center"/>
                </w:tcPr>
                <w:p w14:paraId="0E39434F">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109-001-S05</w:t>
                  </w:r>
                </w:p>
              </w:tc>
              <w:tc>
                <w:tcPr>
                  <w:tcW w:w="3487" w:type="dxa"/>
                  <w:tcBorders>
                    <w:tl2br w:val="nil"/>
                    <w:tr2bl w:val="nil"/>
                  </w:tcBorders>
                  <w:shd w:val="clear" w:color="auto" w:fill="auto"/>
                  <w:noWrap w:val="0"/>
                  <w:vAlign w:val="center"/>
                </w:tcPr>
                <w:p w14:paraId="332E78A5">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萤石矿选矿过程中产生的固体废弃物</w:t>
                  </w:r>
                </w:p>
              </w:tc>
            </w:tr>
            <w:tr w14:paraId="04598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272E2621">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脱硫石膏</w:t>
                  </w:r>
                </w:p>
              </w:tc>
              <w:tc>
                <w:tcPr>
                  <w:tcW w:w="1361" w:type="dxa"/>
                  <w:tcBorders>
                    <w:tl2br w:val="nil"/>
                    <w:tr2bl w:val="nil"/>
                  </w:tcBorders>
                  <w:shd w:val="clear" w:color="auto" w:fill="auto"/>
                  <w:noWrap w:val="0"/>
                  <w:vAlign w:val="center"/>
                </w:tcPr>
                <w:p w14:paraId="1E6DC0AF">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SW06脱硫石膏</w:t>
                  </w:r>
                </w:p>
              </w:tc>
              <w:tc>
                <w:tcPr>
                  <w:tcW w:w="1603" w:type="dxa"/>
                  <w:tcBorders>
                    <w:tl2br w:val="nil"/>
                    <w:tr2bl w:val="nil"/>
                  </w:tcBorders>
                  <w:shd w:val="clear" w:color="auto" w:fill="auto"/>
                  <w:noWrap w:val="0"/>
                  <w:vAlign w:val="center"/>
                </w:tcPr>
                <w:p w14:paraId="5C73F539">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252-001-S06</w:t>
                  </w:r>
                  <w:r>
                    <w:rPr>
                      <w:rFonts w:hint="eastAsia" w:ascii="Times New Roman" w:hAnsi="Times New Roman" w:cs="Times New Roman"/>
                      <w:color w:val="auto"/>
                      <w:kern w:val="2"/>
                      <w:sz w:val="21"/>
                      <w:szCs w:val="21"/>
                      <w:lang w:val="en-US" w:eastAsia="zh-CN" w:bidi="ar-SA"/>
                    </w:rPr>
                    <w:t>、441-001-S06、900-099-S06</w:t>
                  </w:r>
                </w:p>
              </w:tc>
              <w:tc>
                <w:tcPr>
                  <w:tcW w:w="3487" w:type="dxa"/>
                  <w:tcBorders>
                    <w:tl2br w:val="nil"/>
                    <w:tr2bl w:val="nil"/>
                  </w:tcBorders>
                  <w:shd w:val="clear" w:color="auto" w:fill="auto"/>
                  <w:noWrap w:val="0"/>
                  <w:vAlign w:val="center"/>
                </w:tcPr>
                <w:p w14:paraId="748FE2DE">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焦化行业烟气处理产生的脱硫石膏</w:t>
                  </w:r>
                  <w:r>
                    <w:rPr>
                      <w:rFonts w:hint="eastAsia" w:ascii="Times New Roman" w:hAnsi="Times New Roman" w:cs="Times New Roman"/>
                      <w:color w:val="auto"/>
                      <w:kern w:val="2"/>
                      <w:sz w:val="21"/>
                      <w:szCs w:val="21"/>
                      <w:lang w:val="en-US" w:eastAsia="zh-CN" w:bidi="ar-SA"/>
                    </w:rPr>
                    <w:t>、火力发电、热电联供行业烟气处理产生的脱硫石膏、其他行业烟气处理产生的脱硫石膏或脱硫灰</w:t>
                  </w:r>
                </w:p>
              </w:tc>
            </w:tr>
            <w:tr w14:paraId="749F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34125C7B">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氟化钙污泥</w:t>
                  </w:r>
                </w:p>
              </w:tc>
              <w:tc>
                <w:tcPr>
                  <w:tcW w:w="1361" w:type="dxa"/>
                  <w:tcBorders>
                    <w:tl2br w:val="nil"/>
                    <w:tr2bl w:val="nil"/>
                  </w:tcBorders>
                  <w:shd w:val="clear" w:color="auto" w:fill="auto"/>
                  <w:noWrap w:val="0"/>
                  <w:vAlign w:val="center"/>
                </w:tcPr>
                <w:p w14:paraId="6CA6F4FB">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SW07污泥</w:t>
                  </w:r>
                </w:p>
              </w:tc>
              <w:tc>
                <w:tcPr>
                  <w:tcW w:w="1603" w:type="dxa"/>
                  <w:tcBorders>
                    <w:tl2br w:val="nil"/>
                    <w:tr2bl w:val="nil"/>
                  </w:tcBorders>
                  <w:shd w:val="clear" w:color="auto" w:fill="auto"/>
                  <w:noWrap w:val="0"/>
                  <w:vAlign w:val="center"/>
                </w:tcPr>
                <w:p w14:paraId="6E3901EA">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397-001-S07</w:t>
                  </w:r>
                </w:p>
              </w:tc>
              <w:tc>
                <w:tcPr>
                  <w:tcW w:w="3487" w:type="dxa"/>
                  <w:tcBorders>
                    <w:tl2br w:val="nil"/>
                    <w:tr2bl w:val="nil"/>
                  </w:tcBorders>
                  <w:shd w:val="clear" w:color="auto" w:fill="auto"/>
                  <w:noWrap w:val="0"/>
                  <w:vAlign w:val="center"/>
                </w:tcPr>
                <w:p w14:paraId="6E3E8C09">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含氟污泥。处理含氟废水产生的污泥，主要成分含氟化钙、氢氧化钙</w:t>
                  </w:r>
                </w:p>
              </w:tc>
            </w:tr>
            <w:tr w14:paraId="1F239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2E1C55C3">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赤泥</w:t>
                  </w:r>
                </w:p>
              </w:tc>
              <w:tc>
                <w:tcPr>
                  <w:tcW w:w="1361" w:type="dxa"/>
                  <w:tcBorders>
                    <w:tl2br w:val="nil"/>
                    <w:tr2bl w:val="nil"/>
                  </w:tcBorders>
                  <w:shd w:val="clear" w:color="auto" w:fill="auto"/>
                  <w:noWrap w:val="0"/>
                  <w:vAlign w:val="center"/>
                </w:tcPr>
                <w:p w14:paraId="6C1424E5">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SW09赤泥</w:t>
                  </w:r>
                </w:p>
              </w:tc>
              <w:tc>
                <w:tcPr>
                  <w:tcW w:w="1603" w:type="dxa"/>
                  <w:tcBorders>
                    <w:tl2br w:val="nil"/>
                    <w:tr2bl w:val="nil"/>
                  </w:tcBorders>
                  <w:shd w:val="clear" w:color="auto" w:fill="auto"/>
                  <w:noWrap w:val="0"/>
                  <w:vAlign w:val="center"/>
                </w:tcPr>
                <w:p w14:paraId="7CB7B2B8">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321-001-S09</w:t>
                  </w:r>
                </w:p>
              </w:tc>
              <w:tc>
                <w:tcPr>
                  <w:tcW w:w="3487" w:type="dxa"/>
                  <w:tcBorders>
                    <w:tl2br w:val="nil"/>
                    <w:tr2bl w:val="nil"/>
                  </w:tcBorders>
                  <w:shd w:val="clear" w:color="auto" w:fill="auto"/>
                  <w:noWrap w:val="0"/>
                  <w:vAlign w:val="center"/>
                </w:tcPr>
                <w:p w14:paraId="1ACC27A9">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从铝土矿中提炼氧化铝后排出的废渣</w:t>
                  </w:r>
                </w:p>
              </w:tc>
            </w:tr>
            <w:tr w14:paraId="4AE27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06B026D8">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磷石膏</w:t>
                  </w:r>
                </w:p>
              </w:tc>
              <w:tc>
                <w:tcPr>
                  <w:tcW w:w="1361" w:type="dxa"/>
                  <w:tcBorders>
                    <w:tl2br w:val="nil"/>
                    <w:tr2bl w:val="nil"/>
                  </w:tcBorders>
                  <w:shd w:val="clear" w:color="auto" w:fill="auto"/>
                  <w:noWrap w:val="0"/>
                  <w:vAlign w:val="center"/>
                </w:tcPr>
                <w:p w14:paraId="7E4712D8">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SW10</w:t>
                  </w:r>
                  <w:r>
                    <w:rPr>
                      <w:rFonts w:hint="eastAsia" w:ascii="Times New Roman" w:hAnsi="Times New Roman" w:eastAsia="宋体" w:cs="Times New Roman"/>
                      <w:color w:val="auto"/>
                      <w:lang w:val="en-US" w:eastAsia="zh-CN"/>
                    </w:rPr>
                    <w:t>磷石膏</w:t>
                  </w:r>
                </w:p>
              </w:tc>
              <w:tc>
                <w:tcPr>
                  <w:tcW w:w="1603" w:type="dxa"/>
                  <w:tcBorders>
                    <w:tl2br w:val="nil"/>
                    <w:tr2bl w:val="nil"/>
                  </w:tcBorders>
                  <w:shd w:val="clear" w:color="auto" w:fill="auto"/>
                  <w:noWrap w:val="0"/>
                  <w:vAlign w:val="center"/>
                </w:tcPr>
                <w:p w14:paraId="5B8F96DD">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261-001-S10</w:t>
                  </w:r>
                </w:p>
              </w:tc>
              <w:tc>
                <w:tcPr>
                  <w:tcW w:w="3487" w:type="dxa"/>
                  <w:tcBorders>
                    <w:tl2br w:val="nil"/>
                    <w:tr2bl w:val="nil"/>
                  </w:tcBorders>
                  <w:shd w:val="clear" w:color="auto" w:fill="auto"/>
                  <w:noWrap w:val="0"/>
                  <w:vAlign w:val="center"/>
                </w:tcPr>
                <w:p w14:paraId="4057E929">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湿法磷酸生产工段用硫酸处理磷矿过程中形成，经过滤产生的固体废物，主要成分为硫酸钙</w:t>
                  </w:r>
                </w:p>
              </w:tc>
            </w:tr>
            <w:tr w14:paraId="7B14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272B1BDA">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钛石膏</w:t>
                  </w:r>
                </w:p>
              </w:tc>
              <w:tc>
                <w:tcPr>
                  <w:tcW w:w="1361" w:type="dxa"/>
                  <w:vMerge w:val="restart"/>
                  <w:tcBorders>
                    <w:tl2br w:val="nil"/>
                    <w:tr2bl w:val="nil"/>
                  </w:tcBorders>
                  <w:shd w:val="clear" w:color="auto" w:fill="auto"/>
                  <w:noWrap w:val="0"/>
                  <w:vAlign w:val="center"/>
                </w:tcPr>
                <w:p w14:paraId="1ABBF75E">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SW11其他工业副产石膏</w:t>
                  </w:r>
                </w:p>
              </w:tc>
              <w:tc>
                <w:tcPr>
                  <w:tcW w:w="1603" w:type="dxa"/>
                  <w:tcBorders>
                    <w:tl2br w:val="nil"/>
                    <w:tr2bl w:val="nil"/>
                  </w:tcBorders>
                  <w:shd w:val="clear" w:color="auto" w:fill="auto"/>
                  <w:noWrap w:val="0"/>
                  <w:vAlign w:val="center"/>
                </w:tcPr>
                <w:p w14:paraId="5A57369D">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261-003-S11</w:t>
                  </w:r>
                </w:p>
              </w:tc>
              <w:tc>
                <w:tcPr>
                  <w:tcW w:w="3487" w:type="dxa"/>
                  <w:tcBorders>
                    <w:tl2br w:val="nil"/>
                    <w:tr2bl w:val="nil"/>
                  </w:tcBorders>
                  <w:shd w:val="clear" w:color="auto" w:fill="auto"/>
                  <w:noWrap w:val="0"/>
                  <w:vAlign w:val="center"/>
                </w:tcPr>
                <w:p w14:paraId="7CA2F2D3">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采用硫酸法生产钛白粉时，为治理酸性废水，加入石灰（或电石渣）以中和大量的酸性废水而产生的石膏。</w:t>
                  </w:r>
                </w:p>
              </w:tc>
            </w:tr>
            <w:tr w14:paraId="37650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49CE0796">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氟石膏</w:t>
                  </w:r>
                </w:p>
              </w:tc>
              <w:tc>
                <w:tcPr>
                  <w:tcW w:w="1361" w:type="dxa"/>
                  <w:vMerge w:val="continue"/>
                  <w:tcBorders>
                    <w:tl2br w:val="nil"/>
                    <w:tr2bl w:val="nil"/>
                  </w:tcBorders>
                  <w:shd w:val="clear" w:color="auto" w:fill="auto"/>
                  <w:noWrap w:val="0"/>
                  <w:vAlign w:val="center"/>
                </w:tcPr>
                <w:p w14:paraId="775DFA94">
                  <w:pPr>
                    <w:pStyle w:val="43"/>
                    <w:bidi w:val="0"/>
                    <w:rPr>
                      <w:rFonts w:hint="eastAsia" w:ascii="Times New Roman" w:hAnsi="Times New Roman" w:eastAsia="宋体" w:cs="Times New Roman"/>
                      <w:color w:val="auto"/>
                      <w:kern w:val="2"/>
                      <w:sz w:val="21"/>
                      <w:szCs w:val="21"/>
                      <w:lang w:val="en-US" w:eastAsia="zh-CN" w:bidi="ar-SA"/>
                    </w:rPr>
                  </w:pPr>
                </w:p>
              </w:tc>
              <w:tc>
                <w:tcPr>
                  <w:tcW w:w="1603" w:type="dxa"/>
                  <w:tcBorders>
                    <w:tl2br w:val="nil"/>
                    <w:tr2bl w:val="nil"/>
                  </w:tcBorders>
                  <w:shd w:val="clear" w:color="auto" w:fill="auto"/>
                  <w:noWrap w:val="0"/>
                  <w:vAlign w:val="center"/>
                </w:tcPr>
                <w:p w14:paraId="62340DEF">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261-001-S1</w:t>
                  </w:r>
                </w:p>
              </w:tc>
              <w:tc>
                <w:tcPr>
                  <w:tcW w:w="3487" w:type="dxa"/>
                  <w:tcBorders>
                    <w:tl2br w:val="nil"/>
                    <w:tr2bl w:val="nil"/>
                  </w:tcBorders>
                  <w:shd w:val="clear" w:color="auto" w:fill="auto"/>
                  <w:noWrap w:val="0"/>
                  <w:vAlign w:val="center"/>
                </w:tcPr>
                <w:p w14:paraId="3DF43A3E">
                  <w:pPr>
                    <w:pStyle w:val="43"/>
                    <w:bidi w:val="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氢氟酸生产过程产生的石膏</w:t>
                  </w:r>
                </w:p>
              </w:tc>
            </w:tr>
            <w:tr w14:paraId="20C4D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279F0119">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造纸白泥</w:t>
                  </w:r>
                </w:p>
              </w:tc>
              <w:tc>
                <w:tcPr>
                  <w:tcW w:w="1361" w:type="dxa"/>
                  <w:tcBorders>
                    <w:tl2br w:val="nil"/>
                    <w:tr2bl w:val="nil"/>
                  </w:tcBorders>
                  <w:shd w:val="clear" w:color="auto" w:fill="auto"/>
                  <w:noWrap w:val="0"/>
                  <w:vAlign w:val="center"/>
                </w:tcPr>
                <w:p w14:paraId="3C722F81">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SW15造纸印刷业废物</w:t>
                  </w:r>
                </w:p>
              </w:tc>
              <w:tc>
                <w:tcPr>
                  <w:tcW w:w="1603" w:type="dxa"/>
                  <w:tcBorders>
                    <w:tl2br w:val="nil"/>
                    <w:tr2bl w:val="nil"/>
                  </w:tcBorders>
                  <w:shd w:val="clear" w:color="auto" w:fill="auto"/>
                  <w:noWrap w:val="0"/>
                  <w:vAlign w:val="center"/>
                </w:tcPr>
                <w:p w14:paraId="1F163DD3">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221-007-S15</w:t>
                  </w:r>
                </w:p>
              </w:tc>
              <w:tc>
                <w:tcPr>
                  <w:tcW w:w="3487" w:type="dxa"/>
                  <w:tcBorders>
                    <w:tl2br w:val="nil"/>
                    <w:tr2bl w:val="nil"/>
                  </w:tcBorders>
                  <w:shd w:val="clear" w:color="auto" w:fill="auto"/>
                  <w:noWrap w:val="0"/>
                  <w:vAlign w:val="center"/>
                </w:tcPr>
                <w:p w14:paraId="3D850AFD">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石灰渣。碱回收工段中来自苛化工段的石灰渣，主要成分是碳酸钙，还含有一定量的硅化物</w:t>
                  </w:r>
                </w:p>
              </w:tc>
            </w:tr>
            <w:tr w14:paraId="6F8B2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noWrap w:val="0"/>
                  <w:vAlign w:val="center"/>
                </w:tcPr>
                <w:p w14:paraId="18A6802D">
                  <w:pPr>
                    <w:pStyle w:val="43"/>
                    <w:bidi w:val="0"/>
                    <w:rPr>
                      <w:rFonts w:hint="eastAsia" w:ascii="Times New Roman" w:hAnsi="Times New Roman" w:cs="Times New Roman"/>
                      <w:b w:val="0"/>
                      <w:bCs w:val="0"/>
                      <w:color w:val="auto"/>
                      <w:lang w:val="en-US" w:eastAsia="zh-CN"/>
                    </w:rPr>
                  </w:pPr>
                  <w:r>
                    <w:rPr>
                      <w:rFonts w:hint="eastAsia" w:ascii="Times New Roman" w:hAnsi="Times New Roman" w:eastAsia="宋体" w:cs="Times New Roman"/>
                      <w:color w:val="auto"/>
                      <w:lang w:val="en-US" w:eastAsia="zh-CN"/>
                    </w:rPr>
                    <w:t>电石渣</w:t>
                  </w:r>
                </w:p>
              </w:tc>
              <w:tc>
                <w:tcPr>
                  <w:tcW w:w="1361" w:type="dxa"/>
                  <w:vMerge w:val="restart"/>
                  <w:tcBorders>
                    <w:tl2br w:val="nil"/>
                    <w:tr2bl w:val="nil"/>
                  </w:tcBorders>
                  <w:noWrap w:val="0"/>
                  <w:vAlign w:val="center"/>
                </w:tcPr>
                <w:p w14:paraId="1BA57C14">
                  <w:pPr>
                    <w:pStyle w:val="43"/>
                    <w:bidi w:val="0"/>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SW16化工废物</w:t>
                  </w:r>
                </w:p>
              </w:tc>
              <w:tc>
                <w:tcPr>
                  <w:tcW w:w="1603" w:type="dxa"/>
                  <w:tcBorders>
                    <w:tl2br w:val="nil"/>
                    <w:tr2bl w:val="nil"/>
                  </w:tcBorders>
                  <w:noWrap w:val="0"/>
                  <w:vAlign w:val="center"/>
                </w:tcPr>
                <w:p w14:paraId="17BC5A1C">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261-003-S16</w:t>
                  </w:r>
                </w:p>
              </w:tc>
              <w:tc>
                <w:tcPr>
                  <w:tcW w:w="3487" w:type="dxa"/>
                  <w:tcBorders>
                    <w:tl2br w:val="nil"/>
                    <w:tr2bl w:val="nil"/>
                  </w:tcBorders>
                  <w:noWrap w:val="0"/>
                  <w:vAlign w:val="center"/>
                </w:tcPr>
                <w:p w14:paraId="6AC40423">
                  <w:pPr>
                    <w:pStyle w:val="43"/>
                    <w:bidi w:val="0"/>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电石水解获取乙炔气产生的以氢氧化钙为主要成分的废渣</w:t>
                  </w:r>
                </w:p>
              </w:tc>
            </w:tr>
            <w:tr w14:paraId="2D1F3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35662684">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磷渣</w:t>
                  </w:r>
                </w:p>
              </w:tc>
              <w:tc>
                <w:tcPr>
                  <w:tcW w:w="1361" w:type="dxa"/>
                  <w:vMerge w:val="continue"/>
                  <w:tcBorders>
                    <w:tl2br w:val="nil"/>
                    <w:tr2bl w:val="nil"/>
                  </w:tcBorders>
                  <w:shd w:val="clear" w:color="auto" w:fill="auto"/>
                  <w:noWrap w:val="0"/>
                  <w:vAlign w:val="center"/>
                </w:tcPr>
                <w:p w14:paraId="4CFC9EB3">
                  <w:pPr>
                    <w:pStyle w:val="43"/>
                    <w:bidi w:val="0"/>
                    <w:rPr>
                      <w:rFonts w:hint="default" w:ascii="Times New Roman" w:hAnsi="Times New Roman" w:eastAsia="宋体" w:cs="Times New Roman"/>
                      <w:b w:val="0"/>
                      <w:bCs w:val="0"/>
                      <w:color w:val="auto"/>
                      <w:kern w:val="2"/>
                      <w:sz w:val="21"/>
                      <w:szCs w:val="21"/>
                      <w:lang w:val="en-US" w:eastAsia="zh-CN" w:bidi="ar-SA"/>
                    </w:rPr>
                  </w:pPr>
                </w:p>
              </w:tc>
              <w:tc>
                <w:tcPr>
                  <w:tcW w:w="1603" w:type="dxa"/>
                  <w:tcBorders>
                    <w:tl2br w:val="nil"/>
                    <w:tr2bl w:val="nil"/>
                  </w:tcBorders>
                  <w:shd w:val="clear" w:color="auto" w:fill="auto"/>
                  <w:noWrap w:val="0"/>
                  <w:vAlign w:val="center"/>
                </w:tcPr>
                <w:p w14:paraId="3A49363F">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261-010-S16</w:t>
                  </w:r>
                </w:p>
              </w:tc>
              <w:tc>
                <w:tcPr>
                  <w:tcW w:w="3487" w:type="dxa"/>
                  <w:tcBorders>
                    <w:tl2br w:val="nil"/>
                    <w:tr2bl w:val="nil"/>
                  </w:tcBorders>
                  <w:shd w:val="clear" w:color="auto" w:fill="auto"/>
                  <w:noWrap w:val="0"/>
                  <w:vAlign w:val="center"/>
                </w:tcPr>
                <w:p w14:paraId="50278F34">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黄磷炉渣。电炉法黄磷生产产生的废渣，主要成分是CaO和SiO</w:t>
                  </w:r>
                  <w:r>
                    <w:rPr>
                      <w:rFonts w:hint="eastAsia" w:ascii="Times New Roman" w:hAnsi="Times New Roman" w:cs="Times New Roman"/>
                      <w:b w:val="0"/>
                      <w:bCs w:val="0"/>
                      <w:color w:val="auto"/>
                      <w:vertAlign w:val="subscript"/>
                      <w:lang w:val="en-US" w:eastAsia="zh-CN"/>
                    </w:rPr>
                    <w:t>2</w:t>
                  </w:r>
                  <w:r>
                    <w:rPr>
                      <w:rFonts w:hint="eastAsia" w:ascii="Times New Roman" w:hAnsi="Times New Roman" w:cs="Times New Roman"/>
                      <w:b w:val="0"/>
                      <w:bCs w:val="0"/>
                      <w:color w:val="auto"/>
                      <w:lang w:val="en-US" w:eastAsia="zh-CN"/>
                    </w:rPr>
                    <w:t>。</w:t>
                  </w:r>
                </w:p>
              </w:tc>
            </w:tr>
            <w:tr w14:paraId="35CF5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4B5A3AE4">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废皮革</w:t>
                  </w:r>
                </w:p>
              </w:tc>
              <w:tc>
                <w:tcPr>
                  <w:tcW w:w="1361" w:type="dxa"/>
                  <w:tcBorders>
                    <w:tl2br w:val="nil"/>
                    <w:tr2bl w:val="nil"/>
                  </w:tcBorders>
                  <w:shd w:val="clear" w:color="auto" w:fill="auto"/>
                  <w:noWrap w:val="0"/>
                  <w:vAlign w:val="center"/>
                </w:tcPr>
                <w:p w14:paraId="46501F91">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SW14纺织皮革业废物</w:t>
                  </w:r>
                </w:p>
              </w:tc>
              <w:tc>
                <w:tcPr>
                  <w:tcW w:w="1603" w:type="dxa"/>
                  <w:tcBorders>
                    <w:tl2br w:val="nil"/>
                    <w:tr2bl w:val="nil"/>
                  </w:tcBorders>
                  <w:shd w:val="clear" w:color="auto" w:fill="auto"/>
                  <w:noWrap w:val="0"/>
                  <w:vAlign w:val="center"/>
                </w:tcPr>
                <w:p w14:paraId="2328E04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900-099-S14</w:t>
                  </w:r>
                </w:p>
              </w:tc>
              <w:tc>
                <w:tcPr>
                  <w:tcW w:w="3487" w:type="dxa"/>
                  <w:tcBorders>
                    <w:tl2br w:val="nil"/>
                    <w:tr2bl w:val="nil"/>
                  </w:tcBorders>
                  <w:shd w:val="clear" w:color="auto" w:fill="auto"/>
                  <w:noWrap w:val="0"/>
                  <w:vAlign w:val="center"/>
                </w:tcPr>
                <w:p w14:paraId="29E7883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纺织皮革品加工过程中产生的其他固体废物</w:t>
                  </w:r>
                </w:p>
              </w:tc>
            </w:tr>
            <w:tr w14:paraId="2BC85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7C48EE1B">
                  <w:pPr>
                    <w:pStyle w:val="43"/>
                    <w:bidi w:val="0"/>
                    <w:rPr>
                      <w:rFonts w:hint="eastAsia" w:cs="Times New Roman"/>
                      <w:color w:val="auto"/>
                      <w:lang w:val="en-US" w:eastAsia="zh-CN"/>
                    </w:rPr>
                  </w:pPr>
                  <w:r>
                    <w:rPr>
                      <w:rFonts w:hint="eastAsia" w:cs="Times New Roman"/>
                      <w:color w:val="auto"/>
                      <w:lang w:val="en-US" w:eastAsia="zh-CN"/>
                    </w:rPr>
                    <w:t>废纺</w:t>
                  </w:r>
                </w:p>
              </w:tc>
              <w:tc>
                <w:tcPr>
                  <w:tcW w:w="1361" w:type="dxa"/>
                  <w:vMerge w:val="restart"/>
                  <w:tcBorders>
                    <w:tl2br w:val="nil"/>
                    <w:tr2bl w:val="nil"/>
                  </w:tcBorders>
                  <w:shd w:val="clear" w:color="auto" w:fill="auto"/>
                  <w:noWrap w:val="0"/>
                  <w:vAlign w:val="center"/>
                </w:tcPr>
                <w:p w14:paraId="669FF33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SW17可再生废物</w:t>
                  </w:r>
                </w:p>
              </w:tc>
              <w:tc>
                <w:tcPr>
                  <w:tcW w:w="1603" w:type="dxa"/>
                  <w:tcBorders>
                    <w:tl2br w:val="nil"/>
                    <w:tr2bl w:val="nil"/>
                  </w:tcBorders>
                  <w:shd w:val="clear" w:color="auto" w:fill="auto"/>
                  <w:noWrap w:val="0"/>
                  <w:vAlign w:val="center"/>
                </w:tcPr>
                <w:p w14:paraId="58D3B3F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900-007-S17</w:t>
                  </w:r>
                </w:p>
              </w:tc>
              <w:tc>
                <w:tcPr>
                  <w:tcW w:w="3487" w:type="dxa"/>
                  <w:tcBorders>
                    <w:tl2br w:val="nil"/>
                    <w:tr2bl w:val="nil"/>
                  </w:tcBorders>
                  <w:shd w:val="clear" w:color="auto" w:fill="auto"/>
                  <w:noWrap w:val="0"/>
                  <w:vAlign w:val="center"/>
                </w:tcPr>
                <w:p w14:paraId="5C6EA8B8">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工业生产活动中产生的废纺织品边角料、残次品等废物</w:t>
                  </w:r>
                </w:p>
              </w:tc>
            </w:tr>
            <w:tr w14:paraId="69378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3C46ACFC">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废塑料</w:t>
                  </w:r>
                </w:p>
              </w:tc>
              <w:tc>
                <w:tcPr>
                  <w:tcW w:w="1361" w:type="dxa"/>
                  <w:vMerge w:val="continue"/>
                  <w:tcBorders>
                    <w:tl2br w:val="nil"/>
                    <w:tr2bl w:val="nil"/>
                  </w:tcBorders>
                  <w:shd w:val="clear" w:color="auto" w:fill="auto"/>
                  <w:noWrap w:val="0"/>
                  <w:vAlign w:val="center"/>
                </w:tcPr>
                <w:p w14:paraId="656E4085">
                  <w:pPr>
                    <w:pStyle w:val="43"/>
                    <w:bidi w:val="0"/>
                    <w:rPr>
                      <w:rFonts w:hint="default" w:ascii="Times New Roman" w:hAnsi="Times New Roman" w:eastAsia="宋体" w:cs="Times New Roman"/>
                      <w:color w:val="auto"/>
                      <w:lang w:val="en-US" w:eastAsia="zh-CN"/>
                    </w:rPr>
                  </w:pPr>
                </w:p>
              </w:tc>
              <w:tc>
                <w:tcPr>
                  <w:tcW w:w="1603" w:type="dxa"/>
                  <w:tcBorders>
                    <w:tl2br w:val="nil"/>
                    <w:tr2bl w:val="nil"/>
                  </w:tcBorders>
                  <w:shd w:val="clear" w:color="auto" w:fill="auto"/>
                  <w:noWrap w:val="0"/>
                  <w:vAlign w:val="center"/>
                </w:tcPr>
                <w:p w14:paraId="65EBEF4F">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900-003-S17</w:t>
                  </w:r>
                </w:p>
              </w:tc>
              <w:tc>
                <w:tcPr>
                  <w:tcW w:w="3487" w:type="dxa"/>
                  <w:tcBorders>
                    <w:tl2br w:val="nil"/>
                    <w:tr2bl w:val="nil"/>
                  </w:tcBorders>
                  <w:shd w:val="clear" w:color="auto" w:fill="auto"/>
                  <w:noWrap w:val="0"/>
                  <w:vAlign w:val="center"/>
                </w:tcPr>
                <w:p w14:paraId="19C927D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工业生产活动中产生的塑料废弃边角料、废弃塑料包装等废物</w:t>
                  </w:r>
                </w:p>
              </w:tc>
            </w:tr>
            <w:tr w14:paraId="63733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24AB92D9">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废橡胶</w:t>
                  </w:r>
                </w:p>
              </w:tc>
              <w:tc>
                <w:tcPr>
                  <w:tcW w:w="1361" w:type="dxa"/>
                  <w:vMerge w:val="continue"/>
                  <w:tcBorders>
                    <w:tl2br w:val="nil"/>
                    <w:tr2bl w:val="nil"/>
                  </w:tcBorders>
                  <w:shd w:val="clear" w:color="auto" w:fill="auto"/>
                  <w:noWrap w:val="0"/>
                  <w:vAlign w:val="center"/>
                </w:tcPr>
                <w:p w14:paraId="749231EE">
                  <w:pPr>
                    <w:pStyle w:val="43"/>
                    <w:bidi w:val="0"/>
                    <w:rPr>
                      <w:rFonts w:hint="default" w:ascii="Times New Roman" w:hAnsi="Times New Roman" w:eastAsia="宋体" w:cs="Times New Roman"/>
                      <w:color w:val="auto"/>
                      <w:lang w:val="en-US" w:eastAsia="zh-CN"/>
                    </w:rPr>
                  </w:pPr>
                </w:p>
              </w:tc>
              <w:tc>
                <w:tcPr>
                  <w:tcW w:w="1603" w:type="dxa"/>
                  <w:tcBorders>
                    <w:tl2br w:val="nil"/>
                    <w:tr2bl w:val="nil"/>
                  </w:tcBorders>
                  <w:shd w:val="clear" w:color="auto" w:fill="auto"/>
                  <w:noWrap w:val="0"/>
                  <w:vAlign w:val="center"/>
                </w:tcPr>
                <w:p w14:paraId="64C1F65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900-006-S17</w:t>
                  </w:r>
                </w:p>
              </w:tc>
              <w:tc>
                <w:tcPr>
                  <w:tcW w:w="3487" w:type="dxa"/>
                  <w:tcBorders>
                    <w:tl2br w:val="nil"/>
                    <w:tr2bl w:val="nil"/>
                  </w:tcBorders>
                  <w:shd w:val="clear" w:color="auto" w:fill="auto"/>
                  <w:noWrap w:val="0"/>
                  <w:vAlign w:val="center"/>
                </w:tcPr>
                <w:p w14:paraId="1C8CDB0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工业生产活动中产生的包括废轮胎在内的废橡胶制品以及机动车拆解过程中产生的废轮胎和其他废橡胶制品</w:t>
                  </w:r>
                </w:p>
              </w:tc>
            </w:tr>
            <w:tr w14:paraId="75CED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20" w:type="dxa"/>
                  <w:tcBorders>
                    <w:tl2br w:val="nil"/>
                    <w:tr2bl w:val="nil"/>
                  </w:tcBorders>
                  <w:shd w:val="clear" w:color="auto" w:fill="FFFFFF"/>
                  <w:noWrap w:val="0"/>
                  <w:vAlign w:val="center"/>
                </w:tcPr>
                <w:p w14:paraId="003C9306">
                  <w:pPr>
                    <w:pStyle w:val="43"/>
                    <w:bidi w:val="0"/>
                    <w:rPr>
                      <w:rFonts w:hint="eastAsia" w:cs="Times New Roman"/>
                      <w:color w:val="auto"/>
                      <w:lang w:val="en-US" w:eastAsia="zh-CN"/>
                    </w:rPr>
                  </w:pPr>
                  <w:r>
                    <w:rPr>
                      <w:rFonts w:hint="eastAsia" w:ascii="Times New Roman" w:hAnsi="Times New Roman" w:eastAsia="宋体" w:cs="Times New Roman"/>
                      <w:color w:val="auto"/>
                      <w:lang w:val="en-US" w:eastAsia="zh-CN"/>
                    </w:rPr>
                    <w:t>生物质燃料</w:t>
                  </w:r>
                </w:p>
              </w:tc>
              <w:tc>
                <w:tcPr>
                  <w:tcW w:w="1361" w:type="dxa"/>
                  <w:vMerge w:val="continue"/>
                  <w:tcBorders>
                    <w:tl2br w:val="nil"/>
                    <w:tr2bl w:val="nil"/>
                  </w:tcBorders>
                  <w:shd w:val="clear" w:color="auto" w:fill="auto"/>
                  <w:noWrap w:val="0"/>
                  <w:vAlign w:val="center"/>
                </w:tcPr>
                <w:p w14:paraId="7DAD5853">
                  <w:pPr>
                    <w:pStyle w:val="43"/>
                    <w:bidi w:val="0"/>
                    <w:rPr>
                      <w:rFonts w:hint="default" w:ascii="Times New Roman" w:hAnsi="Times New Roman" w:eastAsia="宋体" w:cs="Times New Roman"/>
                      <w:color w:val="auto"/>
                      <w:lang w:val="en-US" w:eastAsia="zh-CN"/>
                    </w:rPr>
                  </w:pPr>
                </w:p>
              </w:tc>
              <w:tc>
                <w:tcPr>
                  <w:tcW w:w="1603" w:type="dxa"/>
                  <w:tcBorders>
                    <w:tl2br w:val="nil"/>
                    <w:tr2bl w:val="nil"/>
                  </w:tcBorders>
                  <w:shd w:val="clear" w:color="auto" w:fill="auto"/>
                  <w:noWrap w:val="0"/>
                  <w:vAlign w:val="center"/>
                </w:tcPr>
                <w:p w14:paraId="3FF10B2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900-009-S17</w:t>
                  </w:r>
                </w:p>
              </w:tc>
              <w:tc>
                <w:tcPr>
                  <w:tcW w:w="3487" w:type="dxa"/>
                  <w:tcBorders>
                    <w:tl2br w:val="nil"/>
                    <w:tr2bl w:val="nil"/>
                  </w:tcBorders>
                  <w:shd w:val="clear" w:color="auto" w:fill="auto"/>
                  <w:noWrap w:val="0"/>
                  <w:vAlign w:val="center"/>
                </w:tcPr>
                <w:p w14:paraId="20CCF82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工业生产活动中产生的废木材类边角料、废包装、残次品等废物</w:t>
                  </w:r>
                </w:p>
              </w:tc>
            </w:tr>
            <w:tr w14:paraId="7BF60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6A46835F">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炭黑</w:t>
                  </w:r>
                </w:p>
              </w:tc>
              <w:tc>
                <w:tcPr>
                  <w:tcW w:w="1361" w:type="dxa"/>
                  <w:vMerge w:val="continue"/>
                  <w:tcBorders>
                    <w:tl2br w:val="nil"/>
                    <w:tr2bl w:val="nil"/>
                  </w:tcBorders>
                  <w:shd w:val="clear" w:color="auto" w:fill="auto"/>
                  <w:noWrap w:val="0"/>
                  <w:vAlign w:val="center"/>
                </w:tcPr>
                <w:p w14:paraId="45442AA1">
                  <w:pPr>
                    <w:pStyle w:val="43"/>
                    <w:bidi w:val="0"/>
                    <w:rPr>
                      <w:rFonts w:hint="default" w:ascii="Times New Roman" w:hAnsi="Times New Roman" w:eastAsia="宋体" w:cs="Times New Roman"/>
                      <w:color w:val="auto"/>
                      <w:lang w:val="en-US" w:eastAsia="zh-CN"/>
                    </w:rPr>
                  </w:pPr>
                </w:p>
              </w:tc>
              <w:tc>
                <w:tcPr>
                  <w:tcW w:w="1603" w:type="dxa"/>
                  <w:tcBorders>
                    <w:tl2br w:val="nil"/>
                    <w:tr2bl w:val="nil"/>
                  </w:tcBorders>
                  <w:shd w:val="clear" w:color="auto" w:fill="auto"/>
                  <w:noWrap w:val="0"/>
                  <w:vAlign w:val="center"/>
                </w:tcPr>
                <w:p w14:paraId="009610BA">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900-0</w:t>
                  </w:r>
                  <w:r>
                    <w:rPr>
                      <w:rFonts w:hint="eastAsia" w:ascii="Times New Roman" w:hAnsi="Times New Roman" w:eastAsia="宋体" w:cs="Times New Roman"/>
                      <w:color w:val="auto"/>
                      <w:lang w:val="en-US" w:eastAsia="zh-CN"/>
                    </w:rPr>
                    <w:t>99</w:t>
                  </w:r>
                  <w:r>
                    <w:rPr>
                      <w:rFonts w:hint="default" w:ascii="Times New Roman" w:hAnsi="Times New Roman" w:eastAsia="宋体" w:cs="Times New Roman"/>
                      <w:color w:val="auto"/>
                      <w:lang w:val="en-US" w:eastAsia="zh-CN"/>
                    </w:rPr>
                    <w:t>-S17</w:t>
                  </w:r>
                </w:p>
              </w:tc>
              <w:tc>
                <w:tcPr>
                  <w:tcW w:w="3487" w:type="dxa"/>
                  <w:tcBorders>
                    <w:tl2br w:val="nil"/>
                    <w:tr2bl w:val="nil"/>
                  </w:tcBorders>
                  <w:shd w:val="clear" w:color="auto" w:fill="auto"/>
                  <w:noWrap w:val="0"/>
                  <w:vAlign w:val="center"/>
                </w:tcPr>
                <w:p w14:paraId="3BF3B68A">
                  <w:pPr>
                    <w:pStyle w:val="43"/>
                    <w:bidi w:val="0"/>
                    <w:rPr>
                      <w:rFonts w:hint="default" w:ascii="Times New Roman" w:hAnsi="Times New Roman" w:eastAsia="宋体" w:cs="Times New Roman"/>
                      <w:color w:val="auto"/>
                      <w:lang w:val="en-US" w:eastAsia="zh-CN"/>
                    </w:rPr>
                  </w:pPr>
                  <w:r>
                    <w:rPr>
                      <w:rFonts w:hint="eastAsia" w:cs="Times New Roman"/>
                      <w:color w:val="auto"/>
                      <w:lang w:val="en-US" w:eastAsia="zh-CN"/>
                    </w:rPr>
                    <w:t>废旧轮胎裂解再生产生的炭黑</w:t>
                  </w:r>
                </w:p>
              </w:tc>
            </w:tr>
            <w:tr w14:paraId="2017C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0" w:type="dxa"/>
                  <w:tcBorders>
                    <w:tl2br w:val="nil"/>
                    <w:tr2bl w:val="nil"/>
                  </w:tcBorders>
                  <w:shd w:val="clear" w:color="auto" w:fill="FFFFFF"/>
                  <w:noWrap w:val="0"/>
                  <w:vAlign w:val="center"/>
                </w:tcPr>
                <w:p w14:paraId="20481027">
                  <w:pPr>
                    <w:pStyle w:val="43"/>
                    <w:bidi w:val="0"/>
                    <w:rPr>
                      <w:rFonts w:hint="default" w:cs="Times New Roman"/>
                      <w:color w:val="auto"/>
                      <w:lang w:val="en-US" w:eastAsia="zh-CN"/>
                    </w:rPr>
                  </w:pPr>
                  <w:r>
                    <w:rPr>
                      <w:rFonts w:hint="eastAsia" w:cs="Times New Roman"/>
                      <w:color w:val="auto"/>
                      <w:lang w:val="en-US" w:eastAsia="zh-CN"/>
                    </w:rPr>
                    <w:t>飞灰（煤灰）</w:t>
                  </w:r>
                </w:p>
              </w:tc>
              <w:tc>
                <w:tcPr>
                  <w:tcW w:w="1361" w:type="dxa"/>
                  <w:vMerge w:val="continue"/>
                  <w:tcBorders>
                    <w:tl2br w:val="nil"/>
                    <w:tr2bl w:val="nil"/>
                  </w:tcBorders>
                  <w:shd w:val="clear" w:color="auto" w:fill="auto"/>
                  <w:noWrap w:val="0"/>
                  <w:vAlign w:val="center"/>
                </w:tcPr>
                <w:p w14:paraId="61FD9867">
                  <w:pPr>
                    <w:pStyle w:val="43"/>
                    <w:bidi w:val="0"/>
                    <w:rPr>
                      <w:rFonts w:hint="default" w:ascii="Times New Roman" w:hAnsi="Times New Roman" w:eastAsia="宋体" w:cs="Times New Roman"/>
                      <w:color w:val="auto"/>
                      <w:lang w:val="en-US" w:eastAsia="zh-CN"/>
                    </w:rPr>
                  </w:pPr>
                </w:p>
              </w:tc>
              <w:tc>
                <w:tcPr>
                  <w:tcW w:w="1603" w:type="dxa"/>
                  <w:tcBorders>
                    <w:tl2br w:val="nil"/>
                    <w:tr2bl w:val="nil"/>
                  </w:tcBorders>
                  <w:shd w:val="clear" w:color="auto" w:fill="auto"/>
                  <w:noWrap w:val="0"/>
                  <w:vAlign w:val="center"/>
                </w:tcPr>
                <w:p w14:paraId="7488DAA4">
                  <w:pPr>
                    <w:pStyle w:val="43"/>
                    <w:bidi w:val="0"/>
                    <w:rPr>
                      <w:rFonts w:hint="eastAsia" w:cs="Times New Roman"/>
                      <w:color w:val="auto"/>
                      <w:lang w:val="en-US" w:eastAsia="zh-CN"/>
                    </w:rPr>
                  </w:pPr>
                  <w:r>
                    <w:rPr>
                      <w:rFonts w:hint="default" w:ascii="Times New Roman" w:hAnsi="Times New Roman" w:eastAsia="宋体" w:cs="Times New Roman"/>
                      <w:color w:val="auto"/>
                      <w:lang w:val="en-US" w:eastAsia="zh-CN"/>
                    </w:rPr>
                    <w:t>900-0</w:t>
                  </w:r>
                  <w:r>
                    <w:rPr>
                      <w:rFonts w:hint="eastAsia" w:ascii="Times New Roman" w:hAnsi="Times New Roman" w:eastAsia="宋体" w:cs="Times New Roman"/>
                      <w:color w:val="auto"/>
                      <w:lang w:val="en-US" w:eastAsia="zh-CN"/>
                    </w:rPr>
                    <w:t>99</w:t>
                  </w:r>
                  <w:r>
                    <w:rPr>
                      <w:rFonts w:hint="default" w:ascii="Times New Roman" w:hAnsi="Times New Roman" w:eastAsia="宋体" w:cs="Times New Roman"/>
                      <w:color w:val="auto"/>
                      <w:lang w:val="en-US" w:eastAsia="zh-CN"/>
                    </w:rPr>
                    <w:t>-S17</w:t>
                  </w:r>
                </w:p>
              </w:tc>
              <w:tc>
                <w:tcPr>
                  <w:tcW w:w="3487" w:type="dxa"/>
                  <w:tcBorders>
                    <w:tl2br w:val="nil"/>
                    <w:tr2bl w:val="nil"/>
                  </w:tcBorders>
                  <w:shd w:val="clear" w:color="auto" w:fill="auto"/>
                  <w:noWrap w:val="0"/>
                  <w:vAlign w:val="center"/>
                </w:tcPr>
                <w:p w14:paraId="17DC58D2">
                  <w:pPr>
                    <w:pStyle w:val="43"/>
                    <w:bidi w:val="0"/>
                    <w:rPr>
                      <w:rFonts w:hint="default" w:cs="Times New Roman"/>
                      <w:color w:val="auto"/>
                      <w:lang w:val="en-US" w:eastAsia="zh-CN"/>
                    </w:rPr>
                  </w:pPr>
                  <w:r>
                    <w:rPr>
                      <w:rFonts w:hint="eastAsia" w:cs="Times New Roman"/>
                      <w:color w:val="auto"/>
                      <w:lang w:val="en-US" w:eastAsia="zh-CN"/>
                    </w:rPr>
                    <w:t>焦化厂等煤炭加工企业除尘器收集的煤灰尘</w:t>
                  </w:r>
                </w:p>
              </w:tc>
            </w:tr>
          </w:tbl>
          <w:p w14:paraId="0FD3E859">
            <w:pPr>
              <w:pStyle w:val="4"/>
              <w:pageBreakBefore w:val="0"/>
              <w:widowControl w:val="0"/>
              <w:numPr>
                <w:ilvl w:val="0"/>
                <w:numId w:val="0"/>
              </w:numPr>
              <w:kinsoku/>
              <w:wordWrap/>
              <w:overflowPunct/>
              <w:topLinePunct w:val="0"/>
              <w:autoSpaceDE/>
              <w:autoSpaceDN/>
              <w:bidi w:val="0"/>
              <w:snapToGrid/>
              <w:ind w:leftChars="0" w:firstLine="482" w:firstLineChars="200"/>
              <w:textAlignment w:val="auto"/>
              <w:rPr>
                <w:rFonts w:hint="default" w:ascii="Times New Roman" w:hAnsi="Times New Roman" w:eastAsia="宋体" w:cs="Times New Roman"/>
                <w:b/>
                <w:bCs w:val="0"/>
                <w:color w:val="auto"/>
              </w:rPr>
            </w:pPr>
            <w:r>
              <w:rPr>
                <w:rFonts w:hint="eastAsia" w:ascii="Times New Roman" w:hAnsi="Times New Roman" w:eastAsia="宋体" w:cs="Times New Roman"/>
                <w:b/>
                <w:bCs w:val="0"/>
                <w:color w:val="auto"/>
                <w:lang w:val="en-US" w:eastAsia="zh-CN"/>
              </w:rPr>
              <w:t>六</w:t>
            </w:r>
            <w:r>
              <w:rPr>
                <w:rFonts w:hint="default" w:ascii="Times New Roman" w:hAnsi="Times New Roman" w:eastAsia="宋体" w:cs="Times New Roman"/>
                <w:b/>
                <w:bCs w:val="0"/>
                <w:color w:val="auto"/>
              </w:rPr>
              <w:t>、主要原辅材料</w:t>
            </w:r>
          </w:p>
          <w:p w14:paraId="1D832545">
            <w:pPr>
              <w:pageBreakBefore w:val="0"/>
              <w:widowControl w:val="0"/>
              <w:kinsoku/>
              <w:wordWrap/>
              <w:overflowPunct/>
              <w:topLinePunct w:val="0"/>
              <w:autoSpaceDE/>
              <w:autoSpaceDN/>
              <w:bidi w:val="0"/>
              <w:adjustRightInd w:val="0"/>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本项目建成后不会引起水泥熟料</w:t>
            </w:r>
            <w:r>
              <w:rPr>
                <w:rFonts w:hint="eastAsia" w:cs="Times New Roman"/>
                <w:color w:val="auto"/>
                <w:lang w:val="en-US" w:eastAsia="zh-CN"/>
              </w:rPr>
              <w:t>产能</w:t>
            </w:r>
            <w:r>
              <w:rPr>
                <w:rFonts w:hint="default" w:ascii="Times New Roman" w:hAnsi="Times New Roman" w:cs="Times New Roman"/>
                <w:color w:val="auto"/>
                <w:lang w:val="en-US" w:eastAsia="zh-CN"/>
              </w:rPr>
              <w:t>的变化，整个水泥窑系统物料消耗维持在原有水平。不增加熟料和水泥的产能，对水泥产品质量无影响。</w:t>
            </w:r>
          </w:p>
          <w:p w14:paraId="5F8BB706">
            <w:pPr>
              <w:pageBreakBefore w:val="0"/>
              <w:widowControl w:val="0"/>
              <w:kinsoku/>
              <w:wordWrap/>
              <w:overflowPunct/>
              <w:topLinePunct w:val="0"/>
              <w:autoSpaceDE/>
              <w:autoSpaceDN/>
              <w:bidi w:val="0"/>
              <w:adjustRightInd w:val="0"/>
              <w:snapToGrid/>
              <w:ind w:firstLine="480" w:firstLineChars="200"/>
              <w:textAlignment w:val="auto"/>
              <w:rPr>
                <w:rFonts w:hint="eastAsia" w:cs="Times New Roman"/>
                <w:color w:val="auto"/>
                <w:lang w:val="en-US" w:eastAsia="zh-CN"/>
              </w:rPr>
            </w:pPr>
            <w:r>
              <w:rPr>
                <w:rFonts w:hint="default" w:ascii="Times New Roman" w:hAnsi="Times New Roman" w:cs="Times New Roman"/>
                <w:color w:val="auto"/>
                <w:lang w:val="en-US" w:eastAsia="zh-CN"/>
              </w:rPr>
              <w:t>本项目实施前后</w:t>
            </w:r>
            <w:r>
              <w:rPr>
                <w:rFonts w:hint="eastAsia" w:cs="Times New Roman"/>
                <w:color w:val="auto"/>
                <w:lang w:val="en-US" w:eastAsia="zh-CN"/>
              </w:rPr>
              <w:t>水泥生产</w:t>
            </w:r>
            <w:r>
              <w:rPr>
                <w:rFonts w:hint="default" w:ascii="Times New Roman" w:hAnsi="Times New Roman" w:cs="Times New Roman"/>
                <w:color w:val="auto"/>
                <w:lang w:val="en-US" w:eastAsia="zh-CN"/>
              </w:rPr>
              <w:t>原辅材料变化情况见下表</w:t>
            </w:r>
            <w:r>
              <w:rPr>
                <w:rFonts w:hint="eastAsia" w:cs="Times New Roman"/>
                <w:color w:val="auto"/>
                <w:lang w:val="en-US" w:eastAsia="zh-CN"/>
              </w:rPr>
              <w:t>。</w:t>
            </w:r>
          </w:p>
          <w:p w14:paraId="0AFC125D">
            <w:pPr>
              <w:adjustRightInd w:val="0"/>
              <w:snapToGrid w:val="0"/>
              <w:spacing w:line="240" w:lineRule="auto"/>
              <w:ind w:firstLine="482" w:firstLineChars="200"/>
              <w:jc w:val="center"/>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表2-</w:t>
            </w:r>
            <w:r>
              <w:rPr>
                <w:rFonts w:hint="eastAsia" w:cs="Times New Roman"/>
                <w:b/>
                <w:bCs/>
                <w:color w:val="auto"/>
                <w:sz w:val="24"/>
                <w:szCs w:val="24"/>
                <w:lang w:val="en-US" w:eastAsia="zh-CN"/>
              </w:rPr>
              <w:t>7</w:t>
            </w:r>
            <w:r>
              <w:rPr>
                <w:rFonts w:hint="eastAsia" w:ascii="Times New Roman" w:hAnsi="Times New Roman" w:eastAsia="宋体" w:cs="Times New Roman"/>
                <w:b/>
                <w:bCs/>
                <w:color w:val="auto"/>
                <w:sz w:val="24"/>
                <w:szCs w:val="24"/>
                <w:lang w:val="en-US" w:eastAsia="zh-CN"/>
              </w:rPr>
              <w:t xml:space="preserve"> 本项目实施前后现有工程原辅材料变化表</w:t>
            </w:r>
          </w:p>
          <w:tbl>
            <w:tblPr>
              <w:tblStyle w:val="12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066"/>
              <w:gridCol w:w="1066"/>
              <w:gridCol w:w="1070"/>
              <w:gridCol w:w="1679"/>
              <w:gridCol w:w="1394"/>
              <w:gridCol w:w="1152"/>
            </w:tblGrid>
            <w:tr w14:paraId="22190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vMerge w:val="restart"/>
                  <w:tcBorders>
                    <w:tl2br w:val="nil"/>
                    <w:tr2bl w:val="nil"/>
                  </w:tcBorders>
                  <w:noWrap w:val="0"/>
                  <w:vAlign w:val="center"/>
                </w:tcPr>
                <w:p w14:paraId="76D79475">
                  <w:pPr>
                    <w:pStyle w:val="43"/>
                    <w:bidi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序号</w:t>
                  </w:r>
                </w:p>
              </w:tc>
              <w:tc>
                <w:tcPr>
                  <w:tcW w:w="3202" w:type="dxa"/>
                  <w:gridSpan w:val="3"/>
                  <w:tcBorders>
                    <w:tl2br w:val="nil"/>
                    <w:tr2bl w:val="nil"/>
                  </w:tcBorders>
                  <w:noWrap w:val="0"/>
                  <w:vAlign w:val="center"/>
                </w:tcPr>
                <w:p w14:paraId="493D127B">
                  <w:pPr>
                    <w:pStyle w:val="43"/>
                    <w:bidi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现有工程原辅材料使用情况</w:t>
                  </w:r>
                </w:p>
              </w:tc>
              <w:tc>
                <w:tcPr>
                  <w:tcW w:w="3073" w:type="dxa"/>
                  <w:gridSpan w:val="2"/>
                  <w:tcBorders>
                    <w:tl2br w:val="nil"/>
                    <w:tr2bl w:val="nil"/>
                  </w:tcBorders>
                  <w:noWrap w:val="0"/>
                  <w:vAlign w:val="center"/>
                </w:tcPr>
                <w:p w14:paraId="0A77DDD6">
                  <w:pPr>
                    <w:pStyle w:val="43"/>
                    <w:bidi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本项目实施后原辅材料使用情况</w:t>
                  </w:r>
                </w:p>
              </w:tc>
              <w:tc>
                <w:tcPr>
                  <w:tcW w:w="1152" w:type="dxa"/>
                  <w:vMerge w:val="restart"/>
                  <w:tcBorders>
                    <w:tl2br w:val="nil"/>
                    <w:tr2bl w:val="nil"/>
                  </w:tcBorders>
                  <w:noWrap w:val="0"/>
                  <w:vAlign w:val="center"/>
                </w:tcPr>
                <w:p w14:paraId="481ABDB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lang w:val="en-US" w:eastAsia="zh-CN"/>
                    </w:rPr>
                    <w:t>增减量（t/a）</w:t>
                  </w:r>
                </w:p>
              </w:tc>
            </w:tr>
            <w:tr w14:paraId="5782A9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742" w:type="dxa"/>
                  <w:vMerge w:val="continue"/>
                  <w:tcBorders>
                    <w:tl2br w:val="nil"/>
                    <w:tr2bl w:val="nil"/>
                  </w:tcBorders>
                  <w:noWrap w:val="0"/>
                  <w:vAlign w:val="center"/>
                </w:tcPr>
                <w:p w14:paraId="5F4FE714">
                  <w:pPr>
                    <w:pStyle w:val="43"/>
                    <w:bidi w:val="0"/>
                    <w:jc w:val="center"/>
                    <w:rPr>
                      <w:rFonts w:hint="eastAsia" w:ascii="Times New Roman" w:hAnsi="Times New Roman" w:eastAsia="宋体" w:cs="Times New Roman"/>
                      <w:b/>
                      <w:bCs/>
                      <w:color w:val="auto"/>
                      <w:lang w:val="en-US" w:eastAsia="zh-CN"/>
                    </w:rPr>
                  </w:pPr>
                </w:p>
              </w:tc>
              <w:tc>
                <w:tcPr>
                  <w:tcW w:w="1066" w:type="dxa"/>
                  <w:tcBorders>
                    <w:tl2br w:val="nil"/>
                    <w:tr2bl w:val="nil"/>
                  </w:tcBorders>
                  <w:noWrap w:val="0"/>
                  <w:vAlign w:val="center"/>
                </w:tcPr>
                <w:p w14:paraId="066BE8FE">
                  <w:pPr>
                    <w:pStyle w:val="43"/>
                    <w:bidi w:val="0"/>
                    <w:jc w:val="center"/>
                    <w:rPr>
                      <w:rFonts w:hint="default" w:ascii="Times New Roman" w:hAnsi="Times New Roman" w:eastAsia="宋体" w:cs="Times New Roman"/>
                      <w:b/>
                      <w:bCs/>
                      <w:color w:val="auto"/>
                      <w:lang w:val="en-US" w:eastAsia="zh-CN"/>
                    </w:rPr>
                  </w:pPr>
                  <w:r>
                    <w:rPr>
                      <w:rFonts w:hint="eastAsia" w:cs="Times New Roman"/>
                      <w:b/>
                      <w:bCs/>
                      <w:color w:val="auto"/>
                      <w:lang w:val="en-US" w:eastAsia="zh-CN"/>
                    </w:rPr>
                    <w:t>类别</w:t>
                  </w:r>
                </w:p>
              </w:tc>
              <w:tc>
                <w:tcPr>
                  <w:tcW w:w="1066" w:type="dxa"/>
                  <w:tcBorders>
                    <w:tl2br w:val="nil"/>
                    <w:tr2bl w:val="nil"/>
                  </w:tcBorders>
                  <w:shd w:val="clear" w:color="auto" w:fill="auto"/>
                  <w:noWrap w:val="0"/>
                  <w:vAlign w:val="center"/>
                </w:tcPr>
                <w:p w14:paraId="52CA6CD3">
                  <w:pPr>
                    <w:pStyle w:val="43"/>
                    <w:bidi w:val="0"/>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lang w:val="en-US" w:eastAsia="zh-CN"/>
                    </w:rPr>
                    <w:t>名称</w:t>
                  </w:r>
                </w:p>
              </w:tc>
              <w:tc>
                <w:tcPr>
                  <w:tcW w:w="1070" w:type="dxa"/>
                  <w:tcBorders>
                    <w:tl2br w:val="nil"/>
                    <w:tr2bl w:val="nil"/>
                  </w:tcBorders>
                  <w:shd w:val="clear" w:color="auto" w:fill="auto"/>
                  <w:noWrap w:val="0"/>
                  <w:vAlign w:val="center"/>
                </w:tcPr>
                <w:p w14:paraId="45974307">
                  <w:pPr>
                    <w:pStyle w:val="43"/>
                    <w:bidi w:val="0"/>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lang w:val="en-US" w:eastAsia="zh-CN"/>
                    </w:rPr>
                    <w:t>用量（t/a）</w:t>
                  </w:r>
                </w:p>
              </w:tc>
              <w:tc>
                <w:tcPr>
                  <w:tcW w:w="1679" w:type="dxa"/>
                  <w:tcBorders>
                    <w:tl2br w:val="nil"/>
                    <w:tr2bl w:val="nil"/>
                  </w:tcBorders>
                  <w:noWrap w:val="0"/>
                  <w:vAlign w:val="center"/>
                </w:tcPr>
                <w:p w14:paraId="4F85AFC0">
                  <w:pPr>
                    <w:pStyle w:val="43"/>
                    <w:bidi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名称</w:t>
                  </w:r>
                </w:p>
              </w:tc>
              <w:tc>
                <w:tcPr>
                  <w:tcW w:w="1394" w:type="dxa"/>
                  <w:tcBorders>
                    <w:tl2br w:val="nil"/>
                    <w:tr2bl w:val="nil"/>
                  </w:tcBorders>
                  <w:noWrap w:val="0"/>
                  <w:vAlign w:val="center"/>
                </w:tcPr>
                <w:p w14:paraId="34AF9429">
                  <w:pPr>
                    <w:pStyle w:val="43"/>
                    <w:bidi w:val="0"/>
                    <w:jc w:val="center"/>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用量（t/a）</w:t>
                  </w:r>
                </w:p>
              </w:tc>
              <w:tc>
                <w:tcPr>
                  <w:tcW w:w="1152" w:type="dxa"/>
                  <w:vMerge w:val="continue"/>
                  <w:tcBorders>
                    <w:tl2br w:val="nil"/>
                    <w:tr2bl w:val="nil"/>
                  </w:tcBorders>
                  <w:noWrap w:val="0"/>
                  <w:vAlign w:val="center"/>
                </w:tcPr>
                <w:p w14:paraId="1F7E938F">
                  <w:pPr>
                    <w:pStyle w:val="43"/>
                    <w:bidi w:val="0"/>
                    <w:jc w:val="center"/>
                    <w:rPr>
                      <w:rFonts w:hint="eastAsia" w:ascii="Times New Roman" w:hAnsi="Times New Roman" w:eastAsia="宋体" w:cs="Times New Roman"/>
                      <w:color w:val="auto"/>
                      <w:lang w:val="en-US" w:eastAsia="zh-CN"/>
                    </w:rPr>
                  </w:pPr>
                </w:p>
              </w:tc>
            </w:tr>
            <w:tr w14:paraId="2BEAA8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noWrap w:val="0"/>
                  <w:vAlign w:val="center"/>
                </w:tcPr>
                <w:p w14:paraId="4C6C2BE7">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066" w:type="dxa"/>
                  <w:vMerge w:val="restart"/>
                  <w:tcBorders>
                    <w:tl2br w:val="nil"/>
                    <w:tr2bl w:val="nil"/>
                  </w:tcBorders>
                  <w:noWrap w:val="0"/>
                  <w:vAlign w:val="center"/>
                </w:tcPr>
                <w:p w14:paraId="5E95F663">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生料原料</w:t>
                  </w:r>
                </w:p>
              </w:tc>
              <w:tc>
                <w:tcPr>
                  <w:tcW w:w="1066" w:type="dxa"/>
                  <w:tcBorders>
                    <w:tl2br w:val="nil"/>
                    <w:tr2bl w:val="nil"/>
                  </w:tcBorders>
                  <w:shd w:val="clear" w:color="auto" w:fill="auto"/>
                  <w:noWrap w:val="0"/>
                  <w:vAlign w:val="center"/>
                </w:tcPr>
                <w:p w14:paraId="0BB5211D">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石灰石</w:t>
                  </w:r>
                </w:p>
              </w:tc>
              <w:tc>
                <w:tcPr>
                  <w:tcW w:w="1070" w:type="dxa"/>
                  <w:tcBorders>
                    <w:tl2br w:val="nil"/>
                    <w:tr2bl w:val="nil"/>
                  </w:tcBorders>
                  <w:shd w:val="clear" w:color="auto" w:fill="auto"/>
                  <w:noWrap w:val="0"/>
                  <w:vAlign w:val="center"/>
                </w:tcPr>
                <w:p w14:paraId="7F15E971">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1880000</w:t>
                  </w:r>
                </w:p>
              </w:tc>
              <w:tc>
                <w:tcPr>
                  <w:tcW w:w="1679" w:type="dxa"/>
                  <w:tcBorders>
                    <w:tl2br w:val="nil"/>
                    <w:tr2bl w:val="nil"/>
                  </w:tcBorders>
                  <w:shd w:val="clear" w:color="auto" w:fill="FFFFFF" w:themeFill="background1"/>
                  <w:noWrap w:val="0"/>
                  <w:vAlign w:val="center"/>
                </w:tcPr>
                <w:p w14:paraId="10FDEA4F">
                  <w:pPr>
                    <w:pStyle w:val="43"/>
                    <w:bidi w:val="0"/>
                    <w:jc w:val="center"/>
                    <w:rPr>
                      <w:rFonts w:hint="eastAsia" w:cs="Times New Roman"/>
                      <w:color w:val="auto"/>
                      <w:kern w:val="2"/>
                      <w:sz w:val="21"/>
                      <w:szCs w:val="21"/>
                      <w:lang w:val="en-US" w:eastAsia="en-US" w:bidi="ar-SA"/>
                    </w:rPr>
                  </w:pPr>
                  <w:r>
                    <w:rPr>
                      <w:rFonts w:hint="eastAsia" w:cs="Times New Roman"/>
                      <w:color w:val="auto"/>
                      <w:kern w:val="2"/>
                      <w:sz w:val="21"/>
                      <w:szCs w:val="21"/>
                      <w:lang w:val="en-US" w:eastAsia="zh-CN" w:bidi="ar-SA"/>
                    </w:rPr>
                    <w:t>石灰石</w:t>
                  </w:r>
                </w:p>
              </w:tc>
              <w:tc>
                <w:tcPr>
                  <w:tcW w:w="1394" w:type="dxa"/>
                  <w:tcBorders>
                    <w:tl2br w:val="nil"/>
                    <w:tr2bl w:val="nil"/>
                  </w:tcBorders>
                  <w:shd w:val="clear" w:color="auto" w:fill="FFFFFF" w:themeFill="background1"/>
                  <w:noWrap w:val="0"/>
                  <w:vAlign w:val="center"/>
                </w:tcPr>
                <w:p w14:paraId="677EBA38">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1880000</w:t>
                  </w:r>
                </w:p>
              </w:tc>
              <w:tc>
                <w:tcPr>
                  <w:tcW w:w="1152" w:type="dxa"/>
                  <w:tcBorders>
                    <w:tl2br w:val="nil"/>
                    <w:tr2bl w:val="nil"/>
                  </w:tcBorders>
                  <w:shd w:val="clear" w:color="auto" w:fill="FFFFFF" w:themeFill="background1"/>
                  <w:noWrap w:val="0"/>
                  <w:vAlign w:val="center"/>
                </w:tcPr>
                <w:p w14:paraId="252174A0">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0</w:t>
                  </w:r>
                </w:p>
              </w:tc>
            </w:tr>
            <w:tr w14:paraId="623555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noWrap w:val="0"/>
                  <w:vAlign w:val="center"/>
                </w:tcPr>
                <w:p w14:paraId="32A842A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1066" w:type="dxa"/>
                  <w:vMerge w:val="continue"/>
                  <w:tcBorders>
                    <w:tl2br w:val="nil"/>
                    <w:tr2bl w:val="nil"/>
                  </w:tcBorders>
                  <w:noWrap w:val="0"/>
                  <w:vAlign w:val="center"/>
                </w:tcPr>
                <w:p w14:paraId="1AB093EC">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35DC1968">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砂岩</w:t>
                  </w:r>
                </w:p>
              </w:tc>
              <w:tc>
                <w:tcPr>
                  <w:tcW w:w="1070" w:type="dxa"/>
                  <w:tcBorders>
                    <w:tl2br w:val="nil"/>
                    <w:tr2bl w:val="nil"/>
                  </w:tcBorders>
                  <w:shd w:val="clear" w:color="auto" w:fill="auto"/>
                  <w:noWrap w:val="0"/>
                  <w:vAlign w:val="center"/>
                </w:tcPr>
                <w:p w14:paraId="281B4E8C">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145000</w:t>
                  </w:r>
                </w:p>
              </w:tc>
              <w:tc>
                <w:tcPr>
                  <w:tcW w:w="1679" w:type="dxa"/>
                  <w:tcBorders>
                    <w:tl2br w:val="nil"/>
                    <w:tr2bl w:val="nil"/>
                  </w:tcBorders>
                  <w:shd w:val="clear" w:color="auto" w:fill="FFFFFF" w:themeFill="background1"/>
                  <w:noWrap w:val="0"/>
                  <w:vAlign w:val="center"/>
                </w:tcPr>
                <w:p w14:paraId="224E5756">
                  <w:pPr>
                    <w:pStyle w:val="43"/>
                    <w:bidi w:val="0"/>
                    <w:jc w:val="center"/>
                    <w:rPr>
                      <w:rFonts w:hint="eastAsia" w:cs="Times New Roman"/>
                      <w:color w:val="auto"/>
                      <w:kern w:val="2"/>
                      <w:sz w:val="21"/>
                      <w:szCs w:val="21"/>
                      <w:lang w:val="en-US" w:eastAsia="en-US" w:bidi="ar-SA"/>
                    </w:rPr>
                  </w:pPr>
                  <w:r>
                    <w:rPr>
                      <w:rFonts w:hint="eastAsia" w:cs="Times New Roman"/>
                      <w:color w:val="auto"/>
                      <w:kern w:val="2"/>
                      <w:sz w:val="21"/>
                      <w:szCs w:val="21"/>
                      <w:lang w:val="en-US" w:eastAsia="zh-CN" w:bidi="ar-SA"/>
                    </w:rPr>
                    <w:t>砂岩</w:t>
                  </w:r>
                </w:p>
              </w:tc>
              <w:tc>
                <w:tcPr>
                  <w:tcW w:w="1394" w:type="dxa"/>
                  <w:tcBorders>
                    <w:tl2br w:val="nil"/>
                    <w:tr2bl w:val="nil"/>
                  </w:tcBorders>
                  <w:shd w:val="clear" w:color="auto" w:fill="FFFFFF" w:themeFill="background1"/>
                  <w:noWrap w:val="0"/>
                  <w:vAlign w:val="center"/>
                </w:tcPr>
                <w:p w14:paraId="23FAB759">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152" w:type="dxa"/>
                  <w:tcBorders>
                    <w:tl2br w:val="nil"/>
                    <w:tr2bl w:val="nil"/>
                  </w:tcBorders>
                  <w:shd w:val="clear" w:color="auto" w:fill="FFFFFF" w:themeFill="background1"/>
                  <w:noWrap w:val="0"/>
                  <w:vAlign w:val="center"/>
                </w:tcPr>
                <w:p w14:paraId="6D2F6A8D">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-145000</w:t>
                  </w:r>
                </w:p>
              </w:tc>
            </w:tr>
            <w:tr w14:paraId="6DFA0C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noWrap w:val="0"/>
                  <w:vAlign w:val="center"/>
                </w:tcPr>
                <w:p w14:paraId="3B89102C">
                  <w:pPr>
                    <w:pStyle w:val="43"/>
                    <w:bidi w:val="0"/>
                    <w:jc w:val="center"/>
                    <w:rPr>
                      <w:rFonts w:hint="eastAsia" w:ascii="Times New Roman" w:hAnsi="Times New Roman" w:eastAsia="宋体" w:cs="Times New Roman"/>
                      <w:color w:val="auto"/>
                      <w:lang w:val="en-US" w:eastAsia="en-US"/>
                    </w:rPr>
                  </w:pPr>
                  <w:r>
                    <w:rPr>
                      <w:rFonts w:hint="eastAsia" w:ascii="Times New Roman" w:hAnsi="Times New Roman" w:eastAsia="宋体" w:cs="Times New Roman"/>
                      <w:color w:val="auto"/>
                      <w:lang w:val="en-US" w:eastAsia="zh-CN"/>
                    </w:rPr>
                    <w:t>3</w:t>
                  </w:r>
                </w:p>
              </w:tc>
              <w:tc>
                <w:tcPr>
                  <w:tcW w:w="1066" w:type="dxa"/>
                  <w:vMerge w:val="continue"/>
                  <w:tcBorders>
                    <w:tl2br w:val="nil"/>
                    <w:tr2bl w:val="nil"/>
                  </w:tcBorders>
                  <w:noWrap w:val="0"/>
                  <w:vAlign w:val="center"/>
                </w:tcPr>
                <w:p w14:paraId="5AEDF179">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5E559A14">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粘土</w:t>
                  </w:r>
                </w:p>
              </w:tc>
              <w:tc>
                <w:tcPr>
                  <w:tcW w:w="1070" w:type="dxa"/>
                  <w:tcBorders>
                    <w:tl2br w:val="nil"/>
                    <w:tr2bl w:val="nil"/>
                  </w:tcBorders>
                  <w:shd w:val="clear" w:color="auto" w:fill="auto"/>
                  <w:noWrap w:val="0"/>
                  <w:vAlign w:val="center"/>
                </w:tcPr>
                <w:p w14:paraId="5451C730">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160000</w:t>
                  </w:r>
                </w:p>
              </w:tc>
              <w:tc>
                <w:tcPr>
                  <w:tcW w:w="1679" w:type="dxa"/>
                  <w:tcBorders>
                    <w:tl2br w:val="nil"/>
                    <w:tr2bl w:val="nil"/>
                  </w:tcBorders>
                  <w:shd w:val="clear" w:color="auto" w:fill="FFFFFF" w:themeFill="background1"/>
                  <w:noWrap w:val="0"/>
                  <w:vAlign w:val="center"/>
                </w:tcPr>
                <w:p w14:paraId="4D343616">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粘土</w:t>
                  </w:r>
                </w:p>
              </w:tc>
              <w:tc>
                <w:tcPr>
                  <w:tcW w:w="1394" w:type="dxa"/>
                  <w:tcBorders>
                    <w:tl2br w:val="nil"/>
                    <w:tr2bl w:val="nil"/>
                  </w:tcBorders>
                  <w:shd w:val="clear" w:color="auto" w:fill="FFFFFF" w:themeFill="background1"/>
                  <w:noWrap w:val="0"/>
                  <w:vAlign w:val="center"/>
                </w:tcPr>
                <w:p w14:paraId="52213460">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120000</w:t>
                  </w:r>
                </w:p>
              </w:tc>
              <w:tc>
                <w:tcPr>
                  <w:tcW w:w="1152" w:type="dxa"/>
                  <w:tcBorders>
                    <w:tl2br w:val="nil"/>
                    <w:tr2bl w:val="nil"/>
                  </w:tcBorders>
                  <w:shd w:val="clear" w:color="auto" w:fill="FFFFFF" w:themeFill="background1"/>
                  <w:noWrap w:val="0"/>
                  <w:vAlign w:val="center"/>
                </w:tcPr>
                <w:p w14:paraId="601F2FE6">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-40000</w:t>
                  </w:r>
                </w:p>
              </w:tc>
            </w:tr>
            <w:tr w14:paraId="2072A1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2A6ABFB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w:t>
                  </w:r>
                </w:p>
              </w:tc>
              <w:tc>
                <w:tcPr>
                  <w:tcW w:w="1066" w:type="dxa"/>
                  <w:vMerge w:val="continue"/>
                  <w:tcBorders>
                    <w:tl2br w:val="nil"/>
                    <w:tr2bl w:val="nil"/>
                  </w:tcBorders>
                  <w:shd w:val="clear" w:color="auto" w:fill="auto"/>
                  <w:noWrap w:val="0"/>
                  <w:vAlign w:val="center"/>
                </w:tcPr>
                <w:p w14:paraId="4AEFCC1B">
                  <w:pPr>
                    <w:pStyle w:val="43"/>
                    <w:bidi w:val="0"/>
                    <w:jc w:val="center"/>
                    <w:rPr>
                      <w:rFonts w:hint="eastAsia" w:ascii="Times New Roman" w:hAnsi="Times New Roman" w:eastAsia="宋体" w:cs="Times New Roman"/>
                      <w:color w:val="auto"/>
                      <w:kern w:val="2"/>
                      <w:sz w:val="21"/>
                      <w:szCs w:val="21"/>
                      <w:lang w:val="en-US" w:eastAsia="zh-CN" w:bidi="ar-SA"/>
                    </w:rPr>
                  </w:pPr>
                </w:p>
              </w:tc>
              <w:tc>
                <w:tcPr>
                  <w:tcW w:w="1066" w:type="dxa"/>
                  <w:tcBorders>
                    <w:tl2br w:val="nil"/>
                    <w:tr2bl w:val="nil"/>
                  </w:tcBorders>
                  <w:shd w:val="clear" w:color="auto" w:fill="auto"/>
                  <w:noWrap w:val="0"/>
                  <w:vAlign w:val="center"/>
                </w:tcPr>
                <w:p w14:paraId="181FBEB9">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铁矿石</w:t>
                  </w:r>
                </w:p>
              </w:tc>
              <w:tc>
                <w:tcPr>
                  <w:tcW w:w="1070" w:type="dxa"/>
                  <w:tcBorders>
                    <w:tl2br w:val="nil"/>
                    <w:tr2bl w:val="nil"/>
                  </w:tcBorders>
                  <w:shd w:val="clear" w:color="auto" w:fill="auto"/>
                  <w:noWrap w:val="0"/>
                  <w:vAlign w:val="center"/>
                </w:tcPr>
                <w:p w14:paraId="217B067D">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90000</w:t>
                  </w:r>
                </w:p>
              </w:tc>
              <w:tc>
                <w:tcPr>
                  <w:tcW w:w="1679" w:type="dxa"/>
                  <w:tcBorders>
                    <w:tl2br w:val="nil"/>
                    <w:tr2bl w:val="nil"/>
                  </w:tcBorders>
                  <w:shd w:val="clear" w:color="auto" w:fill="FFFFFF" w:themeFill="background1"/>
                  <w:noWrap w:val="0"/>
                  <w:vAlign w:val="center"/>
                </w:tcPr>
                <w:p w14:paraId="0D241E89">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铁矿石</w:t>
                  </w:r>
                </w:p>
              </w:tc>
              <w:tc>
                <w:tcPr>
                  <w:tcW w:w="1394" w:type="dxa"/>
                  <w:tcBorders>
                    <w:tl2br w:val="nil"/>
                    <w:tr2bl w:val="nil"/>
                  </w:tcBorders>
                  <w:shd w:val="clear" w:color="auto" w:fill="FFFFFF" w:themeFill="background1"/>
                  <w:noWrap w:val="0"/>
                  <w:vAlign w:val="center"/>
                </w:tcPr>
                <w:p w14:paraId="7723BE7D">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152" w:type="dxa"/>
                  <w:tcBorders>
                    <w:tl2br w:val="nil"/>
                    <w:tr2bl w:val="nil"/>
                  </w:tcBorders>
                  <w:shd w:val="clear" w:color="auto" w:fill="FFFFFF" w:themeFill="background1"/>
                  <w:noWrap w:val="0"/>
                  <w:vAlign w:val="center"/>
                </w:tcPr>
                <w:p w14:paraId="5F9BA403">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-90000</w:t>
                  </w:r>
                </w:p>
              </w:tc>
            </w:tr>
            <w:tr w14:paraId="66C91F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6C78D81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5</w:t>
                  </w:r>
                </w:p>
              </w:tc>
              <w:tc>
                <w:tcPr>
                  <w:tcW w:w="1066" w:type="dxa"/>
                  <w:vMerge w:val="continue"/>
                  <w:tcBorders>
                    <w:tl2br w:val="nil"/>
                    <w:tr2bl w:val="nil"/>
                  </w:tcBorders>
                  <w:noWrap w:val="0"/>
                  <w:vAlign w:val="center"/>
                </w:tcPr>
                <w:p w14:paraId="746EB070">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4420D836">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44F7E4F0">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43F565BA">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电石渣</w:t>
                  </w:r>
                </w:p>
              </w:tc>
              <w:tc>
                <w:tcPr>
                  <w:tcW w:w="1394" w:type="dxa"/>
                  <w:tcBorders>
                    <w:tl2br w:val="nil"/>
                    <w:tr2bl w:val="nil"/>
                  </w:tcBorders>
                  <w:shd w:val="clear" w:color="auto" w:fill="FFFFFF" w:themeFill="background1"/>
                  <w:noWrap w:val="0"/>
                  <w:vAlign w:val="center"/>
                </w:tcPr>
                <w:p w14:paraId="73945D98">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1152" w:type="dxa"/>
                  <w:tcBorders>
                    <w:tl2br w:val="nil"/>
                    <w:tr2bl w:val="nil"/>
                  </w:tcBorders>
                  <w:shd w:val="clear" w:color="auto" w:fill="FFFFFF" w:themeFill="background1"/>
                  <w:noWrap w:val="0"/>
                  <w:vAlign w:val="center"/>
                </w:tcPr>
                <w:p w14:paraId="320BF482">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r>
            <w:tr w14:paraId="6A3D0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4EBD34D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6</w:t>
                  </w:r>
                </w:p>
              </w:tc>
              <w:tc>
                <w:tcPr>
                  <w:tcW w:w="1066" w:type="dxa"/>
                  <w:vMerge w:val="continue"/>
                  <w:tcBorders>
                    <w:tl2br w:val="nil"/>
                    <w:tr2bl w:val="nil"/>
                  </w:tcBorders>
                  <w:noWrap w:val="0"/>
                  <w:vAlign w:val="center"/>
                </w:tcPr>
                <w:p w14:paraId="331E82D5">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304C1792">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58D18529">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7EF100AB">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造纸白泥</w:t>
                  </w:r>
                </w:p>
              </w:tc>
              <w:tc>
                <w:tcPr>
                  <w:tcW w:w="1394" w:type="dxa"/>
                  <w:tcBorders>
                    <w:tl2br w:val="nil"/>
                    <w:tr2bl w:val="nil"/>
                  </w:tcBorders>
                  <w:shd w:val="clear" w:color="auto" w:fill="FFFFFF" w:themeFill="background1"/>
                  <w:noWrap w:val="0"/>
                  <w:vAlign w:val="center"/>
                </w:tcPr>
                <w:p w14:paraId="386AF534">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800</w:t>
                  </w:r>
                </w:p>
              </w:tc>
              <w:tc>
                <w:tcPr>
                  <w:tcW w:w="1152" w:type="dxa"/>
                  <w:tcBorders>
                    <w:tl2br w:val="nil"/>
                    <w:tr2bl w:val="nil"/>
                  </w:tcBorders>
                  <w:shd w:val="clear" w:color="auto" w:fill="FFFFFF" w:themeFill="background1"/>
                  <w:noWrap w:val="0"/>
                  <w:vAlign w:val="center"/>
                </w:tcPr>
                <w:p w14:paraId="6C7542A6">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800</w:t>
                  </w:r>
                </w:p>
              </w:tc>
            </w:tr>
            <w:tr w14:paraId="7D78F8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69897DB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7</w:t>
                  </w:r>
                </w:p>
              </w:tc>
              <w:tc>
                <w:tcPr>
                  <w:tcW w:w="1066" w:type="dxa"/>
                  <w:vMerge w:val="continue"/>
                  <w:tcBorders>
                    <w:tl2br w:val="nil"/>
                    <w:tr2bl w:val="nil"/>
                  </w:tcBorders>
                  <w:noWrap w:val="0"/>
                  <w:vAlign w:val="center"/>
                </w:tcPr>
                <w:p w14:paraId="01E68631">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32AFBB33">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2DD53B0F">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5F9198ED">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氟化钙污泥</w:t>
                  </w:r>
                </w:p>
              </w:tc>
              <w:tc>
                <w:tcPr>
                  <w:tcW w:w="1394" w:type="dxa"/>
                  <w:tcBorders>
                    <w:tl2br w:val="nil"/>
                    <w:tr2bl w:val="nil"/>
                  </w:tcBorders>
                  <w:shd w:val="clear" w:color="auto" w:fill="FFFFFF" w:themeFill="background1"/>
                  <w:noWrap w:val="0"/>
                  <w:vAlign w:val="center"/>
                </w:tcPr>
                <w:p w14:paraId="5F6ABEEC">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10000</w:t>
                  </w:r>
                </w:p>
              </w:tc>
              <w:tc>
                <w:tcPr>
                  <w:tcW w:w="1152" w:type="dxa"/>
                  <w:tcBorders>
                    <w:tl2br w:val="nil"/>
                    <w:tr2bl w:val="nil"/>
                  </w:tcBorders>
                  <w:shd w:val="clear" w:color="auto" w:fill="FFFFFF" w:themeFill="background1"/>
                  <w:noWrap w:val="0"/>
                  <w:vAlign w:val="center"/>
                </w:tcPr>
                <w:p w14:paraId="0DC62FF3">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10000</w:t>
                  </w:r>
                </w:p>
              </w:tc>
            </w:tr>
            <w:tr w14:paraId="66256F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66D6E64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8</w:t>
                  </w:r>
                </w:p>
              </w:tc>
              <w:tc>
                <w:tcPr>
                  <w:tcW w:w="1066" w:type="dxa"/>
                  <w:vMerge w:val="continue"/>
                  <w:tcBorders>
                    <w:tl2br w:val="nil"/>
                    <w:tr2bl w:val="nil"/>
                  </w:tcBorders>
                  <w:noWrap w:val="0"/>
                  <w:vAlign w:val="center"/>
                </w:tcPr>
                <w:p w14:paraId="4534CCCE">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67D93403">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686ADA75">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17F50F23">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磷渣</w:t>
                  </w:r>
                </w:p>
              </w:tc>
              <w:tc>
                <w:tcPr>
                  <w:tcW w:w="1394" w:type="dxa"/>
                  <w:tcBorders>
                    <w:tl2br w:val="nil"/>
                    <w:tr2bl w:val="nil"/>
                  </w:tcBorders>
                  <w:shd w:val="clear" w:color="auto" w:fill="FFFFFF" w:themeFill="background1"/>
                  <w:noWrap w:val="0"/>
                  <w:vAlign w:val="center"/>
                </w:tcPr>
                <w:p w14:paraId="462AD5B4">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200</w:t>
                  </w:r>
                </w:p>
              </w:tc>
              <w:tc>
                <w:tcPr>
                  <w:tcW w:w="1152" w:type="dxa"/>
                  <w:tcBorders>
                    <w:tl2br w:val="nil"/>
                    <w:tr2bl w:val="nil"/>
                  </w:tcBorders>
                  <w:shd w:val="clear" w:color="auto" w:fill="FFFFFF" w:themeFill="background1"/>
                  <w:noWrap w:val="0"/>
                  <w:vAlign w:val="center"/>
                </w:tcPr>
                <w:p w14:paraId="2F60AAF1">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200</w:t>
                  </w:r>
                </w:p>
              </w:tc>
            </w:tr>
            <w:tr w14:paraId="280F79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05A0686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9</w:t>
                  </w:r>
                </w:p>
              </w:tc>
              <w:tc>
                <w:tcPr>
                  <w:tcW w:w="1066" w:type="dxa"/>
                  <w:vMerge w:val="continue"/>
                  <w:tcBorders>
                    <w:tl2br w:val="nil"/>
                    <w:tr2bl w:val="nil"/>
                  </w:tcBorders>
                  <w:noWrap w:val="0"/>
                  <w:vAlign w:val="center"/>
                </w:tcPr>
                <w:p w14:paraId="1A123693">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7FD9272C">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51503D52">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1544B8BD">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铁合金炉渣</w:t>
                  </w:r>
                </w:p>
              </w:tc>
              <w:tc>
                <w:tcPr>
                  <w:tcW w:w="1394" w:type="dxa"/>
                  <w:tcBorders>
                    <w:tl2br w:val="nil"/>
                    <w:tr2bl w:val="nil"/>
                  </w:tcBorders>
                  <w:shd w:val="clear" w:color="auto" w:fill="FFFFFF" w:themeFill="background1"/>
                  <w:noWrap w:val="0"/>
                  <w:vAlign w:val="center"/>
                </w:tcPr>
                <w:p w14:paraId="2ECF79FA">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1152" w:type="dxa"/>
                  <w:tcBorders>
                    <w:tl2br w:val="nil"/>
                    <w:tr2bl w:val="nil"/>
                  </w:tcBorders>
                  <w:shd w:val="clear" w:color="auto" w:fill="FFFFFF" w:themeFill="background1"/>
                  <w:noWrap w:val="0"/>
                  <w:vAlign w:val="center"/>
                </w:tcPr>
                <w:p w14:paraId="57D7CC8E">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r>
            <w:tr w14:paraId="77B2A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5173515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10</w:t>
                  </w:r>
                </w:p>
              </w:tc>
              <w:tc>
                <w:tcPr>
                  <w:tcW w:w="1066" w:type="dxa"/>
                  <w:vMerge w:val="continue"/>
                  <w:tcBorders>
                    <w:tl2br w:val="nil"/>
                    <w:tr2bl w:val="nil"/>
                  </w:tcBorders>
                  <w:noWrap w:val="0"/>
                  <w:vAlign w:val="center"/>
                </w:tcPr>
                <w:p w14:paraId="795CD20E">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7090E20A">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11AE25A4">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090659C1">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赤泥</w:t>
                  </w:r>
                </w:p>
              </w:tc>
              <w:tc>
                <w:tcPr>
                  <w:tcW w:w="1394" w:type="dxa"/>
                  <w:tcBorders>
                    <w:tl2br w:val="nil"/>
                    <w:tr2bl w:val="nil"/>
                  </w:tcBorders>
                  <w:shd w:val="clear" w:color="auto" w:fill="FFFFFF" w:themeFill="background1"/>
                  <w:noWrap w:val="0"/>
                  <w:vAlign w:val="center"/>
                </w:tcPr>
                <w:p w14:paraId="5CABD382">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2000</w:t>
                  </w:r>
                </w:p>
              </w:tc>
              <w:tc>
                <w:tcPr>
                  <w:tcW w:w="1152" w:type="dxa"/>
                  <w:tcBorders>
                    <w:tl2br w:val="nil"/>
                    <w:tr2bl w:val="nil"/>
                  </w:tcBorders>
                  <w:shd w:val="clear" w:color="auto" w:fill="FFFFFF" w:themeFill="background1"/>
                  <w:noWrap w:val="0"/>
                  <w:vAlign w:val="center"/>
                </w:tcPr>
                <w:p w14:paraId="43C6065B">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2000</w:t>
                  </w:r>
                </w:p>
              </w:tc>
            </w:tr>
            <w:tr w14:paraId="786ED3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38F9020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11</w:t>
                  </w:r>
                </w:p>
              </w:tc>
              <w:tc>
                <w:tcPr>
                  <w:tcW w:w="1066" w:type="dxa"/>
                  <w:vMerge w:val="continue"/>
                  <w:tcBorders>
                    <w:tl2br w:val="nil"/>
                    <w:tr2bl w:val="nil"/>
                  </w:tcBorders>
                  <w:noWrap w:val="0"/>
                  <w:vAlign w:val="center"/>
                </w:tcPr>
                <w:p w14:paraId="36F61586">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1C75EACA">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695D71DA">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79698250">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煤矸石</w:t>
                  </w:r>
                </w:p>
              </w:tc>
              <w:tc>
                <w:tcPr>
                  <w:tcW w:w="1394" w:type="dxa"/>
                  <w:tcBorders>
                    <w:tl2br w:val="nil"/>
                    <w:tr2bl w:val="nil"/>
                  </w:tcBorders>
                  <w:shd w:val="clear" w:color="auto" w:fill="FFFFFF" w:themeFill="background1"/>
                  <w:noWrap w:val="0"/>
                  <w:vAlign w:val="center"/>
                </w:tcPr>
                <w:p w14:paraId="39EFFE84">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4500</w:t>
                  </w:r>
                </w:p>
              </w:tc>
              <w:tc>
                <w:tcPr>
                  <w:tcW w:w="1152" w:type="dxa"/>
                  <w:tcBorders>
                    <w:tl2br w:val="nil"/>
                    <w:tr2bl w:val="nil"/>
                  </w:tcBorders>
                  <w:shd w:val="clear" w:color="auto" w:fill="FFFFFF" w:themeFill="background1"/>
                  <w:noWrap w:val="0"/>
                  <w:vAlign w:val="center"/>
                </w:tcPr>
                <w:p w14:paraId="47F0680D">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4500</w:t>
                  </w:r>
                </w:p>
              </w:tc>
            </w:tr>
            <w:tr w14:paraId="4A9745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658646B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12</w:t>
                  </w:r>
                </w:p>
              </w:tc>
              <w:tc>
                <w:tcPr>
                  <w:tcW w:w="1066" w:type="dxa"/>
                  <w:vMerge w:val="continue"/>
                  <w:tcBorders>
                    <w:tl2br w:val="nil"/>
                    <w:tr2bl w:val="nil"/>
                  </w:tcBorders>
                  <w:noWrap w:val="0"/>
                  <w:vAlign w:val="center"/>
                </w:tcPr>
                <w:p w14:paraId="3F09547E">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5A3E962C">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3D5CD319">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50F4267D">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炉渣</w:t>
                  </w:r>
                </w:p>
              </w:tc>
              <w:tc>
                <w:tcPr>
                  <w:tcW w:w="1394" w:type="dxa"/>
                  <w:tcBorders>
                    <w:tl2br w:val="nil"/>
                    <w:tr2bl w:val="nil"/>
                  </w:tcBorders>
                  <w:shd w:val="clear" w:color="auto" w:fill="FFFFFF" w:themeFill="background1"/>
                  <w:noWrap w:val="0"/>
                  <w:vAlign w:val="center"/>
                </w:tcPr>
                <w:p w14:paraId="085B666F">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25000</w:t>
                  </w:r>
                </w:p>
              </w:tc>
              <w:tc>
                <w:tcPr>
                  <w:tcW w:w="1152" w:type="dxa"/>
                  <w:tcBorders>
                    <w:tl2br w:val="nil"/>
                    <w:tr2bl w:val="nil"/>
                  </w:tcBorders>
                  <w:shd w:val="clear" w:color="auto" w:fill="FFFFFF" w:themeFill="background1"/>
                  <w:noWrap w:val="0"/>
                  <w:vAlign w:val="center"/>
                </w:tcPr>
                <w:p w14:paraId="77A12C63">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25000</w:t>
                  </w:r>
                </w:p>
              </w:tc>
            </w:tr>
            <w:tr w14:paraId="2CAB96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273A5B1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13</w:t>
                  </w:r>
                </w:p>
              </w:tc>
              <w:tc>
                <w:tcPr>
                  <w:tcW w:w="1066" w:type="dxa"/>
                  <w:vMerge w:val="continue"/>
                  <w:tcBorders>
                    <w:tl2br w:val="nil"/>
                    <w:tr2bl w:val="nil"/>
                  </w:tcBorders>
                  <w:noWrap w:val="0"/>
                  <w:vAlign w:val="center"/>
                </w:tcPr>
                <w:p w14:paraId="0F63A952">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4BCB3B51">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45C2D1D8">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6F9662CB">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萤石选矿尾渣</w:t>
                  </w:r>
                </w:p>
              </w:tc>
              <w:tc>
                <w:tcPr>
                  <w:tcW w:w="1394" w:type="dxa"/>
                  <w:tcBorders>
                    <w:tl2br w:val="nil"/>
                    <w:tr2bl w:val="nil"/>
                  </w:tcBorders>
                  <w:shd w:val="clear" w:color="auto" w:fill="FFFFFF" w:themeFill="background1"/>
                  <w:noWrap w:val="0"/>
                  <w:vAlign w:val="center"/>
                </w:tcPr>
                <w:p w14:paraId="31268158">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6000</w:t>
                  </w:r>
                </w:p>
              </w:tc>
              <w:tc>
                <w:tcPr>
                  <w:tcW w:w="1152" w:type="dxa"/>
                  <w:tcBorders>
                    <w:tl2br w:val="nil"/>
                    <w:tr2bl w:val="nil"/>
                  </w:tcBorders>
                  <w:shd w:val="clear" w:color="auto" w:fill="FFFFFF" w:themeFill="background1"/>
                  <w:noWrap w:val="0"/>
                  <w:vAlign w:val="center"/>
                </w:tcPr>
                <w:p w14:paraId="52EEABA5">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6000</w:t>
                  </w:r>
                </w:p>
              </w:tc>
            </w:tr>
            <w:tr w14:paraId="634E31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1E15BE9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14</w:t>
                  </w:r>
                </w:p>
              </w:tc>
              <w:tc>
                <w:tcPr>
                  <w:tcW w:w="1066" w:type="dxa"/>
                  <w:vMerge w:val="continue"/>
                  <w:tcBorders>
                    <w:tl2br w:val="nil"/>
                    <w:tr2bl w:val="nil"/>
                  </w:tcBorders>
                  <w:noWrap w:val="0"/>
                  <w:vAlign w:val="center"/>
                </w:tcPr>
                <w:p w14:paraId="62FCDD1A">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4A4CA6B7">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741BDB10">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00982634">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铁矿选矿粉末</w:t>
                  </w:r>
                </w:p>
              </w:tc>
              <w:tc>
                <w:tcPr>
                  <w:tcW w:w="1394" w:type="dxa"/>
                  <w:tcBorders>
                    <w:tl2br w:val="nil"/>
                    <w:tr2bl w:val="nil"/>
                  </w:tcBorders>
                  <w:shd w:val="clear" w:color="auto" w:fill="FFFFFF" w:themeFill="background1"/>
                  <w:noWrap w:val="0"/>
                  <w:vAlign w:val="center"/>
                </w:tcPr>
                <w:p w14:paraId="216FA414">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1152" w:type="dxa"/>
                  <w:tcBorders>
                    <w:tl2br w:val="nil"/>
                    <w:tr2bl w:val="nil"/>
                  </w:tcBorders>
                  <w:shd w:val="clear" w:color="auto" w:fill="FFFFFF" w:themeFill="background1"/>
                  <w:noWrap w:val="0"/>
                  <w:vAlign w:val="center"/>
                </w:tcPr>
                <w:p w14:paraId="19D17E8C">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r>
            <w:tr w14:paraId="5CC111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75C59A0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15</w:t>
                  </w:r>
                </w:p>
              </w:tc>
              <w:tc>
                <w:tcPr>
                  <w:tcW w:w="1066" w:type="dxa"/>
                  <w:vMerge w:val="continue"/>
                  <w:tcBorders>
                    <w:tl2br w:val="nil"/>
                    <w:tr2bl w:val="nil"/>
                  </w:tcBorders>
                  <w:noWrap w:val="0"/>
                  <w:vAlign w:val="center"/>
                </w:tcPr>
                <w:p w14:paraId="26D3F1E8">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5EF634EA">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0E6EBEE4">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3F34F554">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尾矿渣</w:t>
                  </w:r>
                </w:p>
              </w:tc>
              <w:tc>
                <w:tcPr>
                  <w:tcW w:w="1394" w:type="dxa"/>
                  <w:tcBorders>
                    <w:tl2br w:val="nil"/>
                    <w:tr2bl w:val="nil"/>
                  </w:tcBorders>
                  <w:shd w:val="clear" w:color="auto" w:fill="FFFFFF" w:themeFill="background1"/>
                  <w:noWrap w:val="0"/>
                  <w:vAlign w:val="center"/>
                </w:tcPr>
                <w:p w14:paraId="6DA8083A">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45000</w:t>
                  </w:r>
                </w:p>
              </w:tc>
              <w:tc>
                <w:tcPr>
                  <w:tcW w:w="1152" w:type="dxa"/>
                  <w:tcBorders>
                    <w:tl2br w:val="nil"/>
                    <w:tr2bl w:val="nil"/>
                  </w:tcBorders>
                  <w:shd w:val="clear" w:color="auto" w:fill="FFFFFF" w:themeFill="background1"/>
                  <w:noWrap w:val="0"/>
                  <w:vAlign w:val="center"/>
                </w:tcPr>
                <w:p w14:paraId="2D5574FB">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45000</w:t>
                  </w:r>
                </w:p>
              </w:tc>
            </w:tr>
            <w:tr w14:paraId="703E8F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42" w:type="dxa"/>
                  <w:tcBorders>
                    <w:tl2br w:val="nil"/>
                    <w:tr2bl w:val="nil"/>
                  </w:tcBorders>
                  <w:shd w:val="clear" w:color="auto" w:fill="auto"/>
                  <w:noWrap w:val="0"/>
                  <w:vAlign w:val="center"/>
                </w:tcPr>
                <w:p w14:paraId="1A21CFD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16</w:t>
                  </w:r>
                </w:p>
              </w:tc>
              <w:tc>
                <w:tcPr>
                  <w:tcW w:w="1066" w:type="dxa"/>
                  <w:vMerge w:val="continue"/>
                  <w:tcBorders>
                    <w:tl2br w:val="nil"/>
                    <w:tr2bl w:val="nil"/>
                  </w:tcBorders>
                  <w:noWrap w:val="0"/>
                  <w:vAlign w:val="center"/>
                </w:tcPr>
                <w:p w14:paraId="302B2B2E">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207D4D47">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auto"/>
                  <w:noWrap w:val="0"/>
                  <w:vAlign w:val="center"/>
                </w:tcPr>
                <w:p w14:paraId="7A703F60">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7BD5D872">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石英砂选矿污泥</w:t>
                  </w:r>
                </w:p>
              </w:tc>
              <w:tc>
                <w:tcPr>
                  <w:tcW w:w="1394" w:type="dxa"/>
                  <w:tcBorders>
                    <w:tl2br w:val="nil"/>
                    <w:tr2bl w:val="nil"/>
                  </w:tcBorders>
                  <w:shd w:val="clear" w:color="auto" w:fill="FFFFFF" w:themeFill="background1"/>
                  <w:noWrap w:val="0"/>
                  <w:vAlign w:val="center"/>
                </w:tcPr>
                <w:p w14:paraId="5BE43245">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180000</w:t>
                  </w:r>
                </w:p>
              </w:tc>
              <w:tc>
                <w:tcPr>
                  <w:tcW w:w="1152" w:type="dxa"/>
                  <w:tcBorders>
                    <w:tl2br w:val="nil"/>
                    <w:tr2bl w:val="nil"/>
                  </w:tcBorders>
                  <w:shd w:val="clear" w:color="auto" w:fill="FFFFFF" w:themeFill="background1"/>
                  <w:noWrap w:val="0"/>
                  <w:vAlign w:val="center"/>
                </w:tcPr>
                <w:p w14:paraId="76F0A204">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180000</w:t>
                  </w:r>
                </w:p>
              </w:tc>
            </w:tr>
            <w:tr w14:paraId="57525B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30D52A6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17</w:t>
                  </w:r>
                </w:p>
              </w:tc>
              <w:tc>
                <w:tcPr>
                  <w:tcW w:w="1066" w:type="dxa"/>
                  <w:vMerge w:val="restart"/>
                  <w:tcBorders>
                    <w:tl2br w:val="nil"/>
                    <w:tr2bl w:val="nil"/>
                  </w:tcBorders>
                  <w:noWrap w:val="0"/>
                  <w:vAlign w:val="center"/>
                </w:tcPr>
                <w:p w14:paraId="10AA660E">
                  <w:pPr>
                    <w:pStyle w:val="43"/>
                    <w:bidi w:val="0"/>
                    <w:jc w:val="center"/>
                    <w:rPr>
                      <w:rFonts w:hint="eastAsia" w:ascii="Times New Roman" w:hAnsi="Times New Roman" w:eastAsia="宋体" w:cs="Times New Roman"/>
                      <w:color w:val="auto"/>
                      <w:lang w:val="en-US" w:eastAsia="zh-CN"/>
                    </w:rPr>
                  </w:pPr>
                  <w:r>
                    <w:rPr>
                      <w:rFonts w:hint="eastAsia" w:cs="Times New Roman"/>
                      <w:color w:val="auto"/>
                      <w:lang w:val="en-US" w:eastAsia="zh-CN"/>
                    </w:rPr>
                    <w:t>混合材</w:t>
                  </w:r>
                </w:p>
              </w:tc>
              <w:tc>
                <w:tcPr>
                  <w:tcW w:w="1066" w:type="dxa"/>
                  <w:tcBorders>
                    <w:tl2br w:val="nil"/>
                    <w:tr2bl w:val="nil"/>
                  </w:tcBorders>
                  <w:shd w:val="clear" w:color="auto" w:fill="auto"/>
                  <w:noWrap w:val="0"/>
                  <w:vAlign w:val="center"/>
                </w:tcPr>
                <w:p w14:paraId="42F96BD9">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石灰石</w:t>
                  </w:r>
                </w:p>
              </w:tc>
              <w:tc>
                <w:tcPr>
                  <w:tcW w:w="1070" w:type="dxa"/>
                  <w:tcBorders>
                    <w:tl2br w:val="nil"/>
                    <w:tr2bl w:val="nil"/>
                  </w:tcBorders>
                  <w:shd w:val="clear" w:color="auto" w:fill="auto"/>
                  <w:noWrap w:val="0"/>
                  <w:vAlign w:val="center"/>
                </w:tcPr>
                <w:p w14:paraId="4B248706">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45000</w:t>
                  </w:r>
                </w:p>
              </w:tc>
              <w:tc>
                <w:tcPr>
                  <w:tcW w:w="1679" w:type="dxa"/>
                  <w:tcBorders>
                    <w:tl2br w:val="nil"/>
                    <w:tr2bl w:val="nil"/>
                  </w:tcBorders>
                  <w:shd w:val="clear" w:color="auto" w:fill="FFFFFF" w:themeFill="background1"/>
                  <w:noWrap w:val="0"/>
                  <w:vAlign w:val="center"/>
                </w:tcPr>
                <w:p w14:paraId="7060CBFE">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石灰石</w:t>
                  </w:r>
                </w:p>
              </w:tc>
              <w:tc>
                <w:tcPr>
                  <w:tcW w:w="1394" w:type="dxa"/>
                  <w:tcBorders>
                    <w:tl2br w:val="nil"/>
                    <w:tr2bl w:val="nil"/>
                  </w:tcBorders>
                  <w:shd w:val="clear" w:color="auto" w:fill="FFFFFF" w:themeFill="background1"/>
                  <w:noWrap w:val="0"/>
                  <w:vAlign w:val="center"/>
                </w:tcPr>
                <w:p w14:paraId="163E2C6A">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45000</w:t>
                  </w:r>
                </w:p>
              </w:tc>
              <w:tc>
                <w:tcPr>
                  <w:tcW w:w="1152" w:type="dxa"/>
                  <w:tcBorders>
                    <w:tl2br w:val="nil"/>
                    <w:tr2bl w:val="nil"/>
                  </w:tcBorders>
                  <w:shd w:val="clear" w:color="auto" w:fill="auto"/>
                  <w:noWrap w:val="0"/>
                  <w:vAlign w:val="center"/>
                </w:tcPr>
                <w:p w14:paraId="14911437">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r>
            <w:tr w14:paraId="1F78DB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791F65B0">
                  <w:pPr>
                    <w:pStyle w:val="43"/>
                    <w:bidi w:val="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lang w:val="en-US" w:eastAsia="zh-CN"/>
                    </w:rPr>
                    <w:t>18</w:t>
                  </w:r>
                </w:p>
              </w:tc>
              <w:tc>
                <w:tcPr>
                  <w:tcW w:w="1066" w:type="dxa"/>
                  <w:vMerge w:val="continue"/>
                  <w:tcBorders>
                    <w:tl2br w:val="nil"/>
                    <w:tr2bl w:val="nil"/>
                  </w:tcBorders>
                  <w:noWrap w:val="0"/>
                  <w:vAlign w:val="center"/>
                </w:tcPr>
                <w:p w14:paraId="048FA11C">
                  <w:pPr>
                    <w:pStyle w:val="43"/>
                    <w:bidi w:val="0"/>
                    <w:jc w:val="center"/>
                    <w:rPr>
                      <w:rFonts w:hint="eastAsia" w:ascii="Times New Roman" w:hAnsi="Times New Roman" w:eastAsia="宋体" w:cs="Times New Roman"/>
                      <w:color w:val="auto"/>
                      <w:lang w:val="en-US" w:eastAsia="zh-CN"/>
                    </w:rPr>
                  </w:pPr>
                </w:p>
              </w:tc>
              <w:tc>
                <w:tcPr>
                  <w:tcW w:w="1066" w:type="dxa"/>
                  <w:tcBorders>
                    <w:tl2br w:val="nil"/>
                    <w:tr2bl w:val="nil"/>
                  </w:tcBorders>
                  <w:shd w:val="clear" w:color="auto" w:fill="auto"/>
                  <w:noWrap w:val="0"/>
                  <w:vAlign w:val="center"/>
                </w:tcPr>
                <w:p w14:paraId="05C00202">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粉煤灰</w:t>
                  </w:r>
                </w:p>
              </w:tc>
              <w:tc>
                <w:tcPr>
                  <w:tcW w:w="1070" w:type="dxa"/>
                  <w:tcBorders>
                    <w:tl2br w:val="nil"/>
                    <w:tr2bl w:val="nil"/>
                  </w:tcBorders>
                  <w:shd w:val="clear" w:color="auto" w:fill="auto"/>
                  <w:noWrap w:val="0"/>
                  <w:vAlign w:val="center"/>
                </w:tcPr>
                <w:p w14:paraId="183C63CB">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52</w:t>
                  </w:r>
                  <w:r>
                    <w:rPr>
                      <w:rFonts w:hint="default" w:cs="Times New Roman"/>
                      <w:color w:val="auto"/>
                      <w:kern w:val="2"/>
                      <w:sz w:val="21"/>
                      <w:szCs w:val="21"/>
                      <w:lang w:val="en-US" w:eastAsia="zh-CN" w:bidi="ar-SA"/>
                    </w:rPr>
                    <w:t>0000</w:t>
                  </w:r>
                </w:p>
              </w:tc>
              <w:tc>
                <w:tcPr>
                  <w:tcW w:w="1679" w:type="dxa"/>
                  <w:tcBorders>
                    <w:tl2br w:val="nil"/>
                    <w:tr2bl w:val="nil"/>
                  </w:tcBorders>
                  <w:shd w:val="clear" w:color="auto" w:fill="FFFFFF" w:themeFill="background1"/>
                  <w:noWrap w:val="0"/>
                  <w:vAlign w:val="center"/>
                </w:tcPr>
                <w:p w14:paraId="330EAA82">
                  <w:pPr>
                    <w:pStyle w:val="43"/>
                    <w:bidi w:val="0"/>
                    <w:jc w:val="center"/>
                    <w:rPr>
                      <w:rFonts w:hint="eastAsia" w:cs="Times New Roman"/>
                      <w:color w:val="auto"/>
                      <w:kern w:val="2"/>
                      <w:sz w:val="21"/>
                      <w:szCs w:val="21"/>
                      <w:lang w:val="en-US" w:eastAsia="en-US" w:bidi="ar-SA"/>
                    </w:rPr>
                  </w:pPr>
                  <w:r>
                    <w:rPr>
                      <w:rFonts w:hint="eastAsia" w:cs="Times New Roman"/>
                      <w:color w:val="auto"/>
                      <w:kern w:val="2"/>
                      <w:sz w:val="21"/>
                      <w:szCs w:val="21"/>
                      <w:lang w:val="en-US" w:eastAsia="zh-CN" w:bidi="ar-SA"/>
                    </w:rPr>
                    <w:t>粉煤灰</w:t>
                  </w:r>
                </w:p>
              </w:tc>
              <w:tc>
                <w:tcPr>
                  <w:tcW w:w="1394" w:type="dxa"/>
                  <w:tcBorders>
                    <w:tl2br w:val="nil"/>
                    <w:tr2bl w:val="nil"/>
                  </w:tcBorders>
                  <w:shd w:val="clear" w:color="auto" w:fill="FFFFFF" w:themeFill="background1"/>
                  <w:noWrap w:val="0"/>
                  <w:vAlign w:val="center"/>
                </w:tcPr>
                <w:p w14:paraId="6DC8BA82">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380000</w:t>
                  </w:r>
                </w:p>
              </w:tc>
              <w:tc>
                <w:tcPr>
                  <w:tcW w:w="1152" w:type="dxa"/>
                  <w:tcBorders>
                    <w:tl2br w:val="nil"/>
                    <w:tr2bl w:val="nil"/>
                  </w:tcBorders>
                  <w:shd w:val="clear" w:color="auto" w:fill="auto"/>
                  <w:noWrap w:val="0"/>
                  <w:vAlign w:val="center"/>
                </w:tcPr>
                <w:p w14:paraId="05B71308">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-140000</w:t>
                  </w:r>
                </w:p>
              </w:tc>
            </w:tr>
            <w:tr w14:paraId="3CCD59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64518EBF">
                  <w:pPr>
                    <w:pStyle w:val="43"/>
                    <w:bidi w:val="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lang w:val="en-US" w:eastAsia="zh-CN"/>
                    </w:rPr>
                    <w:t>19</w:t>
                  </w:r>
                </w:p>
              </w:tc>
              <w:tc>
                <w:tcPr>
                  <w:tcW w:w="1066" w:type="dxa"/>
                  <w:vMerge w:val="continue"/>
                  <w:tcBorders>
                    <w:tl2br w:val="nil"/>
                    <w:tr2bl w:val="nil"/>
                  </w:tcBorders>
                  <w:noWrap w:val="0"/>
                  <w:vAlign w:val="center"/>
                </w:tcPr>
                <w:p w14:paraId="43608A75">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45646078">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石膏</w:t>
                  </w:r>
                </w:p>
              </w:tc>
              <w:tc>
                <w:tcPr>
                  <w:tcW w:w="1070" w:type="dxa"/>
                  <w:tcBorders>
                    <w:tl2br w:val="nil"/>
                    <w:tr2bl w:val="nil"/>
                  </w:tcBorders>
                  <w:shd w:val="clear" w:color="auto" w:fill="auto"/>
                  <w:noWrap w:val="0"/>
                  <w:vAlign w:val="center"/>
                </w:tcPr>
                <w:p w14:paraId="11639888">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100000</w:t>
                  </w:r>
                </w:p>
              </w:tc>
              <w:tc>
                <w:tcPr>
                  <w:tcW w:w="1679" w:type="dxa"/>
                  <w:tcBorders>
                    <w:tl2br w:val="nil"/>
                    <w:tr2bl w:val="nil"/>
                  </w:tcBorders>
                  <w:shd w:val="clear" w:color="auto" w:fill="FFFFFF" w:themeFill="background1"/>
                  <w:noWrap w:val="0"/>
                  <w:vAlign w:val="center"/>
                </w:tcPr>
                <w:p w14:paraId="0A81802B">
                  <w:pPr>
                    <w:pStyle w:val="43"/>
                    <w:bidi w:val="0"/>
                    <w:jc w:val="center"/>
                    <w:rPr>
                      <w:rFonts w:hint="eastAsia" w:cs="Times New Roman"/>
                      <w:color w:val="auto"/>
                      <w:kern w:val="2"/>
                      <w:sz w:val="21"/>
                      <w:szCs w:val="21"/>
                      <w:lang w:val="en-US" w:eastAsia="en-US" w:bidi="ar-SA"/>
                    </w:rPr>
                  </w:pPr>
                  <w:r>
                    <w:rPr>
                      <w:rFonts w:hint="eastAsia" w:cs="Times New Roman"/>
                      <w:color w:val="auto"/>
                      <w:kern w:val="2"/>
                      <w:sz w:val="21"/>
                      <w:szCs w:val="21"/>
                      <w:lang w:val="en-US" w:eastAsia="zh-CN" w:bidi="ar-SA"/>
                    </w:rPr>
                    <w:t>石膏</w:t>
                  </w:r>
                </w:p>
              </w:tc>
              <w:tc>
                <w:tcPr>
                  <w:tcW w:w="1394" w:type="dxa"/>
                  <w:tcBorders>
                    <w:tl2br w:val="nil"/>
                    <w:tr2bl w:val="nil"/>
                  </w:tcBorders>
                  <w:shd w:val="clear" w:color="auto" w:fill="FFFFFF" w:themeFill="background1"/>
                  <w:noWrap w:val="0"/>
                  <w:vAlign w:val="center"/>
                </w:tcPr>
                <w:p w14:paraId="67401C98">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0</w:t>
                  </w:r>
                </w:p>
              </w:tc>
              <w:tc>
                <w:tcPr>
                  <w:tcW w:w="1152" w:type="dxa"/>
                  <w:tcBorders>
                    <w:tl2br w:val="nil"/>
                    <w:tr2bl w:val="nil"/>
                  </w:tcBorders>
                  <w:shd w:val="clear" w:color="auto" w:fill="auto"/>
                  <w:noWrap w:val="0"/>
                  <w:vAlign w:val="center"/>
                </w:tcPr>
                <w:p w14:paraId="2CA13DAC">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-100000</w:t>
                  </w:r>
                </w:p>
              </w:tc>
            </w:tr>
            <w:tr w14:paraId="4F8E3C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3616B8C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20</w:t>
                  </w:r>
                </w:p>
              </w:tc>
              <w:tc>
                <w:tcPr>
                  <w:tcW w:w="1066" w:type="dxa"/>
                  <w:vMerge w:val="continue"/>
                  <w:tcBorders>
                    <w:tl2br w:val="nil"/>
                    <w:tr2bl w:val="nil"/>
                  </w:tcBorders>
                  <w:noWrap w:val="0"/>
                  <w:vAlign w:val="center"/>
                </w:tcPr>
                <w:p w14:paraId="49C2BEBF">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01FEE9B5">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0AE948EB">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4F0969E7">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脱硫石膏</w:t>
                  </w:r>
                </w:p>
              </w:tc>
              <w:tc>
                <w:tcPr>
                  <w:tcW w:w="1394" w:type="dxa"/>
                  <w:tcBorders>
                    <w:tl2br w:val="nil"/>
                    <w:tr2bl w:val="nil"/>
                  </w:tcBorders>
                  <w:shd w:val="clear" w:color="auto" w:fill="FFFFFF" w:themeFill="background1"/>
                  <w:noWrap w:val="0"/>
                  <w:vAlign w:val="center"/>
                </w:tcPr>
                <w:p w14:paraId="310BD359">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90000</w:t>
                  </w:r>
                </w:p>
              </w:tc>
              <w:tc>
                <w:tcPr>
                  <w:tcW w:w="1152" w:type="dxa"/>
                  <w:tcBorders>
                    <w:tl2br w:val="nil"/>
                    <w:tr2bl w:val="nil"/>
                  </w:tcBorders>
                  <w:shd w:val="clear" w:color="auto" w:fill="auto"/>
                  <w:noWrap w:val="0"/>
                  <w:vAlign w:val="center"/>
                </w:tcPr>
                <w:p w14:paraId="21F6AA6D">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90000</w:t>
                  </w:r>
                </w:p>
              </w:tc>
            </w:tr>
            <w:tr w14:paraId="39567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459A02C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21</w:t>
                  </w:r>
                </w:p>
              </w:tc>
              <w:tc>
                <w:tcPr>
                  <w:tcW w:w="1066" w:type="dxa"/>
                  <w:vMerge w:val="continue"/>
                  <w:tcBorders>
                    <w:tl2br w:val="nil"/>
                    <w:tr2bl w:val="nil"/>
                  </w:tcBorders>
                  <w:noWrap w:val="0"/>
                  <w:vAlign w:val="center"/>
                </w:tcPr>
                <w:p w14:paraId="63B70C51">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573EB005">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314C3281">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7E119E88">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磷石膏</w:t>
                  </w:r>
                </w:p>
              </w:tc>
              <w:tc>
                <w:tcPr>
                  <w:tcW w:w="1394" w:type="dxa"/>
                  <w:tcBorders>
                    <w:tl2br w:val="nil"/>
                    <w:tr2bl w:val="nil"/>
                  </w:tcBorders>
                  <w:shd w:val="clear" w:color="auto" w:fill="FFFFFF" w:themeFill="background1"/>
                  <w:noWrap w:val="0"/>
                  <w:vAlign w:val="center"/>
                </w:tcPr>
                <w:p w14:paraId="11C54E2D">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17000</w:t>
                  </w:r>
                </w:p>
              </w:tc>
              <w:tc>
                <w:tcPr>
                  <w:tcW w:w="1152" w:type="dxa"/>
                  <w:tcBorders>
                    <w:tl2br w:val="nil"/>
                    <w:tr2bl w:val="nil"/>
                  </w:tcBorders>
                  <w:shd w:val="clear" w:color="auto" w:fill="auto"/>
                  <w:noWrap w:val="0"/>
                  <w:vAlign w:val="center"/>
                </w:tcPr>
                <w:p w14:paraId="0108BE19">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17000</w:t>
                  </w:r>
                </w:p>
              </w:tc>
            </w:tr>
            <w:tr w14:paraId="07862C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745C4D5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22</w:t>
                  </w:r>
                </w:p>
              </w:tc>
              <w:tc>
                <w:tcPr>
                  <w:tcW w:w="1066" w:type="dxa"/>
                  <w:vMerge w:val="continue"/>
                  <w:tcBorders>
                    <w:tl2br w:val="nil"/>
                    <w:tr2bl w:val="nil"/>
                  </w:tcBorders>
                  <w:noWrap w:val="0"/>
                  <w:vAlign w:val="center"/>
                </w:tcPr>
                <w:p w14:paraId="3341F500">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736D5053">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387298DE">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7CBF76E9">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钛石膏</w:t>
                  </w:r>
                </w:p>
              </w:tc>
              <w:tc>
                <w:tcPr>
                  <w:tcW w:w="1394" w:type="dxa"/>
                  <w:tcBorders>
                    <w:tl2br w:val="nil"/>
                    <w:tr2bl w:val="nil"/>
                  </w:tcBorders>
                  <w:shd w:val="clear" w:color="auto" w:fill="FFFFFF" w:themeFill="background1"/>
                  <w:noWrap w:val="0"/>
                  <w:vAlign w:val="center"/>
                </w:tcPr>
                <w:p w14:paraId="5366A538">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1152" w:type="dxa"/>
                  <w:tcBorders>
                    <w:tl2br w:val="nil"/>
                    <w:tr2bl w:val="nil"/>
                  </w:tcBorders>
                  <w:shd w:val="clear" w:color="auto" w:fill="auto"/>
                  <w:noWrap w:val="0"/>
                  <w:vAlign w:val="center"/>
                </w:tcPr>
                <w:p w14:paraId="04F7DF04">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r>
            <w:tr w14:paraId="65C86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4AAD73E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23</w:t>
                  </w:r>
                </w:p>
              </w:tc>
              <w:tc>
                <w:tcPr>
                  <w:tcW w:w="1066" w:type="dxa"/>
                  <w:vMerge w:val="continue"/>
                  <w:tcBorders>
                    <w:tl2br w:val="nil"/>
                    <w:tr2bl w:val="nil"/>
                  </w:tcBorders>
                  <w:noWrap w:val="0"/>
                  <w:vAlign w:val="center"/>
                </w:tcPr>
                <w:p w14:paraId="0EACF1E8">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68107D16">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71423D0F">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00A847C9">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氟石膏</w:t>
                  </w:r>
                </w:p>
              </w:tc>
              <w:tc>
                <w:tcPr>
                  <w:tcW w:w="1394" w:type="dxa"/>
                  <w:tcBorders>
                    <w:tl2br w:val="nil"/>
                    <w:tr2bl w:val="nil"/>
                  </w:tcBorders>
                  <w:shd w:val="clear" w:color="auto" w:fill="FFFFFF" w:themeFill="background1"/>
                  <w:noWrap w:val="0"/>
                  <w:vAlign w:val="center"/>
                </w:tcPr>
                <w:p w14:paraId="4C97B091">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1152" w:type="dxa"/>
                  <w:tcBorders>
                    <w:tl2br w:val="nil"/>
                    <w:tr2bl w:val="nil"/>
                  </w:tcBorders>
                  <w:shd w:val="clear" w:color="auto" w:fill="auto"/>
                  <w:noWrap w:val="0"/>
                  <w:vAlign w:val="center"/>
                </w:tcPr>
                <w:p w14:paraId="607769A5">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r>
            <w:tr w14:paraId="2166C6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5ED65E6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24</w:t>
                  </w:r>
                </w:p>
              </w:tc>
              <w:tc>
                <w:tcPr>
                  <w:tcW w:w="1066" w:type="dxa"/>
                  <w:vMerge w:val="continue"/>
                  <w:tcBorders>
                    <w:tl2br w:val="nil"/>
                    <w:tr2bl w:val="nil"/>
                  </w:tcBorders>
                  <w:noWrap w:val="0"/>
                  <w:vAlign w:val="center"/>
                </w:tcPr>
                <w:p w14:paraId="3DB1EE5A">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5D27CB57">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23A26616">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64834C9A">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水渣</w:t>
                  </w:r>
                </w:p>
              </w:tc>
              <w:tc>
                <w:tcPr>
                  <w:tcW w:w="1394" w:type="dxa"/>
                  <w:tcBorders>
                    <w:tl2br w:val="nil"/>
                    <w:tr2bl w:val="nil"/>
                  </w:tcBorders>
                  <w:shd w:val="clear" w:color="auto" w:fill="FFFFFF" w:themeFill="background1"/>
                  <w:noWrap w:val="0"/>
                  <w:vAlign w:val="center"/>
                </w:tcPr>
                <w:p w14:paraId="3D04198F">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800</w:t>
                  </w:r>
                </w:p>
              </w:tc>
              <w:tc>
                <w:tcPr>
                  <w:tcW w:w="1152" w:type="dxa"/>
                  <w:tcBorders>
                    <w:tl2br w:val="nil"/>
                    <w:tr2bl w:val="nil"/>
                  </w:tcBorders>
                  <w:shd w:val="clear" w:color="auto" w:fill="auto"/>
                  <w:noWrap w:val="0"/>
                  <w:vAlign w:val="center"/>
                </w:tcPr>
                <w:p w14:paraId="7B3D76F8">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800</w:t>
                  </w:r>
                </w:p>
              </w:tc>
            </w:tr>
            <w:tr w14:paraId="2863E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4C00E74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25</w:t>
                  </w:r>
                </w:p>
              </w:tc>
              <w:tc>
                <w:tcPr>
                  <w:tcW w:w="1066" w:type="dxa"/>
                  <w:vMerge w:val="continue"/>
                  <w:tcBorders>
                    <w:tl2br w:val="nil"/>
                    <w:tr2bl w:val="nil"/>
                  </w:tcBorders>
                  <w:noWrap w:val="0"/>
                  <w:vAlign w:val="center"/>
                </w:tcPr>
                <w:p w14:paraId="4E57975C">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35D25443">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440AC30C">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71AA0B04">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炉渣</w:t>
                  </w:r>
                </w:p>
              </w:tc>
              <w:tc>
                <w:tcPr>
                  <w:tcW w:w="1394" w:type="dxa"/>
                  <w:tcBorders>
                    <w:tl2br w:val="nil"/>
                    <w:tr2bl w:val="nil"/>
                  </w:tcBorders>
                  <w:shd w:val="clear" w:color="auto" w:fill="FFFFFF" w:themeFill="background1"/>
                  <w:noWrap w:val="0"/>
                  <w:vAlign w:val="center"/>
                </w:tcPr>
                <w:p w14:paraId="701F16B1">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10000</w:t>
                  </w:r>
                </w:p>
              </w:tc>
              <w:tc>
                <w:tcPr>
                  <w:tcW w:w="1152" w:type="dxa"/>
                  <w:tcBorders>
                    <w:tl2br w:val="nil"/>
                    <w:tr2bl w:val="nil"/>
                  </w:tcBorders>
                  <w:shd w:val="clear" w:color="auto" w:fill="auto"/>
                  <w:noWrap w:val="0"/>
                  <w:vAlign w:val="center"/>
                </w:tcPr>
                <w:p w14:paraId="4281B4F6">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10000</w:t>
                  </w:r>
                </w:p>
              </w:tc>
            </w:tr>
            <w:tr w14:paraId="0BC53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42F87CD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26</w:t>
                  </w:r>
                </w:p>
              </w:tc>
              <w:tc>
                <w:tcPr>
                  <w:tcW w:w="1066" w:type="dxa"/>
                  <w:vMerge w:val="continue"/>
                  <w:tcBorders>
                    <w:tl2br w:val="nil"/>
                    <w:tr2bl w:val="nil"/>
                  </w:tcBorders>
                  <w:noWrap w:val="0"/>
                  <w:vAlign w:val="center"/>
                </w:tcPr>
                <w:p w14:paraId="21E12524">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12649984">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12316CE4">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3A4EEC40">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矿渣粉（高炉渣）</w:t>
                  </w:r>
                </w:p>
              </w:tc>
              <w:tc>
                <w:tcPr>
                  <w:tcW w:w="1394" w:type="dxa"/>
                  <w:tcBorders>
                    <w:tl2br w:val="nil"/>
                    <w:tr2bl w:val="nil"/>
                  </w:tcBorders>
                  <w:shd w:val="clear" w:color="auto" w:fill="FFFFFF" w:themeFill="background1"/>
                  <w:noWrap w:val="0"/>
                  <w:vAlign w:val="center"/>
                </w:tcPr>
                <w:p w14:paraId="60879246">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120000</w:t>
                  </w:r>
                </w:p>
              </w:tc>
              <w:tc>
                <w:tcPr>
                  <w:tcW w:w="1152" w:type="dxa"/>
                  <w:tcBorders>
                    <w:tl2br w:val="nil"/>
                    <w:tr2bl w:val="nil"/>
                  </w:tcBorders>
                  <w:shd w:val="clear" w:color="auto" w:fill="auto"/>
                  <w:noWrap w:val="0"/>
                  <w:vAlign w:val="center"/>
                </w:tcPr>
                <w:p w14:paraId="2AF508ED">
                  <w:pPr>
                    <w:pStyle w:val="43"/>
                    <w:bidi w:val="0"/>
                    <w:jc w:val="center"/>
                    <w:rPr>
                      <w:rFonts w:hint="eastAsia" w:cs="Times New Roman"/>
                      <w:color w:val="auto"/>
                      <w:kern w:val="2"/>
                      <w:sz w:val="21"/>
                      <w:szCs w:val="21"/>
                      <w:lang w:val="en-US" w:eastAsia="zh-CN" w:bidi="ar-SA"/>
                    </w:rPr>
                  </w:pPr>
                  <w:r>
                    <w:rPr>
                      <w:rFonts w:hint="default" w:cs="Times New Roman"/>
                      <w:color w:val="auto"/>
                      <w:kern w:val="2"/>
                      <w:sz w:val="21"/>
                      <w:szCs w:val="21"/>
                      <w:lang w:val="en-US" w:eastAsia="zh-CN" w:bidi="ar-SA"/>
                    </w:rPr>
                    <w:t>120000</w:t>
                  </w:r>
                </w:p>
              </w:tc>
            </w:tr>
            <w:tr w14:paraId="43D3F2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1623622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27</w:t>
                  </w:r>
                </w:p>
              </w:tc>
              <w:tc>
                <w:tcPr>
                  <w:tcW w:w="1066" w:type="dxa"/>
                  <w:vMerge w:val="continue"/>
                  <w:tcBorders>
                    <w:tl2br w:val="nil"/>
                    <w:tr2bl w:val="nil"/>
                  </w:tcBorders>
                  <w:noWrap w:val="0"/>
                  <w:vAlign w:val="center"/>
                </w:tcPr>
                <w:p w14:paraId="5240A374">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040DB100">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012D5327">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643FBAFF">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电炉渣</w:t>
                  </w:r>
                </w:p>
              </w:tc>
              <w:tc>
                <w:tcPr>
                  <w:tcW w:w="1394" w:type="dxa"/>
                  <w:tcBorders>
                    <w:tl2br w:val="nil"/>
                    <w:tr2bl w:val="nil"/>
                  </w:tcBorders>
                  <w:shd w:val="clear" w:color="auto" w:fill="FFFFFF" w:themeFill="background1"/>
                  <w:noWrap w:val="0"/>
                  <w:vAlign w:val="center"/>
                </w:tcPr>
                <w:p w14:paraId="3702D224">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600</w:t>
                  </w:r>
                </w:p>
              </w:tc>
              <w:tc>
                <w:tcPr>
                  <w:tcW w:w="1152" w:type="dxa"/>
                  <w:tcBorders>
                    <w:tl2br w:val="nil"/>
                    <w:tr2bl w:val="nil"/>
                  </w:tcBorders>
                  <w:shd w:val="clear" w:color="auto" w:fill="auto"/>
                  <w:noWrap w:val="0"/>
                  <w:vAlign w:val="center"/>
                </w:tcPr>
                <w:p w14:paraId="7FF37BC1">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600</w:t>
                  </w:r>
                </w:p>
              </w:tc>
            </w:tr>
            <w:tr w14:paraId="0A972D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0B83733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28</w:t>
                  </w:r>
                </w:p>
              </w:tc>
              <w:tc>
                <w:tcPr>
                  <w:tcW w:w="1066" w:type="dxa"/>
                  <w:vMerge w:val="continue"/>
                  <w:tcBorders>
                    <w:tl2br w:val="nil"/>
                    <w:tr2bl w:val="nil"/>
                  </w:tcBorders>
                  <w:noWrap w:val="0"/>
                  <w:vAlign w:val="center"/>
                </w:tcPr>
                <w:p w14:paraId="28043BE9">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66F79E2B">
                  <w:pPr>
                    <w:pStyle w:val="43"/>
                    <w:bidi w:val="0"/>
                    <w:jc w:val="center"/>
                    <w:rPr>
                      <w:rFonts w:hint="eastAsia" w:cs="Times New Roman"/>
                      <w:color w:val="auto"/>
                      <w:kern w:val="2"/>
                      <w:sz w:val="21"/>
                      <w:szCs w:val="21"/>
                      <w:lang w:val="en-US" w:eastAsia="zh-CN" w:bidi="ar-SA"/>
                    </w:rPr>
                  </w:pPr>
                </w:p>
              </w:tc>
              <w:tc>
                <w:tcPr>
                  <w:tcW w:w="1070" w:type="dxa"/>
                  <w:tcBorders>
                    <w:tl2br w:val="nil"/>
                    <w:tr2bl w:val="nil"/>
                  </w:tcBorders>
                  <w:shd w:val="clear" w:color="auto" w:fill="auto"/>
                  <w:noWrap w:val="0"/>
                  <w:vAlign w:val="center"/>
                </w:tcPr>
                <w:p w14:paraId="12BCDA3A">
                  <w:pPr>
                    <w:pStyle w:val="43"/>
                    <w:bidi w:val="0"/>
                    <w:jc w:val="center"/>
                    <w:rPr>
                      <w:rFonts w:hint="eastAsia" w:cs="Times New Roman"/>
                      <w:color w:val="auto"/>
                      <w:kern w:val="2"/>
                      <w:sz w:val="21"/>
                      <w:szCs w:val="21"/>
                      <w:lang w:val="en-US" w:eastAsia="zh-CN" w:bidi="ar-SA"/>
                    </w:rPr>
                  </w:pPr>
                </w:p>
              </w:tc>
              <w:tc>
                <w:tcPr>
                  <w:tcW w:w="1679" w:type="dxa"/>
                  <w:tcBorders>
                    <w:tl2br w:val="nil"/>
                    <w:tr2bl w:val="nil"/>
                  </w:tcBorders>
                  <w:shd w:val="clear" w:color="auto" w:fill="FFFFFF" w:themeFill="background1"/>
                  <w:noWrap w:val="0"/>
                  <w:vAlign w:val="center"/>
                </w:tcPr>
                <w:p w14:paraId="1337D5D3">
                  <w:pPr>
                    <w:pStyle w:val="43"/>
                    <w:bidi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冶炼废渣</w:t>
                  </w:r>
                </w:p>
              </w:tc>
              <w:tc>
                <w:tcPr>
                  <w:tcW w:w="1394" w:type="dxa"/>
                  <w:tcBorders>
                    <w:tl2br w:val="nil"/>
                    <w:tr2bl w:val="nil"/>
                  </w:tcBorders>
                  <w:shd w:val="clear" w:color="auto" w:fill="FFFFFF" w:themeFill="background1"/>
                  <w:noWrap w:val="0"/>
                  <w:vAlign w:val="center"/>
                </w:tcPr>
                <w:p w14:paraId="0276F525">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600</w:t>
                  </w:r>
                </w:p>
              </w:tc>
              <w:tc>
                <w:tcPr>
                  <w:tcW w:w="1152" w:type="dxa"/>
                  <w:tcBorders>
                    <w:tl2br w:val="nil"/>
                    <w:tr2bl w:val="nil"/>
                  </w:tcBorders>
                  <w:shd w:val="clear" w:color="auto" w:fill="auto"/>
                  <w:noWrap w:val="0"/>
                  <w:vAlign w:val="center"/>
                </w:tcPr>
                <w:p w14:paraId="270E6413">
                  <w:pPr>
                    <w:pStyle w:val="43"/>
                    <w:bidi w:val="0"/>
                    <w:jc w:val="center"/>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600</w:t>
                  </w:r>
                </w:p>
              </w:tc>
            </w:tr>
            <w:tr w14:paraId="7DF61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0E263E6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29</w:t>
                  </w:r>
                </w:p>
              </w:tc>
              <w:tc>
                <w:tcPr>
                  <w:tcW w:w="1066" w:type="dxa"/>
                  <w:vMerge w:val="restart"/>
                  <w:tcBorders>
                    <w:tl2br w:val="nil"/>
                    <w:tr2bl w:val="nil"/>
                  </w:tcBorders>
                  <w:noWrap w:val="0"/>
                  <w:vAlign w:val="center"/>
                </w:tcPr>
                <w:p w14:paraId="76ED0F09">
                  <w:pPr>
                    <w:pStyle w:val="43"/>
                    <w:bidi w:val="0"/>
                    <w:jc w:val="center"/>
                    <w:rPr>
                      <w:rFonts w:hint="eastAsia" w:ascii="Times New Roman" w:hAnsi="Times New Roman" w:eastAsia="宋体" w:cs="Times New Roman"/>
                      <w:color w:val="auto"/>
                      <w:lang w:val="en-US" w:eastAsia="zh-CN"/>
                    </w:rPr>
                  </w:pPr>
                  <w:r>
                    <w:rPr>
                      <w:rFonts w:hint="eastAsia" w:cs="Times New Roman"/>
                      <w:color w:val="auto"/>
                      <w:lang w:val="en-US" w:eastAsia="zh-CN"/>
                    </w:rPr>
                    <w:t>燃料</w:t>
                  </w:r>
                </w:p>
              </w:tc>
              <w:tc>
                <w:tcPr>
                  <w:tcW w:w="1066" w:type="dxa"/>
                  <w:tcBorders>
                    <w:tl2br w:val="nil"/>
                    <w:tr2bl w:val="nil"/>
                  </w:tcBorders>
                  <w:shd w:val="clear" w:color="auto" w:fill="FFFFFF" w:themeFill="background1"/>
                  <w:noWrap w:val="0"/>
                  <w:vAlign w:val="center"/>
                </w:tcPr>
                <w:p w14:paraId="30615348">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煤</w:t>
                  </w:r>
                </w:p>
              </w:tc>
              <w:tc>
                <w:tcPr>
                  <w:tcW w:w="1070" w:type="dxa"/>
                  <w:tcBorders>
                    <w:tl2br w:val="nil"/>
                    <w:tr2bl w:val="nil"/>
                  </w:tcBorders>
                  <w:shd w:val="clear" w:color="auto" w:fill="FFFFFF" w:themeFill="background1"/>
                  <w:noWrap w:val="0"/>
                  <w:vAlign w:val="center"/>
                </w:tcPr>
                <w:p w14:paraId="41D2704A">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173400</w:t>
                  </w:r>
                </w:p>
              </w:tc>
              <w:tc>
                <w:tcPr>
                  <w:tcW w:w="1679" w:type="dxa"/>
                  <w:tcBorders>
                    <w:tl2br w:val="nil"/>
                    <w:tr2bl w:val="nil"/>
                  </w:tcBorders>
                  <w:shd w:val="clear" w:color="auto" w:fill="FFFFFF" w:themeFill="background1"/>
                  <w:noWrap w:val="0"/>
                  <w:vAlign w:val="center"/>
                </w:tcPr>
                <w:p w14:paraId="5A89990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煤</w:t>
                  </w:r>
                </w:p>
              </w:tc>
              <w:tc>
                <w:tcPr>
                  <w:tcW w:w="1394" w:type="dxa"/>
                  <w:tcBorders>
                    <w:tl2br w:val="nil"/>
                    <w:tr2bl w:val="nil"/>
                  </w:tcBorders>
                  <w:shd w:val="clear" w:color="auto" w:fill="FFFFFF" w:themeFill="background1"/>
                  <w:noWrap w:val="0"/>
                  <w:vAlign w:val="center"/>
                </w:tcPr>
                <w:p w14:paraId="19F2EAA8">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169058</w:t>
                  </w:r>
                </w:p>
              </w:tc>
              <w:tc>
                <w:tcPr>
                  <w:tcW w:w="1152" w:type="dxa"/>
                  <w:tcBorders>
                    <w:tl2br w:val="nil"/>
                    <w:tr2bl w:val="nil"/>
                  </w:tcBorders>
                  <w:shd w:val="clear" w:color="auto" w:fill="FFFFFF" w:themeFill="background1"/>
                  <w:noWrap w:val="0"/>
                  <w:vAlign w:val="center"/>
                </w:tcPr>
                <w:p w14:paraId="655C85DA">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-4342</w:t>
                  </w:r>
                </w:p>
              </w:tc>
            </w:tr>
            <w:tr w14:paraId="0A94F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64F3644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30</w:t>
                  </w:r>
                </w:p>
              </w:tc>
              <w:tc>
                <w:tcPr>
                  <w:tcW w:w="1066" w:type="dxa"/>
                  <w:vMerge w:val="continue"/>
                  <w:tcBorders>
                    <w:tl2br w:val="nil"/>
                    <w:tr2bl w:val="nil"/>
                  </w:tcBorders>
                  <w:noWrap w:val="0"/>
                  <w:vAlign w:val="center"/>
                </w:tcPr>
                <w:p w14:paraId="12DB89AC">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0A11EE7E">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RDF</w:t>
                  </w:r>
                </w:p>
              </w:tc>
              <w:tc>
                <w:tcPr>
                  <w:tcW w:w="1070" w:type="dxa"/>
                  <w:tcBorders>
                    <w:tl2br w:val="nil"/>
                    <w:tr2bl w:val="nil"/>
                  </w:tcBorders>
                  <w:shd w:val="clear" w:color="auto" w:fill="FFFFFF" w:themeFill="background1"/>
                  <w:noWrap w:val="0"/>
                  <w:vAlign w:val="center"/>
                </w:tcPr>
                <w:p w14:paraId="59D18356">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50000</w:t>
                  </w:r>
                </w:p>
              </w:tc>
              <w:tc>
                <w:tcPr>
                  <w:tcW w:w="1679" w:type="dxa"/>
                  <w:tcBorders>
                    <w:tl2br w:val="nil"/>
                    <w:tr2bl w:val="nil"/>
                  </w:tcBorders>
                  <w:shd w:val="clear" w:color="auto" w:fill="FFFFFF" w:themeFill="background1"/>
                  <w:noWrap w:val="0"/>
                  <w:vAlign w:val="center"/>
                </w:tcPr>
                <w:p w14:paraId="52B40D30">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RDF</w:t>
                  </w:r>
                </w:p>
              </w:tc>
              <w:tc>
                <w:tcPr>
                  <w:tcW w:w="1394" w:type="dxa"/>
                  <w:tcBorders>
                    <w:tl2br w:val="nil"/>
                    <w:tr2bl w:val="nil"/>
                  </w:tcBorders>
                  <w:shd w:val="clear" w:color="auto" w:fill="FFFFFF" w:themeFill="background1"/>
                  <w:noWrap w:val="0"/>
                  <w:vAlign w:val="center"/>
                </w:tcPr>
                <w:p w14:paraId="6E83C044">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15000</w:t>
                  </w:r>
                </w:p>
              </w:tc>
              <w:tc>
                <w:tcPr>
                  <w:tcW w:w="1152" w:type="dxa"/>
                  <w:tcBorders>
                    <w:tl2br w:val="nil"/>
                    <w:tr2bl w:val="nil"/>
                  </w:tcBorders>
                  <w:shd w:val="clear" w:color="auto" w:fill="FFFFFF" w:themeFill="background1"/>
                  <w:noWrap w:val="0"/>
                  <w:vAlign w:val="center"/>
                </w:tcPr>
                <w:p w14:paraId="3EA3639C">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-35000</w:t>
                  </w:r>
                </w:p>
              </w:tc>
            </w:tr>
            <w:tr w14:paraId="0CC05B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0813855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31</w:t>
                  </w:r>
                </w:p>
              </w:tc>
              <w:tc>
                <w:tcPr>
                  <w:tcW w:w="1066" w:type="dxa"/>
                  <w:vMerge w:val="continue"/>
                  <w:tcBorders>
                    <w:tl2br w:val="nil"/>
                    <w:tr2bl w:val="nil"/>
                  </w:tcBorders>
                  <w:noWrap w:val="0"/>
                  <w:vAlign w:val="center"/>
                </w:tcPr>
                <w:p w14:paraId="2F992FE3">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72123669">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1B596E27">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74F57C53">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废纺</w:t>
                  </w:r>
                </w:p>
              </w:tc>
              <w:tc>
                <w:tcPr>
                  <w:tcW w:w="1394" w:type="dxa"/>
                  <w:tcBorders>
                    <w:tl2br w:val="nil"/>
                    <w:tr2bl w:val="nil"/>
                  </w:tcBorders>
                  <w:shd w:val="clear" w:color="auto" w:fill="FFFFFF" w:themeFill="background1"/>
                  <w:noWrap w:val="0"/>
                  <w:vAlign w:val="center"/>
                </w:tcPr>
                <w:p w14:paraId="58C8C0B9">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c>
                <w:tcPr>
                  <w:tcW w:w="1152" w:type="dxa"/>
                  <w:tcBorders>
                    <w:tl2br w:val="nil"/>
                    <w:tr2bl w:val="nil"/>
                  </w:tcBorders>
                  <w:shd w:val="clear" w:color="auto" w:fill="FFFFFF" w:themeFill="background1"/>
                  <w:noWrap w:val="0"/>
                  <w:vAlign w:val="center"/>
                </w:tcPr>
                <w:p w14:paraId="2E39B0F1">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r>
            <w:tr w14:paraId="11D5B2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43E49CE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32</w:t>
                  </w:r>
                </w:p>
              </w:tc>
              <w:tc>
                <w:tcPr>
                  <w:tcW w:w="1066" w:type="dxa"/>
                  <w:vMerge w:val="continue"/>
                  <w:tcBorders>
                    <w:tl2br w:val="nil"/>
                    <w:tr2bl w:val="nil"/>
                  </w:tcBorders>
                  <w:noWrap w:val="0"/>
                  <w:vAlign w:val="center"/>
                </w:tcPr>
                <w:p w14:paraId="5BBC10BA">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5C119E23">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7F9482A1">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7B0A113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废塑料</w:t>
                  </w:r>
                </w:p>
              </w:tc>
              <w:tc>
                <w:tcPr>
                  <w:tcW w:w="1394" w:type="dxa"/>
                  <w:tcBorders>
                    <w:tl2br w:val="nil"/>
                    <w:tr2bl w:val="nil"/>
                  </w:tcBorders>
                  <w:shd w:val="clear" w:color="auto" w:fill="FFFFFF" w:themeFill="background1"/>
                  <w:noWrap w:val="0"/>
                  <w:vAlign w:val="center"/>
                </w:tcPr>
                <w:p w14:paraId="067FB9D1">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w:t>
                  </w:r>
                </w:p>
              </w:tc>
              <w:tc>
                <w:tcPr>
                  <w:tcW w:w="1152" w:type="dxa"/>
                  <w:tcBorders>
                    <w:tl2br w:val="nil"/>
                    <w:tr2bl w:val="nil"/>
                  </w:tcBorders>
                  <w:shd w:val="clear" w:color="auto" w:fill="FFFFFF" w:themeFill="background1"/>
                  <w:noWrap w:val="0"/>
                  <w:vAlign w:val="center"/>
                </w:tcPr>
                <w:p w14:paraId="437FCF77">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500</w:t>
                  </w:r>
                </w:p>
              </w:tc>
            </w:tr>
            <w:tr w14:paraId="04DA2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5E9412E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33</w:t>
                  </w:r>
                </w:p>
              </w:tc>
              <w:tc>
                <w:tcPr>
                  <w:tcW w:w="1066" w:type="dxa"/>
                  <w:vMerge w:val="continue"/>
                  <w:tcBorders>
                    <w:tl2br w:val="nil"/>
                    <w:tr2bl w:val="nil"/>
                  </w:tcBorders>
                  <w:noWrap w:val="0"/>
                  <w:vAlign w:val="center"/>
                </w:tcPr>
                <w:p w14:paraId="3A2B4822">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7CA5A143">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397B76D0">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1E06DBA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废橡胶</w:t>
                  </w:r>
                </w:p>
              </w:tc>
              <w:tc>
                <w:tcPr>
                  <w:tcW w:w="1394" w:type="dxa"/>
                  <w:tcBorders>
                    <w:tl2br w:val="nil"/>
                    <w:tr2bl w:val="nil"/>
                  </w:tcBorders>
                  <w:shd w:val="clear" w:color="auto" w:fill="FFFFFF" w:themeFill="background1"/>
                  <w:noWrap w:val="0"/>
                  <w:vAlign w:val="center"/>
                </w:tcPr>
                <w:p w14:paraId="56B4C9B7">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1100</w:t>
                  </w:r>
                </w:p>
              </w:tc>
              <w:tc>
                <w:tcPr>
                  <w:tcW w:w="1152" w:type="dxa"/>
                  <w:tcBorders>
                    <w:tl2br w:val="nil"/>
                    <w:tr2bl w:val="nil"/>
                  </w:tcBorders>
                  <w:shd w:val="clear" w:color="auto" w:fill="FFFFFF" w:themeFill="background1"/>
                  <w:noWrap w:val="0"/>
                  <w:vAlign w:val="center"/>
                </w:tcPr>
                <w:p w14:paraId="2E82DA0C">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1100</w:t>
                  </w:r>
                </w:p>
              </w:tc>
            </w:tr>
            <w:tr w14:paraId="03928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0C25B62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34</w:t>
                  </w:r>
                </w:p>
              </w:tc>
              <w:tc>
                <w:tcPr>
                  <w:tcW w:w="1066" w:type="dxa"/>
                  <w:vMerge w:val="continue"/>
                  <w:tcBorders>
                    <w:tl2br w:val="nil"/>
                    <w:tr2bl w:val="nil"/>
                  </w:tcBorders>
                  <w:noWrap w:val="0"/>
                  <w:vAlign w:val="center"/>
                </w:tcPr>
                <w:p w14:paraId="35B559E6">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598BCCF0">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66BEBC32">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56E4345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废皮革</w:t>
                  </w:r>
                </w:p>
              </w:tc>
              <w:tc>
                <w:tcPr>
                  <w:tcW w:w="1394" w:type="dxa"/>
                  <w:tcBorders>
                    <w:tl2br w:val="nil"/>
                    <w:tr2bl w:val="nil"/>
                  </w:tcBorders>
                  <w:shd w:val="clear" w:color="auto" w:fill="FFFFFF" w:themeFill="background1"/>
                  <w:noWrap w:val="0"/>
                  <w:vAlign w:val="center"/>
                </w:tcPr>
                <w:p w14:paraId="544A1A6B">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1152" w:type="dxa"/>
                  <w:tcBorders>
                    <w:tl2br w:val="nil"/>
                    <w:tr2bl w:val="nil"/>
                  </w:tcBorders>
                  <w:shd w:val="clear" w:color="auto" w:fill="FFFFFF" w:themeFill="background1"/>
                  <w:noWrap w:val="0"/>
                  <w:vAlign w:val="center"/>
                </w:tcPr>
                <w:p w14:paraId="07BCAB0F">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r>
            <w:tr w14:paraId="407BA0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4E1AA75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35</w:t>
                  </w:r>
                </w:p>
              </w:tc>
              <w:tc>
                <w:tcPr>
                  <w:tcW w:w="1066" w:type="dxa"/>
                  <w:vMerge w:val="continue"/>
                  <w:tcBorders>
                    <w:tl2br w:val="nil"/>
                    <w:tr2bl w:val="nil"/>
                  </w:tcBorders>
                  <w:noWrap w:val="0"/>
                  <w:vAlign w:val="center"/>
                </w:tcPr>
                <w:p w14:paraId="1A627689">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77833549">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32B75B68">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3F8B53D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炭黑</w:t>
                  </w:r>
                </w:p>
              </w:tc>
              <w:tc>
                <w:tcPr>
                  <w:tcW w:w="1394" w:type="dxa"/>
                  <w:tcBorders>
                    <w:tl2br w:val="nil"/>
                    <w:tr2bl w:val="nil"/>
                  </w:tcBorders>
                  <w:shd w:val="clear" w:color="auto" w:fill="FFFFFF" w:themeFill="background1"/>
                  <w:noWrap w:val="0"/>
                  <w:vAlign w:val="center"/>
                </w:tcPr>
                <w:p w14:paraId="11B0DF08">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c>
                <w:tcPr>
                  <w:tcW w:w="1152" w:type="dxa"/>
                  <w:tcBorders>
                    <w:tl2br w:val="nil"/>
                    <w:tr2bl w:val="nil"/>
                  </w:tcBorders>
                  <w:shd w:val="clear" w:color="auto" w:fill="FFFFFF" w:themeFill="background1"/>
                  <w:noWrap w:val="0"/>
                  <w:vAlign w:val="center"/>
                </w:tcPr>
                <w:p w14:paraId="5F6BD024">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10000</w:t>
                  </w:r>
                </w:p>
              </w:tc>
            </w:tr>
            <w:tr w14:paraId="3C8A73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2AE3A86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36</w:t>
                  </w:r>
                </w:p>
              </w:tc>
              <w:tc>
                <w:tcPr>
                  <w:tcW w:w="1066" w:type="dxa"/>
                  <w:vMerge w:val="continue"/>
                  <w:tcBorders>
                    <w:tl2br w:val="nil"/>
                    <w:tr2bl w:val="nil"/>
                  </w:tcBorders>
                  <w:noWrap w:val="0"/>
                  <w:vAlign w:val="center"/>
                </w:tcPr>
                <w:p w14:paraId="1B52AC07">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2D4A4A00">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29895E3E">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6941AE48">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生物质燃料</w:t>
                  </w:r>
                </w:p>
              </w:tc>
              <w:tc>
                <w:tcPr>
                  <w:tcW w:w="1394" w:type="dxa"/>
                  <w:tcBorders>
                    <w:tl2br w:val="nil"/>
                    <w:tr2bl w:val="nil"/>
                  </w:tcBorders>
                  <w:shd w:val="clear" w:color="auto" w:fill="FFFFFF" w:themeFill="background1"/>
                  <w:noWrap w:val="0"/>
                  <w:vAlign w:val="center"/>
                </w:tcPr>
                <w:p w14:paraId="5E020F01">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3000</w:t>
                  </w:r>
                </w:p>
              </w:tc>
              <w:tc>
                <w:tcPr>
                  <w:tcW w:w="1152" w:type="dxa"/>
                  <w:tcBorders>
                    <w:tl2br w:val="nil"/>
                    <w:tr2bl w:val="nil"/>
                  </w:tcBorders>
                  <w:shd w:val="clear" w:color="auto" w:fill="FFFFFF" w:themeFill="background1"/>
                  <w:noWrap w:val="0"/>
                  <w:vAlign w:val="center"/>
                </w:tcPr>
                <w:p w14:paraId="47B8BD15">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3000</w:t>
                  </w:r>
                </w:p>
              </w:tc>
            </w:tr>
            <w:tr w14:paraId="4438C7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5FB8C15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37</w:t>
                  </w:r>
                </w:p>
              </w:tc>
              <w:tc>
                <w:tcPr>
                  <w:tcW w:w="1066" w:type="dxa"/>
                  <w:vMerge w:val="continue"/>
                  <w:tcBorders>
                    <w:tl2br w:val="nil"/>
                    <w:tr2bl w:val="nil"/>
                  </w:tcBorders>
                  <w:noWrap w:val="0"/>
                  <w:vAlign w:val="center"/>
                </w:tcPr>
                <w:p w14:paraId="5B70B1AD">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FFFFFF" w:themeFill="background1"/>
                  <w:noWrap w:val="0"/>
                  <w:vAlign w:val="center"/>
                </w:tcPr>
                <w:p w14:paraId="5A0BA18B">
                  <w:pPr>
                    <w:pStyle w:val="43"/>
                    <w:bidi w:val="0"/>
                    <w:jc w:val="center"/>
                    <w:rPr>
                      <w:rFonts w:hint="eastAsia" w:ascii="Times New Roman" w:hAnsi="Times New Roman" w:eastAsia="宋体" w:cs="Times New Roman"/>
                      <w:color w:val="auto"/>
                      <w:lang w:val="en-US" w:eastAsia="zh-CN"/>
                    </w:rPr>
                  </w:pPr>
                </w:p>
              </w:tc>
              <w:tc>
                <w:tcPr>
                  <w:tcW w:w="1070" w:type="dxa"/>
                  <w:tcBorders>
                    <w:tl2br w:val="nil"/>
                    <w:tr2bl w:val="nil"/>
                  </w:tcBorders>
                  <w:shd w:val="clear" w:color="auto" w:fill="FFFFFF" w:themeFill="background1"/>
                  <w:noWrap w:val="0"/>
                  <w:vAlign w:val="center"/>
                </w:tcPr>
                <w:p w14:paraId="6EA17AA4">
                  <w:pPr>
                    <w:pStyle w:val="43"/>
                    <w:bidi w:val="0"/>
                    <w:jc w:val="center"/>
                    <w:rPr>
                      <w:rFonts w:hint="eastAsia" w:ascii="Times New Roman" w:hAnsi="Times New Roman" w:eastAsia="宋体" w:cs="Times New Roman"/>
                      <w:color w:val="auto"/>
                      <w:lang w:val="en-US" w:eastAsia="zh-CN"/>
                    </w:rPr>
                  </w:pPr>
                </w:p>
              </w:tc>
              <w:tc>
                <w:tcPr>
                  <w:tcW w:w="1679" w:type="dxa"/>
                  <w:tcBorders>
                    <w:tl2br w:val="nil"/>
                    <w:tr2bl w:val="nil"/>
                  </w:tcBorders>
                  <w:shd w:val="clear" w:color="auto" w:fill="FFFFFF" w:themeFill="background1"/>
                  <w:noWrap w:val="0"/>
                  <w:vAlign w:val="center"/>
                </w:tcPr>
                <w:p w14:paraId="7118BB9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飞灰</w:t>
                  </w:r>
                </w:p>
              </w:tc>
              <w:tc>
                <w:tcPr>
                  <w:tcW w:w="1394" w:type="dxa"/>
                  <w:tcBorders>
                    <w:tl2br w:val="nil"/>
                    <w:tr2bl w:val="nil"/>
                  </w:tcBorders>
                  <w:shd w:val="clear" w:color="auto" w:fill="FFFFFF" w:themeFill="background1"/>
                  <w:noWrap w:val="0"/>
                  <w:vAlign w:val="center"/>
                </w:tcPr>
                <w:p w14:paraId="46C44EE3">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10200</w:t>
                  </w:r>
                </w:p>
              </w:tc>
              <w:tc>
                <w:tcPr>
                  <w:tcW w:w="1152" w:type="dxa"/>
                  <w:tcBorders>
                    <w:tl2br w:val="nil"/>
                    <w:tr2bl w:val="nil"/>
                  </w:tcBorders>
                  <w:shd w:val="clear" w:color="auto" w:fill="FFFFFF" w:themeFill="background1"/>
                  <w:noWrap w:val="0"/>
                  <w:vAlign w:val="center"/>
                </w:tcPr>
                <w:p w14:paraId="77EFFEED">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10200</w:t>
                  </w:r>
                </w:p>
              </w:tc>
            </w:tr>
            <w:tr w14:paraId="4C011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50FDE2F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38</w:t>
                  </w:r>
                </w:p>
              </w:tc>
              <w:tc>
                <w:tcPr>
                  <w:tcW w:w="1066" w:type="dxa"/>
                  <w:vMerge w:val="restart"/>
                  <w:tcBorders>
                    <w:tl2br w:val="nil"/>
                    <w:tr2bl w:val="nil"/>
                  </w:tcBorders>
                  <w:noWrap w:val="0"/>
                  <w:vAlign w:val="center"/>
                </w:tcPr>
                <w:p w14:paraId="5D736B83">
                  <w:pPr>
                    <w:pStyle w:val="43"/>
                    <w:bidi w:val="0"/>
                    <w:jc w:val="center"/>
                    <w:rPr>
                      <w:rFonts w:hint="eastAsia" w:ascii="Times New Roman" w:hAnsi="Times New Roman" w:eastAsia="宋体" w:cs="Times New Roman"/>
                      <w:color w:val="auto"/>
                      <w:lang w:val="en-US" w:eastAsia="zh-CN"/>
                    </w:rPr>
                  </w:pPr>
                  <w:r>
                    <w:rPr>
                      <w:rFonts w:hint="eastAsia" w:cs="Times New Roman"/>
                      <w:color w:val="auto"/>
                      <w:lang w:val="en-US" w:eastAsia="zh-CN"/>
                    </w:rPr>
                    <w:t>其他</w:t>
                  </w:r>
                </w:p>
              </w:tc>
              <w:tc>
                <w:tcPr>
                  <w:tcW w:w="1066" w:type="dxa"/>
                  <w:tcBorders>
                    <w:tl2br w:val="nil"/>
                    <w:tr2bl w:val="nil"/>
                  </w:tcBorders>
                  <w:shd w:val="clear" w:color="auto" w:fill="auto"/>
                  <w:noWrap w:val="0"/>
                  <w:vAlign w:val="center"/>
                </w:tcPr>
                <w:p w14:paraId="0FB51C6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市政污泥</w:t>
                  </w:r>
                </w:p>
              </w:tc>
              <w:tc>
                <w:tcPr>
                  <w:tcW w:w="1070" w:type="dxa"/>
                  <w:tcBorders>
                    <w:tl2br w:val="nil"/>
                    <w:tr2bl w:val="nil"/>
                  </w:tcBorders>
                  <w:shd w:val="clear" w:color="auto" w:fill="auto"/>
                  <w:noWrap w:val="0"/>
                  <w:vAlign w:val="center"/>
                </w:tcPr>
                <w:p w14:paraId="2A09C5BF">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60000</w:t>
                  </w:r>
                </w:p>
              </w:tc>
              <w:tc>
                <w:tcPr>
                  <w:tcW w:w="1679" w:type="dxa"/>
                  <w:tcBorders>
                    <w:tl2br w:val="nil"/>
                    <w:tr2bl w:val="nil"/>
                  </w:tcBorders>
                  <w:shd w:val="clear" w:color="auto" w:fill="auto"/>
                  <w:noWrap w:val="0"/>
                  <w:vAlign w:val="center"/>
                </w:tcPr>
                <w:p w14:paraId="04B3B2A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市政污泥</w:t>
                  </w:r>
                </w:p>
              </w:tc>
              <w:tc>
                <w:tcPr>
                  <w:tcW w:w="1394" w:type="dxa"/>
                  <w:tcBorders>
                    <w:tl2br w:val="nil"/>
                    <w:tr2bl w:val="nil"/>
                  </w:tcBorders>
                  <w:shd w:val="clear" w:color="auto" w:fill="auto"/>
                  <w:noWrap w:val="0"/>
                  <w:vAlign w:val="center"/>
                </w:tcPr>
                <w:p w14:paraId="5B6125A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60000</w:t>
                  </w:r>
                </w:p>
              </w:tc>
              <w:tc>
                <w:tcPr>
                  <w:tcW w:w="1152" w:type="dxa"/>
                  <w:tcBorders>
                    <w:tl2br w:val="nil"/>
                    <w:tr2bl w:val="nil"/>
                  </w:tcBorders>
                  <w:shd w:val="clear" w:color="auto" w:fill="auto"/>
                  <w:noWrap w:val="0"/>
                  <w:vAlign w:val="center"/>
                </w:tcPr>
                <w:p w14:paraId="3EE5484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w:t>
                  </w:r>
                </w:p>
              </w:tc>
            </w:tr>
            <w:tr w14:paraId="4B5FEF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3475A85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39</w:t>
                  </w:r>
                </w:p>
              </w:tc>
              <w:tc>
                <w:tcPr>
                  <w:tcW w:w="1066" w:type="dxa"/>
                  <w:vMerge w:val="continue"/>
                  <w:tcBorders>
                    <w:tl2br w:val="nil"/>
                    <w:tr2bl w:val="nil"/>
                  </w:tcBorders>
                  <w:noWrap w:val="0"/>
                  <w:vAlign w:val="center"/>
                </w:tcPr>
                <w:p w14:paraId="67136C78">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0362CFA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污染土</w:t>
                  </w:r>
                </w:p>
              </w:tc>
              <w:tc>
                <w:tcPr>
                  <w:tcW w:w="1070" w:type="dxa"/>
                  <w:tcBorders>
                    <w:tl2br w:val="nil"/>
                    <w:tr2bl w:val="nil"/>
                  </w:tcBorders>
                  <w:shd w:val="clear" w:color="auto" w:fill="auto"/>
                  <w:noWrap w:val="0"/>
                  <w:vAlign w:val="center"/>
                </w:tcPr>
                <w:p w14:paraId="14876CDC">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40000</w:t>
                  </w:r>
                </w:p>
              </w:tc>
              <w:tc>
                <w:tcPr>
                  <w:tcW w:w="1679" w:type="dxa"/>
                  <w:tcBorders>
                    <w:tl2br w:val="nil"/>
                    <w:tr2bl w:val="nil"/>
                  </w:tcBorders>
                  <w:shd w:val="clear" w:color="auto" w:fill="auto"/>
                  <w:noWrap w:val="0"/>
                  <w:vAlign w:val="center"/>
                </w:tcPr>
                <w:p w14:paraId="31B7A6F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污染土</w:t>
                  </w:r>
                </w:p>
              </w:tc>
              <w:tc>
                <w:tcPr>
                  <w:tcW w:w="1394" w:type="dxa"/>
                  <w:tcBorders>
                    <w:tl2br w:val="nil"/>
                    <w:tr2bl w:val="nil"/>
                  </w:tcBorders>
                  <w:shd w:val="clear" w:color="auto" w:fill="auto"/>
                  <w:noWrap w:val="0"/>
                  <w:vAlign w:val="center"/>
                </w:tcPr>
                <w:p w14:paraId="49B0FA0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40000</w:t>
                  </w:r>
                </w:p>
              </w:tc>
              <w:tc>
                <w:tcPr>
                  <w:tcW w:w="1152" w:type="dxa"/>
                  <w:tcBorders>
                    <w:tl2br w:val="nil"/>
                    <w:tr2bl w:val="nil"/>
                  </w:tcBorders>
                  <w:shd w:val="clear" w:color="auto" w:fill="auto"/>
                  <w:noWrap w:val="0"/>
                  <w:vAlign w:val="center"/>
                </w:tcPr>
                <w:p w14:paraId="220A5D8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w:t>
                  </w:r>
                </w:p>
              </w:tc>
            </w:tr>
            <w:tr w14:paraId="48A61E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742" w:type="dxa"/>
                  <w:tcBorders>
                    <w:tl2br w:val="nil"/>
                    <w:tr2bl w:val="nil"/>
                  </w:tcBorders>
                  <w:shd w:val="clear" w:color="auto" w:fill="auto"/>
                  <w:noWrap w:val="0"/>
                  <w:vAlign w:val="center"/>
                </w:tcPr>
                <w:p w14:paraId="5B7E746F">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40</w:t>
                  </w:r>
                </w:p>
              </w:tc>
              <w:tc>
                <w:tcPr>
                  <w:tcW w:w="1066" w:type="dxa"/>
                  <w:vMerge w:val="continue"/>
                  <w:tcBorders>
                    <w:tl2br w:val="nil"/>
                    <w:tr2bl w:val="nil"/>
                  </w:tcBorders>
                  <w:noWrap w:val="0"/>
                  <w:vAlign w:val="center"/>
                </w:tcPr>
                <w:p w14:paraId="192CDF32">
                  <w:pPr>
                    <w:pStyle w:val="43"/>
                    <w:bidi w:val="0"/>
                    <w:jc w:val="center"/>
                    <w:rPr>
                      <w:rFonts w:hint="eastAsia" w:ascii="Times New Roman" w:hAnsi="Times New Roman" w:eastAsia="宋体" w:cs="Times New Roman"/>
                      <w:color w:val="auto"/>
                      <w:lang w:val="en-US" w:eastAsia="en-US"/>
                    </w:rPr>
                  </w:pPr>
                </w:p>
              </w:tc>
              <w:tc>
                <w:tcPr>
                  <w:tcW w:w="1066" w:type="dxa"/>
                  <w:tcBorders>
                    <w:tl2br w:val="nil"/>
                    <w:tr2bl w:val="nil"/>
                  </w:tcBorders>
                  <w:shd w:val="clear" w:color="auto" w:fill="auto"/>
                  <w:noWrap w:val="0"/>
                  <w:vAlign w:val="center"/>
                </w:tcPr>
                <w:p w14:paraId="7E3A1F7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危险废物</w:t>
                  </w:r>
                </w:p>
              </w:tc>
              <w:tc>
                <w:tcPr>
                  <w:tcW w:w="1070" w:type="dxa"/>
                  <w:tcBorders>
                    <w:tl2br w:val="nil"/>
                    <w:tr2bl w:val="nil"/>
                  </w:tcBorders>
                  <w:shd w:val="clear" w:color="auto" w:fill="auto"/>
                  <w:noWrap w:val="0"/>
                  <w:vAlign w:val="center"/>
                </w:tcPr>
                <w:p w14:paraId="0A7DB89B">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100000</w:t>
                  </w:r>
                </w:p>
              </w:tc>
              <w:tc>
                <w:tcPr>
                  <w:tcW w:w="1679" w:type="dxa"/>
                  <w:tcBorders>
                    <w:tl2br w:val="nil"/>
                    <w:tr2bl w:val="nil"/>
                  </w:tcBorders>
                  <w:shd w:val="clear" w:color="auto" w:fill="FFFFFF"/>
                  <w:noWrap w:val="0"/>
                  <w:vAlign w:val="center"/>
                </w:tcPr>
                <w:p w14:paraId="57667BB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危险废物</w:t>
                  </w:r>
                </w:p>
              </w:tc>
              <w:tc>
                <w:tcPr>
                  <w:tcW w:w="1394" w:type="dxa"/>
                  <w:tcBorders>
                    <w:tl2br w:val="nil"/>
                    <w:tr2bl w:val="nil"/>
                  </w:tcBorders>
                  <w:shd w:val="clear" w:color="auto" w:fill="auto"/>
                  <w:noWrap w:val="0"/>
                  <w:vAlign w:val="center"/>
                </w:tcPr>
                <w:p w14:paraId="08FF03C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100000</w:t>
                  </w:r>
                </w:p>
              </w:tc>
              <w:tc>
                <w:tcPr>
                  <w:tcW w:w="1152" w:type="dxa"/>
                  <w:tcBorders>
                    <w:tl2br w:val="nil"/>
                    <w:tr2bl w:val="nil"/>
                  </w:tcBorders>
                  <w:shd w:val="clear" w:color="auto" w:fill="auto"/>
                  <w:noWrap w:val="0"/>
                  <w:vAlign w:val="center"/>
                </w:tcPr>
                <w:p w14:paraId="54B9F99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w:t>
                  </w:r>
                </w:p>
              </w:tc>
            </w:tr>
          </w:tbl>
          <w:p w14:paraId="2E58FD8B">
            <w:pPr>
              <w:bidi w:val="0"/>
              <w:ind w:firstLine="482" w:firstLineChars="200"/>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协同处置</w:t>
            </w:r>
            <w:r>
              <w:rPr>
                <w:rFonts w:hint="default" w:ascii="Times New Roman" w:hAnsi="Times New Roman" w:eastAsia="宋体" w:cs="Times New Roman"/>
                <w:b/>
                <w:bCs/>
                <w:color w:val="auto"/>
                <w:lang w:val="en-US" w:eastAsia="zh-CN"/>
              </w:rPr>
              <w:t>固废准入控制</w:t>
            </w:r>
            <w:r>
              <w:rPr>
                <w:rFonts w:hint="eastAsia" w:ascii="Times New Roman" w:hAnsi="Times New Roman" w:eastAsia="宋体" w:cs="Times New Roman"/>
                <w:b/>
                <w:bCs/>
                <w:color w:val="auto"/>
                <w:lang w:val="en-US" w:eastAsia="zh-CN"/>
              </w:rPr>
              <w:t>要求</w:t>
            </w:r>
          </w:p>
          <w:p w14:paraId="64F01A98">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控制性规定</w:t>
            </w:r>
          </w:p>
          <w:p w14:paraId="45416A51">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在满足生产工艺要求和熟料、水泥产品质量要求的前提下，项目协同处置的固体废物须满足《水泥窑协同处置固体废物环境保护技术规范》 （HJ662-2013）、《水泥窑协同处置固体废物技术规范》（GB/T30760-2024）</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《水泥窑协同处置固体废物污染控制标准》（GB30485- 2013）、《水泥窑协同处置工业废物设计规范》（GB50634-2010）</w:t>
            </w:r>
            <w:r>
              <w:rPr>
                <w:rFonts w:hint="eastAsia" w:cs="Times New Roman"/>
                <w:color w:val="auto"/>
                <w:lang w:val="en-US" w:eastAsia="zh-CN"/>
              </w:rPr>
              <w:t>等标准、规范</w:t>
            </w:r>
            <w:r>
              <w:rPr>
                <w:rFonts w:hint="eastAsia" w:ascii="Times New Roman" w:hAnsi="Times New Roman" w:eastAsia="宋体" w:cs="Times New Roman"/>
                <w:color w:val="auto"/>
                <w:lang w:val="en-US" w:eastAsia="zh-CN"/>
              </w:rPr>
              <w:t>的要求</w:t>
            </w:r>
            <w:r>
              <w:rPr>
                <w:rFonts w:hint="default" w:ascii="Times New Roman" w:hAnsi="Times New Roman" w:eastAsia="宋体" w:cs="Times New Roman"/>
                <w:color w:val="auto"/>
                <w:lang w:val="en-US" w:eastAsia="zh-CN"/>
              </w:rPr>
              <w:t>，具体见上文。</w:t>
            </w:r>
          </w:p>
          <w:p w14:paraId="70C59E89">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本项目固废准入控制措施</w:t>
            </w:r>
          </w:p>
          <w:p w14:paraId="61F49698">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固体废物的准入评估</w:t>
            </w:r>
          </w:p>
          <w:p w14:paraId="3E906495">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为保证协同处置过程不影响水泥生产过程和操作安全，确保烟气排放达标，在协同处置企业与固体废物产生企业签订协同处置合同及固体废物运输到协同处置企业之前，协同处置项目建设单位将对拟协同处置的固体废物进行取样及特性分析。</w:t>
            </w:r>
          </w:p>
          <w:p w14:paraId="5A2E2342">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②在对拟协同处置的固体废物进行取样和特性分析前，协同处置项目建设单位</w:t>
            </w:r>
            <w:r>
              <w:rPr>
                <w:rFonts w:hint="eastAsia" w:cs="Times New Roman"/>
                <w:color w:val="auto"/>
                <w:lang w:val="en-US" w:eastAsia="zh-CN"/>
              </w:rPr>
              <w:t>应</w:t>
            </w:r>
            <w:r>
              <w:rPr>
                <w:rFonts w:hint="default" w:ascii="Times New Roman" w:hAnsi="Times New Roman" w:eastAsia="宋体" w:cs="Times New Roman"/>
                <w:color w:val="auto"/>
                <w:lang w:val="en-US" w:eastAsia="zh-CN"/>
              </w:rPr>
              <w:t>对该固体废物产生过程进行调查分析，在此基础上制定取样分析方案；样品采集完成后，开展分析测试。固体废物特性经双方确认后在协同处置合同中注明。取样频率和取样方法按照现行《工业固态废物采样制样技术规范》（HJ/T20）和《危险废物鉴别技术规范》（HJ/T298）</w:t>
            </w:r>
            <w:r>
              <w:rPr>
                <w:rFonts w:hint="eastAsia" w:cs="Times New Roman"/>
                <w:color w:val="auto"/>
                <w:lang w:val="en-US" w:eastAsia="zh-CN"/>
              </w:rPr>
              <w:t>等</w:t>
            </w:r>
            <w:r>
              <w:rPr>
                <w:rFonts w:hint="default" w:ascii="Times New Roman" w:hAnsi="Times New Roman" w:eastAsia="宋体" w:cs="Times New Roman"/>
                <w:color w:val="auto"/>
                <w:lang w:val="en-US" w:eastAsia="zh-CN"/>
              </w:rPr>
              <w:t>要求执行。</w:t>
            </w:r>
          </w:p>
          <w:p w14:paraId="5509F131">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③在完成样品分析测试以后，根据下列要求对固体废物是否可以进厂协同处置进行判断：本项目具有协同处置该类固体废物的能力，协同处置过程中的人员健康和环境安全风险能够得到有效控制。 该类固体废物的协同处置不会对水泥的稳定生产、烟气排放、水泥产品质量产生不利影响。</w:t>
            </w:r>
          </w:p>
          <w:p w14:paraId="263CBC16">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④对于同一产废单位同一生产工艺产生的不同批次固体废物，在生产工艺操作参数未改变的前提下，可以仅对首批次固体废物进行采样分析，其后产生的固体废物采样分析在制定处置方案时进行。</w:t>
            </w:r>
          </w:p>
          <w:p w14:paraId="0108B98C">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⑤对入厂前固体废物采集分析的样品，经双方确认后封装保存，用于事故和纠纷的调查。备份样品应该保存到停止协同处置该种固体废物之后。如果在保存期间备份样品的特性发生变化，应更换备份样品，保证备份样品特性与所协同处置固体废物特性一致。</w:t>
            </w:r>
          </w:p>
          <w:p w14:paraId="6C328AB8">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固体废物入厂控制</w:t>
            </w:r>
          </w:p>
          <w:p w14:paraId="0ED9CEAC">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本项目固体废物的接收、贮存、处置均由建设单位负责，运输由符合要求运输单位承担，从源头上杜绝了属性不明废物混入厂区风险，建设单位拟采取的主要控制措施如下：</w:t>
            </w:r>
          </w:p>
          <w:p w14:paraId="4DCF9114">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①对于未通过准入评估的固废，建设单位不予处理。</w:t>
            </w:r>
          </w:p>
          <w:p w14:paraId="0D7E2B13">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对于通过准入评估的固废，建设单位与固废产生企业签订处置合同，后由建设单位安排车辆进入固废产生企业准备装运。在固体废物装车前，首先通过表观，初步判断装车固体废物是否与签订的合同标注的固体废物类别一致，并对固体废物进行称重，确认符合签订的合同。在完成上述检查并确认符合各项要求后，固体废物方可装车。</w:t>
            </w:r>
          </w:p>
          <w:p w14:paraId="0FF1332B">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③在按照②的规定进行检查后，如果拟装车固体废物与所签订合同的标注的废物类别有异，应立即与固体废物产生单位、运输单位和运输责任人联系，共同进行现场判断。</w:t>
            </w:r>
          </w:p>
          <w:p w14:paraId="5331570F">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④如果确定该批次固体废物与合同签订不一致，应立即停止装车。并视情况重新取样，重新进行固废准入评估，并根据评估结果，对该批次固废不予处理或重新签订处置合同。</w:t>
            </w:r>
          </w:p>
          <w:p w14:paraId="1E0C2B91">
            <w:pPr>
              <w:pStyle w:val="45"/>
              <w:bidi w:val="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w:t>
            </w:r>
            <w:r>
              <w:rPr>
                <w:rFonts w:hint="eastAsia" w:eastAsia="宋体" w:cs="Times New Roman"/>
                <w:b/>
                <w:bCs/>
                <w:color w:val="auto"/>
                <w:sz w:val="24"/>
                <w:szCs w:val="24"/>
                <w:lang w:val="en-US" w:eastAsia="zh-CN"/>
              </w:rPr>
              <w:t>8</w:t>
            </w:r>
            <w:r>
              <w:rPr>
                <w:rFonts w:hint="eastAsia" w:ascii="Times New Roman" w:hAnsi="Times New Roman" w:eastAsia="宋体" w:cs="Times New Roman"/>
                <w:b/>
                <w:bCs/>
                <w:color w:val="auto"/>
                <w:kern w:val="2"/>
                <w:sz w:val="24"/>
                <w:szCs w:val="24"/>
                <w:lang w:val="en-US" w:eastAsia="zh-CN" w:bidi="ar-SA"/>
              </w:rPr>
              <w:t xml:space="preserve"> </w:t>
            </w:r>
            <w:r>
              <w:rPr>
                <w:rFonts w:hint="default" w:ascii="Times New Roman" w:hAnsi="Times New Roman" w:eastAsia="宋体" w:cs="Times New Roman"/>
                <w:b/>
                <w:bCs/>
                <w:color w:val="auto"/>
                <w:sz w:val="24"/>
                <w:szCs w:val="24"/>
                <w:lang w:val="en-US" w:eastAsia="zh-CN"/>
              </w:rPr>
              <w:t>项目协同处置固体废物控制性规定一览表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1"/>
              <w:gridCol w:w="2384"/>
              <w:gridCol w:w="2332"/>
              <w:gridCol w:w="1974"/>
            </w:tblGrid>
            <w:tr w14:paraId="3DD3B8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906" w:type="pct"/>
                  <w:tcBorders>
                    <w:tl2br w:val="nil"/>
                    <w:tr2bl w:val="nil"/>
                  </w:tcBorders>
                  <w:noWrap w:val="0"/>
                  <w:vAlign w:val="center"/>
                </w:tcPr>
                <w:p w14:paraId="4BD515C2">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标准来源</w:t>
                  </w:r>
                </w:p>
              </w:tc>
              <w:tc>
                <w:tcPr>
                  <w:tcW w:w="1458" w:type="pct"/>
                  <w:tcBorders>
                    <w:tl2br w:val="nil"/>
                    <w:tr2bl w:val="nil"/>
                  </w:tcBorders>
                  <w:noWrap w:val="0"/>
                  <w:vAlign w:val="center"/>
                </w:tcPr>
                <w:p w14:paraId="3FEFC03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基本要求</w:t>
                  </w:r>
                </w:p>
              </w:tc>
              <w:tc>
                <w:tcPr>
                  <w:tcW w:w="1428" w:type="pct"/>
                  <w:tcBorders>
                    <w:tl2br w:val="nil"/>
                    <w:tr2bl w:val="nil"/>
                  </w:tcBorders>
                  <w:noWrap w:val="0"/>
                  <w:vAlign w:val="center"/>
                </w:tcPr>
                <w:p w14:paraId="0421DE9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其他要求</w:t>
                  </w:r>
                </w:p>
              </w:tc>
              <w:tc>
                <w:tcPr>
                  <w:tcW w:w="1206" w:type="pct"/>
                  <w:tcBorders>
                    <w:tl2br w:val="nil"/>
                    <w:tr2bl w:val="nil"/>
                  </w:tcBorders>
                  <w:noWrap w:val="0"/>
                  <w:vAlign w:val="center"/>
                </w:tcPr>
                <w:p w14:paraId="4A7A3E23">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本项目情况</w:t>
                  </w:r>
                </w:p>
              </w:tc>
            </w:tr>
            <w:tr w14:paraId="49BA47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906" w:type="pct"/>
                  <w:vMerge w:val="restart"/>
                  <w:tcBorders>
                    <w:tl2br w:val="nil"/>
                    <w:tr2bl w:val="nil"/>
                  </w:tcBorders>
                  <w:noWrap w:val="0"/>
                  <w:vAlign w:val="center"/>
                </w:tcPr>
                <w:p w14:paraId="04726BE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《水泥窑协同处置固体废物环境保护技术规范》（HJ662-2013）</w:t>
                  </w:r>
                </w:p>
              </w:tc>
              <w:tc>
                <w:tcPr>
                  <w:tcW w:w="1458" w:type="pct"/>
                  <w:tcBorders>
                    <w:tl2br w:val="nil"/>
                    <w:tr2bl w:val="nil"/>
                  </w:tcBorders>
                  <w:noWrap w:val="0"/>
                  <w:vAlign w:val="center"/>
                </w:tcPr>
                <w:p w14:paraId="5ED049D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入窑固体废物应具有稳定的化学组成和物理特性，其化学组成、理化性质等不应对水泥生产过程和水泥产品质量产生不利影响</w:t>
                  </w:r>
                </w:p>
              </w:tc>
              <w:tc>
                <w:tcPr>
                  <w:tcW w:w="1428" w:type="pct"/>
                  <w:tcBorders>
                    <w:tl2br w:val="nil"/>
                    <w:tr2bl w:val="nil"/>
                  </w:tcBorders>
                  <w:noWrap w:val="0"/>
                  <w:vAlign w:val="center"/>
                </w:tcPr>
                <w:p w14:paraId="316B729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如果水泥生产运行异常引起水泥熟料质量不合格的，应立刻停止投加入窑固废，待水泥生产正常后，恢复固废入窑；已排除因水泥生产运行异常引起水泥熟料质量不合格的，可减量或停止投加固废</w:t>
                  </w:r>
                </w:p>
              </w:tc>
              <w:tc>
                <w:tcPr>
                  <w:tcW w:w="1206" w:type="pct"/>
                  <w:tcBorders>
                    <w:tl2br w:val="nil"/>
                    <w:tr2bl w:val="nil"/>
                  </w:tcBorders>
                  <w:noWrap w:val="0"/>
                  <w:vAlign w:val="center"/>
                </w:tcPr>
                <w:p w14:paraId="1527A125">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本项目协同处置</w:t>
                  </w:r>
                  <w:r>
                    <w:rPr>
                      <w:rFonts w:hint="default" w:ascii="Times New Roman" w:hAnsi="Times New Roman" w:eastAsia="宋体" w:cs="Times New Roman"/>
                      <w:color w:val="auto"/>
                      <w:sz w:val="21"/>
                      <w:szCs w:val="21"/>
                      <w:lang w:val="en-US" w:eastAsia="zh-CN"/>
                    </w:rPr>
                    <w:t>固体废物属于一般固废，不会对水泥生产过程和水泥品质量产生不利影响</w:t>
                  </w:r>
                </w:p>
              </w:tc>
            </w:tr>
            <w:tr w14:paraId="33E6AC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906" w:type="pct"/>
                  <w:vMerge w:val="continue"/>
                  <w:tcBorders>
                    <w:tl2br w:val="nil"/>
                    <w:tr2bl w:val="nil"/>
                  </w:tcBorders>
                  <w:noWrap w:val="0"/>
                  <w:vAlign w:val="center"/>
                </w:tcPr>
                <w:p w14:paraId="3BF78D72">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p>
              </w:tc>
              <w:tc>
                <w:tcPr>
                  <w:tcW w:w="1458" w:type="pct"/>
                  <w:tcBorders>
                    <w:tl2br w:val="nil"/>
                    <w:tr2bl w:val="nil"/>
                  </w:tcBorders>
                  <w:noWrap w:val="0"/>
                  <w:vAlign w:val="center"/>
                </w:tcPr>
                <w:p w14:paraId="5561B400">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入窑固体废物中如含有HJ662中表所列重金属成分，其含量应该|满足HJ662第6.6.7条的要求</w:t>
                  </w:r>
                </w:p>
              </w:tc>
              <w:tc>
                <w:tcPr>
                  <w:tcW w:w="1428" w:type="pct"/>
                  <w:vMerge w:val="restart"/>
                  <w:tcBorders>
                    <w:tl2br w:val="nil"/>
                    <w:tr2bl w:val="nil"/>
                  </w:tcBorders>
                  <w:noWrap w:val="0"/>
                  <w:vAlign w:val="center"/>
                </w:tcPr>
                <w:p w14:paraId="3DF3774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对进厂的固废每批次进行检测，若超过前述入窑物料重金属、F、Cl、S元素计算结果或HJ662-2013要求，应重新计算配比，减少入窑物料投加量</w:t>
                  </w:r>
                </w:p>
              </w:tc>
              <w:tc>
                <w:tcPr>
                  <w:tcW w:w="1206" w:type="pct"/>
                  <w:tcBorders>
                    <w:tl2br w:val="nil"/>
                    <w:tr2bl w:val="nil"/>
                  </w:tcBorders>
                  <w:noWrap w:val="0"/>
                  <w:vAlign w:val="center"/>
                </w:tcPr>
                <w:p w14:paraId="272D91C3">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根据相关章节分析，重金属投加量能满足要求。</w:t>
                  </w:r>
                </w:p>
              </w:tc>
            </w:tr>
            <w:tr w14:paraId="7BC2DA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6" w:type="pct"/>
                  <w:vMerge w:val="continue"/>
                  <w:tcBorders>
                    <w:tl2br w:val="nil"/>
                    <w:tr2bl w:val="nil"/>
                  </w:tcBorders>
                  <w:noWrap w:val="0"/>
                  <w:vAlign w:val="center"/>
                </w:tcPr>
                <w:p w14:paraId="46612EC5">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p>
              </w:tc>
              <w:tc>
                <w:tcPr>
                  <w:tcW w:w="1458" w:type="pct"/>
                  <w:tcBorders>
                    <w:tl2br w:val="nil"/>
                    <w:tr2bl w:val="nil"/>
                  </w:tcBorders>
                  <w:noWrap w:val="0"/>
                  <w:vAlign w:val="center"/>
                </w:tcPr>
                <w:p w14:paraId="6E4BBFB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入窑物料中氟元素含量不应大于0.5%，氯元素含量不应大于0.04%</w:t>
                  </w:r>
                </w:p>
              </w:tc>
              <w:tc>
                <w:tcPr>
                  <w:tcW w:w="1428" w:type="pct"/>
                  <w:vMerge w:val="continue"/>
                  <w:tcBorders>
                    <w:tl2br w:val="nil"/>
                    <w:tr2bl w:val="nil"/>
                  </w:tcBorders>
                  <w:noWrap w:val="0"/>
                  <w:vAlign w:val="center"/>
                </w:tcPr>
                <w:p w14:paraId="033DA5E6">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p>
              </w:tc>
              <w:tc>
                <w:tcPr>
                  <w:tcW w:w="1206" w:type="pct"/>
                  <w:tcBorders>
                    <w:tl2br w:val="nil"/>
                    <w:tr2bl w:val="nil"/>
                  </w:tcBorders>
                  <w:noWrap w:val="0"/>
                  <w:vAlign w:val="center"/>
                </w:tcPr>
                <w:p w14:paraId="06C681E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根据相关章节分析，本项目入窑物料中的氟、氯含量满足要求。</w:t>
                  </w:r>
                </w:p>
              </w:tc>
            </w:tr>
            <w:tr w14:paraId="378693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906" w:type="pct"/>
                  <w:vMerge w:val="continue"/>
                  <w:tcBorders>
                    <w:tl2br w:val="nil"/>
                    <w:tr2bl w:val="nil"/>
                  </w:tcBorders>
                  <w:noWrap w:val="0"/>
                  <w:vAlign w:val="center"/>
                </w:tcPr>
                <w:p w14:paraId="6CF5B30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p>
              </w:tc>
              <w:tc>
                <w:tcPr>
                  <w:tcW w:w="1458" w:type="pct"/>
                  <w:tcBorders>
                    <w:tl2br w:val="nil"/>
                    <w:tr2bl w:val="nil"/>
                  </w:tcBorders>
                  <w:noWrap w:val="0"/>
                  <w:vAlign w:val="center"/>
                </w:tcPr>
                <w:p w14:paraId="01DF4A11">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从窑头、窑尾高温区投加的全硫与配料系统投加的硫酸盐硫总投加量不应大于3000mg/kg-cli</w:t>
                  </w:r>
                </w:p>
              </w:tc>
              <w:tc>
                <w:tcPr>
                  <w:tcW w:w="1428" w:type="pct"/>
                  <w:vMerge w:val="continue"/>
                  <w:tcBorders>
                    <w:tl2br w:val="nil"/>
                    <w:tr2bl w:val="nil"/>
                  </w:tcBorders>
                  <w:noWrap w:val="0"/>
                  <w:vAlign w:val="center"/>
                </w:tcPr>
                <w:p w14:paraId="63281AC1">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p>
              </w:tc>
              <w:tc>
                <w:tcPr>
                  <w:tcW w:w="1206" w:type="pct"/>
                  <w:tcBorders>
                    <w:tl2br w:val="nil"/>
                    <w:tr2bl w:val="nil"/>
                  </w:tcBorders>
                  <w:noWrap w:val="0"/>
                  <w:vAlign w:val="center"/>
                </w:tcPr>
                <w:p w14:paraId="41A3A5D8">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项目从高温区投加的固体废物和常规燃料中的全硫和常规原料中的硫酸盐硫总投加量满足要求。</w:t>
                  </w:r>
                </w:p>
              </w:tc>
            </w:tr>
            <w:tr w14:paraId="7F3D59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906" w:type="pct"/>
                  <w:vMerge w:val="continue"/>
                  <w:tcBorders>
                    <w:tl2br w:val="nil"/>
                    <w:tr2bl w:val="nil"/>
                  </w:tcBorders>
                  <w:noWrap w:val="0"/>
                  <w:vAlign w:val="center"/>
                </w:tcPr>
                <w:p w14:paraId="6B401C20">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p>
              </w:tc>
              <w:tc>
                <w:tcPr>
                  <w:tcW w:w="1458" w:type="pct"/>
                  <w:tcBorders>
                    <w:tl2br w:val="nil"/>
                    <w:tr2bl w:val="nil"/>
                  </w:tcBorders>
                  <w:noWrap w:val="0"/>
                  <w:vAlign w:val="center"/>
                </w:tcPr>
                <w:p w14:paraId="0516C9F8">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具有腐蚀性的固体废物，应经过预处理降低废物腐蚀性或对设施进行防腐性改造，确保不对设施造成腐蚀后方可进行协同处置</w:t>
                  </w:r>
                </w:p>
              </w:tc>
              <w:tc>
                <w:tcPr>
                  <w:tcW w:w="1428" w:type="pct"/>
                  <w:vMerge w:val="continue"/>
                  <w:tcBorders>
                    <w:tl2br w:val="nil"/>
                    <w:tr2bl w:val="nil"/>
                  </w:tcBorders>
                  <w:noWrap w:val="0"/>
                  <w:vAlign w:val="center"/>
                </w:tcPr>
                <w:p w14:paraId="0CD8F3F5">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p>
              </w:tc>
              <w:tc>
                <w:tcPr>
                  <w:tcW w:w="1206" w:type="pct"/>
                  <w:tcBorders>
                    <w:tl2br w:val="nil"/>
                    <w:tr2bl w:val="nil"/>
                  </w:tcBorders>
                  <w:noWrap w:val="0"/>
                  <w:vAlign w:val="center"/>
                </w:tcPr>
                <w:p w14:paraId="6F968B3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项目入窑固体废物不具备有腐蚀性。</w:t>
                  </w:r>
                </w:p>
              </w:tc>
            </w:tr>
            <w:tr w14:paraId="437F67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906" w:type="pct"/>
                  <w:tcBorders>
                    <w:tl2br w:val="nil"/>
                    <w:tr2bl w:val="nil"/>
                  </w:tcBorders>
                  <w:noWrap w:val="0"/>
                  <w:vAlign w:val="center"/>
                </w:tcPr>
                <w:p w14:paraId="6ED08BAE">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《水泥窑协同处置固体废物污染控制标准》（GB30485-2013）</w:t>
                  </w:r>
                </w:p>
              </w:tc>
              <w:tc>
                <w:tcPr>
                  <w:tcW w:w="1458" w:type="pct"/>
                  <w:tcBorders>
                    <w:tl2br w:val="nil"/>
                    <w:tr2bl w:val="nil"/>
                  </w:tcBorders>
                  <w:noWrap w:val="0"/>
                  <w:vAlign w:val="center"/>
                </w:tcPr>
                <w:p w14:paraId="3E540000">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入窑固体废物应具有相对稳定的化学组成和物理特性，其重金属以及氯、氟、硫等有害元素的含量及投加量应满足HJ662的要求</w:t>
                  </w:r>
                </w:p>
              </w:tc>
              <w:tc>
                <w:tcPr>
                  <w:tcW w:w="1428" w:type="pct"/>
                  <w:vMerge w:val="continue"/>
                  <w:tcBorders>
                    <w:tl2br w:val="nil"/>
                    <w:tr2bl w:val="nil"/>
                  </w:tcBorders>
                  <w:noWrap w:val="0"/>
                  <w:vAlign w:val="center"/>
                </w:tcPr>
                <w:p w14:paraId="5EC239F9">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p>
              </w:tc>
              <w:tc>
                <w:tcPr>
                  <w:tcW w:w="1206" w:type="pct"/>
                  <w:tcBorders>
                    <w:tl2br w:val="nil"/>
                    <w:tr2bl w:val="nil"/>
                  </w:tcBorders>
                  <w:noWrap w:val="0"/>
                  <w:vAlign w:val="center"/>
                </w:tcPr>
                <w:p w14:paraId="496116A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根据相关章节分析，重金属以及氯、氟、硫等有害元素的含量及投加量可满足HJ662的要求。</w:t>
                  </w:r>
                </w:p>
              </w:tc>
            </w:tr>
            <w:tr w14:paraId="46F280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906" w:type="pct"/>
                  <w:tcBorders>
                    <w:tl2br w:val="nil"/>
                    <w:tr2bl w:val="nil"/>
                  </w:tcBorders>
                  <w:noWrap w:val="0"/>
                  <w:vAlign w:val="center"/>
                </w:tcPr>
                <w:p w14:paraId="2D05AF8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《水泥窑协同处置工业废物设计规范》(GB50634-2013)</w:t>
                  </w:r>
                </w:p>
              </w:tc>
              <w:tc>
                <w:tcPr>
                  <w:tcW w:w="2886" w:type="pct"/>
                  <w:gridSpan w:val="2"/>
                  <w:tcBorders>
                    <w:tl2br w:val="nil"/>
                    <w:tr2bl w:val="nil"/>
                  </w:tcBorders>
                  <w:noWrap w:val="0"/>
                  <w:vAlign w:val="center"/>
                </w:tcPr>
                <w:p w14:paraId="56D4B3E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水泥窑不宜处置的工业废物包括：电子废物、电池、医疗废物、腐蚀剂、爆炸物、放射性废物</w:t>
                  </w:r>
                </w:p>
              </w:tc>
              <w:tc>
                <w:tcPr>
                  <w:tcW w:w="1206" w:type="pct"/>
                  <w:tcBorders>
                    <w:tl2br w:val="nil"/>
                    <w:tr2bl w:val="nil"/>
                  </w:tcBorders>
                  <w:noWrap w:val="0"/>
                  <w:vAlign w:val="center"/>
                </w:tcPr>
                <w:p w14:paraId="6DAAD27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本项目不涉及处置电子废物、电池、医疗废物、腐蚀剂、爆炸物、放射性废物等危废。</w:t>
                  </w:r>
                </w:p>
              </w:tc>
            </w:tr>
            <w:tr w14:paraId="5B8CC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906" w:type="pct"/>
                  <w:tcBorders>
                    <w:tl2br w:val="nil"/>
                    <w:tr2bl w:val="nil"/>
                  </w:tcBorders>
                  <w:noWrap w:val="0"/>
                  <w:vAlign w:val="center"/>
                </w:tcPr>
                <w:p w14:paraId="36A6D14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《水泥窑协同处置固体废物技术规范》（GB/T30760-2024）</w:t>
                  </w:r>
                </w:p>
              </w:tc>
              <w:tc>
                <w:tcPr>
                  <w:tcW w:w="2886" w:type="pct"/>
                  <w:gridSpan w:val="2"/>
                  <w:tcBorders>
                    <w:tl2br w:val="nil"/>
                    <w:tr2bl w:val="nil"/>
                  </w:tcBorders>
                  <w:noWrap w:val="0"/>
                  <w:vAlign w:val="center"/>
                </w:tcPr>
                <w:p w14:paraId="72A0EB36">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下列固体废物不应通过水泥窑进行协同处置：a)放射性废物；b)具有传染性、爆炸性及反应性废物；c)未经拆解的废电池、废家用电器和电子产品；d)含汞的温度计、血压计、荧光灯管和开关；e)有钙焙烧工艺生产铬盐过程中产生的铬渣；f)石棉类废物；g)未知特性和未经鉴定的固体废物。</w:t>
                  </w:r>
                </w:p>
              </w:tc>
              <w:tc>
                <w:tcPr>
                  <w:tcW w:w="1206" w:type="pct"/>
                  <w:tcBorders>
                    <w:tl2br w:val="nil"/>
                    <w:tr2bl w:val="nil"/>
                  </w:tcBorders>
                  <w:noWrap w:val="0"/>
                  <w:vAlign w:val="center"/>
                </w:tcPr>
                <w:p w14:paraId="08B5B852">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本项目不涉及处置</w:t>
                  </w:r>
                  <w:r>
                    <w:rPr>
                      <w:rFonts w:hint="eastAsia" w:ascii="Times New Roman" w:hAnsi="Times New Roman" w:eastAsia="宋体" w:cs="Times New Roman"/>
                      <w:color w:val="auto"/>
                      <w:sz w:val="21"/>
                      <w:szCs w:val="21"/>
                      <w:lang w:val="en-US" w:eastAsia="zh-CN"/>
                    </w:rPr>
                    <w:t>左述固体废物。</w:t>
                  </w:r>
                </w:p>
              </w:tc>
            </w:tr>
          </w:tbl>
          <w:p w14:paraId="2A9D643D">
            <w:pPr>
              <w:bidi w:val="0"/>
              <w:ind w:firstLine="482" w:firstLineChars="200"/>
              <w:rPr>
                <w:rFonts w:hint="default" w:ascii="Times New Roman" w:hAnsi="Times New Roman" w:cs="Times New Roman"/>
                <w:b/>
                <w:bCs/>
                <w:color w:val="auto"/>
                <w:lang w:val="en-US" w:eastAsia="zh-CN"/>
              </w:rPr>
            </w:pPr>
            <w:r>
              <w:rPr>
                <w:rFonts w:hint="eastAsia" w:cs="Times New Roman"/>
                <w:b/>
                <w:bCs/>
                <w:color w:val="auto"/>
                <w:lang w:val="en-US" w:eastAsia="zh-CN"/>
              </w:rPr>
              <w:t>本项目综合利用</w:t>
            </w:r>
            <w:r>
              <w:rPr>
                <w:rFonts w:hint="default" w:ascii="Times New Roman" w:hAnsi="Times New Roman" w:cs="Times New Roman"/>
                <w:b/>
                <w:bCs/>
                <w:color w:val="auto"/>
                <w:lang w:val="en-US" w:eastAsia="zh-CN"/>
              </w:rPr>
              <w:t>固体废物特性</w:t>
            </w:r>
            <w:r>
              <w:rPr>
                <w:rFonts w:hint="eastAsia" w:cs="Times New Roman"/>
                <w:b/>
                <w:bCs/>
                <w:color w:val="auto"/>
                <w:lang w:val="en-US" w:eastAsia="zh-CN"/>
              </w:rPr>
              <w:t>：</w:t>
            </w:r>
          </w:p>
          <w:p w14:paraId="491717BD">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本项目拟</w:t>
            </w:r>
            <w:r>
              <w:rPr>
                <w:rFonts w:hint="eastAsia" w:cs="Times New Roman"/>
                <w:color w:val="auto"/>
                <w:lang w:val="en-US" w:eastAsia="zh-CN"/>
              </w:rPr>
              <w:t>综合利用</w:t>
            </w:r>
            <w:r>
              <w:rPr>
                <w:rFonts w:hint="default" w:ascii="Times New Roman" w:hAnsi="Times New Roman" w:cs="Times New Roman"/>
                <w:color w:val="auto"/>
                <w:lang w:val="en-US" w:eastAsia="zh-CN"/>
              </w:rPr>
              <w:t>的固体废物中不包含：①放射性废物；②具有传染性、爆炸性及反应性废物；③未经拆解的废电池、废家用电器和电子产品；④含汞温度计、血压计、荧光灯管和开关；⑤铬渣；⑥石棉类废物；⑦未知特性和未经鉴定的固体废物等，满足</w:t>
            </w:r>
            <w:r>
              <w:rPr>
                <w:rFonts w:hint="default" w:ascii="Times New Roman" w:hAnsi="Times New Roman" w:eastAsia="宋体" w:cs="Times New Roman"/>
                <w:color w:val="auto"/>
                <w:lang w:val="en-US" w:eastAsia="zh-CN"/>
              </w:rPr>
              <w:t>《水泥窑协同处置固体废物环境保护技术规范》 （HJ662-2013）、《水泥窑协同处置固体废物技术规范》（GB/T30760-2024）</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《水泥窑协同处置固体废物污染控制标准》（GB30485- 2013）</w:t>
            </w:r>
            <w:r>
              <w:rPr>
                <w:rFonts w:hint="default" w:ascii="Times New Roman" w:hAnsi="Times New Roman" w:cs="Times New Roman"/>
                <w:color w:val="auto"/>
                <w:lang w:val="en-US" w:eastAsia="zh-CN"/>
              </w:rPr>
              <w:t>中关于“禁止进入水泥窑协同处置的废物”的有关要求。</w:t>
            </w:r>
          </w:p>
          <w:p w14:paraId="69883F2E">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项目水渣、矿渣粉、电炉渣、铁合金炉渣、冶炼废渣、炉渣、煤矸石、</w:t>
            </w:r>
            <w:r>
              <w:rPr>
                <w:rFonts w:hint="eastAsia" w:ascii="Times New Roman" w:hAnsi="Times New Roman" w:eastAsia="宋体" w:cs="Times New Roman"/>
                <w:color w:val="auto"/>
                <w:lang w:val="en-US" w:eastAsia="zh-CN"/>
              </w:rPr>
              <w:t>铁矿选矿粉末</w:t>
            </w:r>
            <w:r>
              <w:rPr>
                <w:rFonts w:hint="eastAsia" w:cs="Times New Roman"/>
                <w:color w:val="auto"/>
                <w:lang w:val="en-US" w:eastAsia="zh-CN"/>
              </w:rPr>
              <w:t>、尾矿渣、</w:t>
            </w:r>
            <w:r>
              <w:rPr>
                <w:rFonts w:hint="eastAsia" w:ascii="Times New Roman" w:hAnsi="Times New Roman" w:eastAsia="宋体" w:cs="Times New Roman"/>
                <w:color w:val="auto"/>
                <w:lang w:val="en-US" w:eastAsia="zh-CN"/>
              </w:rPr>
              <w:t>萤石选矿尾渣、脱硫石膏、</w:t>
            </w:r>
            <w:r>
              <w:rPr>
                <w:rFonts w:hint="eastAsia" w:cs="Times New Roman"/>
                <w:color w:val="auto"/>
                <w:lang w:val="en-US" w:eastAsia="zh-CN"/>
              </w:rPr>
              <w:t>磷石膏、钛石膏、氟石膏、磷渣、废纺、生物质燃料化学成分和重金属元素含量引用《江华海螺水泥有限责任公司综合利用一般固废及替代燃料项目环境影响报告表》中的分析数据，</w:t>
            </w:r>
            <w:r>
              <w:rPr>
                <w:rFonts w:hint="eastAsia" w:ascii="Times New Roman" w:hAnsi="Times New Roman" w:cs="Times New Roman"/>
                <w:b w:val="0"/>
                <w:bCs w:val="0"/>
                <w:color w:val="auto"/>
                <w:lang w:val="en-US" w:eastAsia="zh-CN"/>
              </w:rPr>
              <w:t>石英</w:t>
            </w:r>
            <w:r>
              <w:rPr>
                <w:rFonts w:hint="eastAsia" w:cs="Times New Roman"/>
                <w:b w:val="0"/>
                <w:bCs w:val="0"/>
                <w:color w:val="auto"/>
                <w:lang w:val="en-US" w:eastAsia="zh-CN"/>
              </w:rPr>
              <w:t>石</w:t>
            </w:r>
            <w:r>
              <w:rPr>
                <w:rFonts w:hint="eastAsia" w:ascii="Times New Roman" w:hAnsi="Times New Roman" w:cs="Times New Roman"/>
                <w:b w:val="0"/>
                <w:bCs w:val="0"/>
                <w:color w:val="auto"/>
                <w:lang w:val="en-US" w:eastAsia="zh-CN"/>
              </w:rPr>
              <w:t>选矿</w:t>
            </w:r>
            <w:r>
              <w:rPr>
                <w:rFonts w:hint="eastAsia" w:cs="Times New Roman"/>
                <w:b w:val="0"/>
                <w:bCs w:val="0"/>
                <w:color w:val="auto"/>
                <w:lang w:val="en-US" w:eastAsia="zh-CN"/>
              </w:rPr>
              <w:t>污泥</w:t>
            </w:r>
            <w:r>
              <w:rPr>
                <w:rFonts w:hint="eastAsia" w:cs="Times New Roman"/>
                <w:color w:val="auto"/>
                <w:lang w:val="en-US" w:eastAsia="zh-CN"/>
              </w:rPr>
              <w:t>化学成分和重金属元素含量引用《湖南金磊南方水泥有限公司水泥窑协同处置一般固废项目环境影响报告表》中的分析数据，氟化钙污泥、造纸白泥化学成分和重金属元素含量引用《四川峨眉西南水泥窑协同处置一般固废（含替代燃料）项目环境影响报告表》中的分析数据，赤泥、造纸白泥化学成分和重金属元素含量引用《兴业葵阳海螺水泥有限责任公司一般工业固体废物综合利用项目环境影响报告表》中的分析数据，电石渣化学成分和重金属元素含量引用《</w:t>
            </w:r>
            <w:r>
              <w:rPr>
                <w:rFonts w:hint="eastAsia"/>
                <w:sz w:val="24"/>
              </w:rPr>
              <w:t>祁阳海螺水泥有限责任公司协同处置及综合利用一般固废项目</w:t>
            </w:r>
            <w:r>
              <w:rPr>
                <w:rFonts w:hint="eastAsia" w:cs="Times New Roman"/>
                <w:color w:val="auto"/>
                <w:lang w:val="en-US" w:eastAsia="zh-CN"/>
              </w:rPr>
              <w:t>环境影响报告表》中的分析数据，废橡胶、废塑料、废皮革、炭黑化学成分和重金属元素含量引用《江西万年青水泥股份有限公司利用熟料水泥生产线协同处置一般固体废物项目环境影响报告表》中的分析数据，飞灰（煤灰）为焦化厂等煤炭加工企业除尘器收集的煤灰尘，参考建设方提供的原煤化学成分和重金属元素含量。</w:t>
            </w:r>
            <w:r>
              <w:rPr>
                <w:rFonts w:hint="default" w:ascii="Times New Roman" w:hAnsi="Times New Roman" w:cs="Times New Roman"/>
                <w:color w:val="auto"/>
                <w:lang w:val="en-US" w:eastAsia="zh-CN"/>
              </w:rPr>
              <w:t>具体分析结果见表2-</w:t>
            </w:r>
            <w:r>
              <w:rPr>
                <w:rFonts w:hint="eastAsia" w:cs="Times New Roman"/>
                <w:color w:val="auto"/>
                <w:lang w:val="en-US" w:eastAsia="zh-CN"/>
              </w:rPr>
              <w:t>9</w:t>
            </w:r>
            <w:r>
              <w:rPr>
                <w:rFonts w:hint="default" w:ascii="Times New Roman" w:hAnsi="Times New Roman" w:cs="Times New Roman"/>
                <w:color w:val="auto"/>
                <w:lang w:val="en-US" w:eastAsia="zh-CN"/>
              </w:rPr>
              <w:t>。</w:t>
            </w:r>
          </w:p>
          <w:p w14:paraId="3D40A7C2">
            <w:pPr>
              <w:bidi w:val="0"/>
              <w:ind w:firstLine="480" w:firstLineChars="200"/>
              <w:rPr>
                <w:rFonts w:hint="default" w:ascii="Times New Roman" w:hAnsi="Times New Roman" w:cs="Times New Roman"/>
                <w:color w:val="auto"/>
                <w:lang w:val="en-US" w:eastAsia="zh-CN"/>
              </w:rPr>
            </w:pPr>
          </w:p>
          <w:p w14:paraId="424438F7">
            <w:pPr>
              <w:numPr>
                <w:ilvl w:val="0"/>
                <w:numId w:val="0"/>
              </w:numPr>
              <w:rPr>
                <w:rFonts w:hint="default" w:ascii="Times New Roman" w:hAnsi="Times New Roman" w:eastAsia="宋体" w:cs="Times New Roman"/>
                <w:bCs/>
                <w:color w:val="auto"/>
                <w:lang w:eastAsia="zh-CN"/>
              </w:rPr>
            </w:pPr>
          </w:p>
        </w:tc>
      </w:tr>
    </w:tbl>
    <w:p w14:paraId="57A09CB4">
      <w:pPr>
        <w:pStyle w:val="25"/>
        <w:jc w:val="center"/>
        <w:rPr>
          <w:rFonts w:hint="default" w:ascii="Times New Roman" w:hAnsi="Times New Roman"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994"/>
      </w:tblGrid>
      <w:tr w14:paraId="196D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663" w:type="dxa"/>
          </w:tcPr>
          <w:p w14:paraId="07499BBD">
            <w:pPr>
              <w:pStyle w:val="23"/>
              <w:rPr>
                <w:rFonts w:hint="eastAsia" w:eastAsia="宋体"/>
                <w:vertAlign w:val="baseline"/>
                <w:lang w:val="en-US" w:eastAsia="zh-CN"/>
              </w:rPr>
            </w:pPr>
          </w:p>
        </w:tc>
        <w:tc>
          <w:tcPr>
            <w:tcW w:w="12989" w:type="dxa"/>
          </w:tcPr>
          <w:p w14:paraId="081D31F7">
            <w:pPr>
              <w:adjustRightInd w:val="0"/>
              <w:snapToGrid w:val="0"/>
              <w:spacing w:line="240" w:lineRule="auto"/>
              <w:ind w:firstLine="482" w:firstLineChars="20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w:t>
            </w:r>
            <w:r>
              <w:rPr>
                <w:rFonts w:hint="eastAsia" w:cs="Times New Roman"/>
                <w:b/>
                <w:bCs/>
                <w:color w:val="auto"/>
                <w:sz w:val="24"/>
                <w:szCs w:val="24"/>
                <w:lang w:val="en-US" w:eastAsia="zh-CN"/>
              </w:rPr>
              <w:t>9</w:t>
            </w:r>
            <w:r>
              <w:rPr>
                <w:rFonts w:hint="default" w:ascii="Times New Roman" w:hAnsi="Times New Roman" w:eastAsia="宋体" w:cs="Times New Roman"/>
                <w:b/>
                <w:bCs/>
                <w:color w:val="auto"/>
                <w:sz w:val="24"/>
                <w:szCs w:val="24"/>
                <w:lang w:val="en-US" w:eastAsia="zh-CN"/>
              </w:rPr>
              <w:t xml:space="preserve">  拟</w:t>
            </w:r>
            <w:r>
              <w:rPr>
                <w:rFonts w:hint="eastAsia" w:cs="Times New Roman"/>
                <w:b/>
                <w:bCs/>
                <w:color w:val="auto"/>
                <w:sz w:val="24"/>
                <w:szCs w:val="24"/>
                <w:lang w:val="en-US" w:eastAsia="zh-CN"/>
              </w:rPr>
              <w:t>综合利用</w:t>
            </w:r>
            <w:r>
              <w:rPr>
                <w:rFonts w:hint="default" w:ascii="Times New Roman" w:hAnsi="Times New Roman" w:eastAsia="宋体" w:cs="Times New Roman"/>
                <w:b/>
                <w:bCs/>
                <w:color w:val="auto"/>
                <w:sz w:val="24"/>
                <w:szCs w:val="24"/>
                <w:lang w:val="en-US" w:eastAsia="zh-CN"/>
              </w:rPr>
              <w:t>固体废物化学成分和重金属元素含量一览表 单位：ppm</w:t>
            </w:r>
          </w:p>
          <w:tbl>
            <w:tblPr>
              <w:tblStyle w:val="124"/>
              <w:tblW w:w="1274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09"/>
              <w:gridCol w:w="764"/>
              <w:gridCol w:w="891"/>
              <w:gridCol w:w="891"/>
              <w:gridCol w:w="839"/>
              <w:gridCol w:w="770"/>
              <w:gridCol w:w="898"/>
              <w:gridCol w:w="897"/>
              <w:gridCol w:w="896"/>
              <w:gridCol w:w="897"/>
              <w:gridCol w:w="680"/>
              <w:gridCol w:w="770"/>
              <w:gridCol w:w="784"/>
              <w:gridCol w:w="772"/>
              <w:gridCol w:w="690"/>
            </w:tblGrid>
            <w:tr w14:paraId="511109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vAlign w:val="center"/>
                </w:tcPr>
                <w:p w14:paraId="30B17B2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名称</w:t>
                  </w:r>
                </w:p>
              </w:tc>
              <w:tc>
                <w:tcPr>
                  <w:tcW w:w="764" w:type="dxa"/>
                  <w:tcBorders>
                    <w:tl2br w:val="nil"/>
                    <w:tr2bl w:val="nil"/>
                  </w:tcBorders>
                  <w:vAlign w:val="center"/>
                </w:tcPr>
                <w:p w14:paraId="63EC605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铍Be</w:t>
                  </w:r>
                </w:p>
              </w:tc>
              <w:tc>
                <w:tcPr>
                  <w:tcW w:w="891" w:type="dxa"/>
                  <w:tcBorders>
                    <w:tl2br w:val="nil"/>
                    <w:tr2bl w:val="nil"/>
                  </w:tcBorders>
                  <w:vAlign w:val="center"/>
                </w:tcPr>
                <w:p w14:paraId="217A0BC9">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钒V</w:t>
                  </w:r>
                </w:p>
              </w:tc>
              <w:tc>
                <w:tcPr>
                  <w:tcW w:w="891" w:type="dxa"/>
                  <w:tcBorders>
                    <w:tl2br w:val="nil"/>
                    <w:tr2bl w:val="nil"/>
                  </w:tcBorders>
                  <w:vAlign w:val="center"/>
                </w:tcPr>
                <w:p w14:paraId="0F21578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铬Cr</w:t>
                  </w:r>
                </w:p>
              </w:tc>
              <w:tc>
                <w:tcPr>
                  <w:tcW w:w="839" w:type="dxa"/>
                  <w:tcBorders>
                    <w:tl2br w:val="nil"/>
                    <w:tr2bl w:val="nil"/>
                  </w:tcBorders>
                  <w:vAlign w:val="center"/>
                </w:tcPr>
                <w:p w14:paraId="6D8A28A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锰Mn</w:t>
                  </w:r>
                </w:p>
              </w:tc>
              <w:tc>
                <w:tcPr>
                  <w:tcW w:w="770" w:type="dxa"/>
                  <w:tcBorders>
                    <w:tl2br w:val="nil"/>
                    <w:tr2bl w:val="nil"/>
                  </w:tcBorders>
                  <w:vAlign w:val="center"/>
                </w:tcPr>
                <w:p w14:paraId="5E40C441">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钴Co</w:t>
                  </w:r>
                </w:p>
              </w:tc>
              <w:tc>
                <w:tcPr>
                  <w:tcW w:w="898" w:type="dxa"/>
                  <w:tcBorders>
                    <w:tl2br w:val="nil"/>
                    <w:tr2bl w:val="nil"/>
                  </w:tcBorders>
                  <w:vAlign w:val="center"/>
                </w:tcPr>
                <w:p w14:paraId="20A23055">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镍Ni</w:t>
                  </w:r>
                </w:p>
              </w:tc>
              <w:tc>
                <w:tcPr>
                  <w:tcW w:w="897" w:type="dxa"/>
                  <w:tcBorders>
                    <w:tl2br w:val="nil"/>
                    <w:tr2bl w:val="nil"/>
                  </w:tcBorders>
                  <w:vAlign w:val="center"/>
                </w:tcPr>
                <w:p w14:paraId="6C0A36E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铜Cu</w:t>
                  </w:r>
                </w:p>
              </w:tc>
              <w:tc>
                <w:tcPr>
                  <w:tcW w:w="896" w:type="dxa"/>
                  <w:tcBorders>
                    <w:tl2br w:val="nil"/>
                    <w:tr2bl w:val="nil"/>
                  </w:tcBorders>
                  <w:vAlign w:val="center"/>
                </w:tcPr>
                <w:p w14:paraId="6F79845E">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锌Zn</w:t>
                  </w:r>
                </w:p>
              </w:tc>
              <w:tc>
                <w:tcPr>
                  <w:tcW w:w="897" w:type="dxa"/>
                  <w:tcBorders>
                    <w:tl2br w:val="nil"/>
                    <w:tr2bl w:val="nil"/>
                  </w:tcBorders>
                  <w:vAlign w:val="center"/>
                </w:tcPr>
                <w:p w14:paraId="1F2DE132">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砷As</w:t>
                  </w:r>
                </w:p>
              </w:tc>
              <w:tc>
                <w:tcPr>
                  <w:tcW w:w="680" w:type="dxa"/>
                  <w:tcBorders>
                    <w:tl2br w:val="nil"/>
                    <w:tr2bl w:val="nil"/>
                  </w:tcBorders>
                  <w:vAlign w:val="center"/>
                </w:tcPr>
                <w:p w14:paraId="6A8D054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钼</w:t>
                  </w:r>
                  <w:r>
                    <w:rPr>
                      <w:rFonts w:hint="eastAsia" w:cs="Times New Roman"/>
                      <w:b/>
                      <w:bCs/>
                      <w:color w:val="auto"/>
                      <w:lang w:val="en-US" w:eastAsia="zh-CN"/>
                    </w:rPr>
                    <w:t>Mo</w:t>
                  </w:r>
                </w:p>
              </w:tc>
              <w:tc>
                <w:tcPr>
                  <w:tcW w:w="770" w:type="dxa"/>
                  <w:tcBorders>
                    <w:tl2br w:val="nil"/>
                    <w:tr2bl w:val="nil"/>
                  </w:tcBorders>
                  <w:vAlign w:val="center"/>
                </w:tcPr>
                <w:p w14:paraId="75175D9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镉Cd</w:t>
                  </w:r>
                </w:p>
              </w:tc>
              <w:tc>
                <w:tcPr>
                  <w:tcW w:w="784" w:type="dxa"/>
                  <w:tcBorders>
                    <w:tl2br w:val="nil"/>
                    <w:tr2bl w:val="nil"/>
                  </w:tcBorders>
                  <w:vAlign w:val="center"/>
                </w:tcPr>
                <w:p w14:paraId="3DDC83D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锡Sn</w:t>
                  </w:r>
                </w:p>
              </w:tc>
              <w:tc>
                <w:tcPr>
                  <w:tcW w:w="772" w:type="dxa"/>
                  <w:tcBorders>
                    <w:tl2br w:val="nil"/>
                    <w:tr2bl w:val="nil"/>
                  </w:tcBorders>
                  <w:vAlign w:val="center"/>
                </w:tcPr>
                <w:p w14:paraId="53F535E3">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锑Sb</w:t>
                  </w:r>
                </w:p>
              </w:tc>
              <w:tc>
                <w:tcPr>
                  <w:tcW w:w="690" w:type="dxa"/>
                  <w:tcBorders>
                    <w:tl2br w:val="nil"/>
                    <w:tr2bl w:val="nil"/>
                  </w:tcBorders>
                  <w:vAlign w:val="center"/>
                </w:tcPr>
                <w:p w14:paraId="2E6C1FF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汞Hg</w:t>
                  </w:r>
                </w:p>
              </w:tc>
            </w:tr>
            <w:tr w14:paraId="35951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1D655876">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炉渣</w:t>
                  </w:r>
                </w:p>
              </w:tc>
              <w:tc>
                <w:tcPr>
                  <w:tcW w:w="764" w:type="dxa"/>
                  <w:tcBorders>
                    <w:tl2br w:val="nil"/>
                    <w:tr2bl w:val="nil"/>
                  </w:tcBorders>
                  <w:shd w:val="clear" w:color="auto" w:fill="auto"/>
                  <w:vAlign w:val="center"/>
                </w:tcPr>
                <w:p w14:paraId="606F367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9F3879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0242E1B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84.655</w:t>
                  </w:r>
                </w:p>
              </w:tc>
              <w:tc>
                <w:tcPr>
                  <w:tcW w:w="839" w:type="dxa"/>
                  <w:tcBorders>
                    <w:tl2br w:val="nil"/>
                    <w:tr2bl w:val="nil"/>
                  </w:tcBorders>
                  <w:shd w:val="clear" w:color="auto" w:fill="auto"/>
                  <w:vAlign w:val="center"/>
                </w:tcPr>
                <w:p w14:paraId="48D6EF0D">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150.652</w:t>
                  </w:r>
                </w:p>
              </w:tc>
              <w:tc>
                <w:tcPr>
                  <w:tcW w:w="770" w:type="dxa"/>
                  <w:tcBorders>
                    <w:tl2br w:val="nil"/>
                    <w:tr2bl w:val="nil"/>
                  </w:tcBorders>
                  <w:shd w:val="clear" w:color="auto" w:fill="auto"/>
                  <w:vAlign w:val="center"/>
                </w:tcPr>
                <w:p w14:paraId="281B0EAC">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361CCF59">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37.451</w:t>
                  </w:r>
                </w:p>
              </w:tc>
              <w:tc>
                <w:tcPr>
                  <w:tcW w:w="897" w:type="dxa"/>
                  <w:tcBorders>
                    <w:tl2br w:val="nil"/>
                    <w:tr2bl w:val="nil"/>
                  </w:tcBorders>
                  <w:shd w:val="clear" w:color="auto" w:fill="auto"/>
                  <w:vAlign w:val="center"/>
                </w:tcPr>
                <w:p w14:paraId="4317E5B7">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45.230</w:t>
                  </w:r>
                </w:p>
              </w:tc>
              <w:tc>
                <w:tcPr>
                  <w:tcW w:w="896" w:type="dxa"/>
                  <w:tcBorders>
                    <w:tl2br w:val="nil"/>
                    <w:tr2bl w:val="nil"/>
                  </w:tcBorders>
                  <w:shd w:val="clear" w:color="auto" w:fill="auto"/>
                  <w:vAlign w:val="center"/>
                </w:tcPr>
                <w:p w14:paraId="0FDC043C">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91.564</w:t>
                  </w:r>
                </w:p>
              </w:tc>
              <w:tc>
                <w:tcPr>
                  <w:tcW w:w="897" w:type="dxa"/>
                  <w:tcBorders>
                    <w:tl2br w:val="nil"/>
                    <w:tr2bl w:val="nil"/>
                  </w:tcBorders>
                  <w:shd w:val="clear" w:color="auto" w:fill="auto"/>
                  <w:vAlign w:val="center"/>
                </w:tcPr>
                <w:p w14:paraId="3F40070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0.165</w:t>
                  </w:r>
                </w:p>
              </w:tc>
              <w:tc>
                <w:tcPr>
                  <w:tcW w:w="680" w:type="dxa"/>
                  <w:tcBorders>
                    <w:tl2br w:val="nil"/>
                    <w:tr2bl w:val="nil"/>
                  </w:tcBorders>
                  <w:shd w:val="clear" w:color="auto" w:fill="auto"/>
                  <w:vAlign w:val="center"/>
                </w:tcPr>
                <w:p w14:paraId="4241A48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5B8986D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0.046</w:t>
                  </w:r>
                </w:p>
              </w:tc>
              <w:tc>
                <w:tcPr>
                  <w:tcW w:w="784" w:type="dxa"/>
                  <w:tcBorders>
                    <w:tl2br w:val="nil"/>
                    <w:tr2bl w:val="nil"/>
                  </w:tcBorders>
                  <w:shd w:val="clear" w:color="auto" w:fill="auto"/>
                  <w:vAlign w:val="center"/>
                </w:tcPr>
                <w:p w14:paraId="7D7AF5C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40854CB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61F7A9DA">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56DE59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126EB7B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铁矿选矿粉末</w:t>
                  </w:r>
                </w:p>
              </w:tc>
              <w:tc>
                <w:tcPr>
                  <w:tcW w:w="764" w:type="dxa"/>
                  <w:tcBorders>
                    <w:tl2br w:val="nil"/>
                    <w:tr2bl w:val="nil"/>
                  </w:tcBorders>
                  <w:shd w:val="clear" w:color="auto" w:fill="auto"/>
                  <w:vAlign w:val="center"/>
                </w:tcPr>
                <w:p w14:paraId="767E7F1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791E46D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4D3EEA8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46.568</w:t>
                  </w:r>
                </w:p>
              </w:tc>
              <w:tc>
                <w:tcPr>
                  <w:tcW w:w="839" w:type="dxa"/>
                  <w:tcBorders>
                    <w:tl2br w:val="nil"/>
                    <w:tr2bl w:val="nil"/>
                  </w:tcBorders>
                  <w:shd w:val="clear" w:color="auto" w:fill="auto"/>
                  <w:vAlign w:val="center"/>
                </w:tcPr>
                <w:p w14:paraId="1BE8CBB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289.434</w:t>
                  </w:r>
                </w:p>
              </w:tc>
              <w:tc>
                <w:tcPr>
                  <w:tcW w:w="770" w:type="dxa"/>
                  <w:tcBorders>
                    <w:tl2br w:val="nil"/>
                    <w:tr2bl w:val="nil"/>
                  </w:tcBorders>
                  <w:shd w:val="clear" w:color="auto" w:fill="auto"/>
                  <w:vAlign w:val="center"/>
                </w:tcPr>
                <w:p w14:paraId="7B2363B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30049EB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13.896</w:t>
                  </w:r>
                </w:p>
              </w:tc>
              <w:tc>
                <w:tcPr>
                  <w:tcW w:w="897" w:type="dxa"/>
                  <w:tcBorders>
                    <w:tl2br w:val="nil"/>
                    <w:tr2bl w:val="nil"/>
                  </w:tcBorders>
                  <w:shd w:val="clear" w:color="auto" w:fill="auto"/>
                  <w:vAlign w:val="center"/>
                </w:tcPr>
                <w:p w14:paraId="353F3F1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11.562</w:t>
                  </w:r>
                </w:p>
              </w:tc>
              <w:tc>
                <w:tcPr>
                  <w:tcW w:w="896" w:type="dxa"/>
                  <w:tcBorders>
                    <w:tl2br w:val="nil"/>
                    <w:tr2bl w:val="nil"/>
                  </w:tcBorders>
                  <w:shd w:val="clear" w:color="auto" w:fill="auto"/>
                  <w:vAlign w:val="center"/>
                </w:tcPr>
                <w:p w14:paraId="32E04C3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56.234</w:t>
                  </w:r>
                </w:p>
              </w:tc>
              <w:tc>
                <w:tcPr>
                  <w:tcW w:w="897" w:type="dxa"/>
                  <w:tcBorders>
                    <w:tl2br w:val="nil"/>
                    <w:tr2bl w:val="nil"/>
                  </w:tcBorders>
                  <w:shd w:val="clear" w:color="auto" w:fill="auto"/>
                  <w:vAlign w:val="center"/>
                </w:tcPr>
                <w:p w14:paraId="77727E1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0.203</w:t>
                  </w:r>
                </w:p>
              </w:tc>
              <w:tc>
                <w:tcPr>
                  <w:tcW w:w="680" w:type="dxa"/>
                  <w:tcBorders>
                    <w:tl2br w:val="nil"/>
                    <w:tr2bl w:val="nil"/>
                  </w:tcBorders>
                  <w:shd w:val="clear" w:color="auto" w:fill="auto"/>
                  <w:vAlign w:val="center"/>
                </w:tcPr>
                <w:p w14:paraId="2BDEB96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224AA7C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0.301</w:t>
                  </w:r>
                </w:p>
              </w:tc>
              <w:tc>
                <w:tcPr>
                  <w:tcW w:w="784" w:type="dxa"/>
                  <w:tcBorders>
                    <w:tl2br w:val="nil"/>
                    <w:tr2bl w:val="nil"/>
                  </w:tcBorders>
                  <w:shd w:val="clear" w:color="auto" w:fill="auto"/>
                  <w:vAlign w:val="center"/>
                </w:tcPr>
                <w:p w14:paraId="10E229E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15EE344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76E6274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528D98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00E1683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尾矿渣</w:t>
                  </w:r>
                </w:p>
              </w:tc>
              <w:tc>
                <w:tcPr>
                  <w:tcW w:w="764" w:type="dxa"/>
                  <w:tcBorders>
                    <w:tl2br w:val="nil"/>
                    <w:tr2bl w:val="nil"/>
                  </w:tcBorders>
                  <w:shd w:val="clear" w:color="auto" w:fill="auto"/>
                  <w:vAlign w:val="center"/>
                </w:tcPr>
                <w:p w14:paraId="2310AED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1C104A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939651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93.562</w:t>
                  </w:r>
                </w:p>
              </w:tc>
              <w:tc>
                <w:tcPr>
                  <w:tcW w:w="839" w:type="dxa"/>
                  <w:tcBorders>
                    <w:tl2br w:val="nil"/>
                    <w:tr2bl w:val="nil"/>
                  </w:tcBorders>
                  <w:shd w:val="clear" w:color="auto" w:fill="auto"/>
                  <w:vAlign w:val="center"/>
                </w:tcPr>
                <w:p w14:paraId="522D5F3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168.412</w:t>
                  </w:r>
                </w:p>
              </w:tc>
              <w:tc>
                <w:tcPr>
                  <w:tcW w:w="770" w:type="dxa"/>
                  <w:tcBorders>
                    <w:tl2br w:val="nil"/>
                    <w:tr2bl w:val="nil"/>
                  </w:tcBorders>
                  <w:shd w:val="clear" w:color="auto" w:fill="auto"/>
                  <w:vAlign w:val="center"/>
                </w:tcPr>
                <w:p w14:paraId="1420ABB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0CFCF3D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98.951</w:t>
                  </w:r>
                </w:p>
              </w:tc>
              <w:tc>
                <w:tcPr>
                  <w:tcW w:w="897" w:type="dxa"/>
                  <w:tcBorders>
                    <w:tl2br w:val="nil"/>
                    <w:tr2bl w:val="nil"/>
                  </w:tcBorders>
                  <w:shd w:val="clear" w:color="auto" w:fill="auto"/>
                  <w:vAlign w:val="center"/>
                </w:tcPr>
                <w:p w14:paraId="5BD052E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468.461</w:t>
                  </w:r>
                </w:p>
              </w:tc>
              <w:tc>
                <w:tcPr>
                  <w:tcW w:w="896" w:type="dxa"/>
                  <w:tcBorders>
                    <w:tl2br w:val="nil"/>
                    <w:tr2bl w:val="nil"/>
                  </w:tcBorders>
                  <w:shd w:val="clear" w:color="auto" w:fill="auto"/>
                  <w:vAlign w:val="center"/>
                </w:tcPr>
                <w:p w14:paraId="1B8BDB1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269.562</w:t>
                  </w:r>
                </w:p>
              </w:tc>
              <w:tc>
                <w:tcPr>
                  <w:tcW w:w="897" w:type="dxa"/>
                  <w:tcBorders>
                    <w:tl2br w:val="nil"/>
                    <w:tr2bl w:val="nil"/>
                  </w:tcBorders>
                  <w:shd w:val="clear" w:color="auto" w:fill="auto"/>
                  <w:vAlign w:val="center"/>
                </w:tcPr>
                <w:p w14:paraId="0DEC5DF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3.586</w:t>
                  </w:r>
                </w:p>
              </w:tc>
              <w:tc>
                <w:tcPr>
                  <w:tcW w:w="680" w:type="dxa"/>
                  <w:tcBorders>
                    <w:tl2br w:val="nil"/>
                    <w:tr2bl w:val="nil"/>
                  </w:tcBorders>
                  <w:shd w:val="clear" w:color="auto" w:fill="auto"/>
                  <w:vAlign w:val="center"/>
                </w:tcPr>
                <w:p w14:paraId="7C056E5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1ECF104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4.256</w:t>
                  </w:r>
                </w:p>
              </w:tc>
              <w:tc>
                <w:tcPr>
                  <w:tcW w:w="784" w:type="dxa"/>
                  <w:tcBorders>
                    <w:tl2br w:val="nil"/>
                    <w:tr2bl w:val="nil"/>
                  </w:tcBorders>
                  <w:shd w:val="clear" w:color="auto" w:fill="auto"/>
                  <w:vAlign w:val="center"/>
                </w:tcPr>
                <w:p w14:paraId="787134A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6AA6EE7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3610DC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07A104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687B003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铁合金炉渣</w:t>
                  </w:r>
                </w:p>
              </w:tc>
              <w:tc>
                <w:tcPr>
                  <w:tcW w:w="764" w:type="dxa"/>
                  <w:tcBorders>
                    <w:tl2br w:val="nil"/>
                    <w:tr2bl w:val="nil"/>
                  </w:tcBorders>
                  <w:shd w:val="clear" w:color="auto" w:fill="auto"/>
                  <w:vAlign w:val="center"/>
                </w:tcPr>
                <w:p w14:paraId="60998C8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16.891</w:t>
                  </w:r>
                </w:p>
              </w:tc>
              <w:tc>
                <w:tcPr>
                  <w:tcW w:w="891" w:type="dxa"/>
                  <w:tcBorders>
                    <w:tl2br w:val="nil"/>
                    <w:tr2bl w:val="nil"/>
                  </w:tcBorders>
                  <w:shd w:val="clear" w:color="auto" w:fill="auto"/>
                  <w:vAlign w:val="center"/>
                </w:tcPr>
                <w:p w14:paraId="19CD242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4.914</w:t>
                  </w:r>
                </w:p>
              </w:tc>
              <w:tc>
                <w:tcPr>
                  <w:tcW w:w="891" w:type="dxa"/>
                  <w:tcBorders>
                    <w:tl2br w:val="nil"/>
                    <w:tr2bl w:val="nil"/>
                  </w:tcBorders>
                  <w:shd w:val="clear" w:color="auto" w:fill="auto"/>
                  <w:vAlign w:val="center"/>
                </w:tcPr>
                <w:p w14:paraId="2FB4C2D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99.153</w:t>
                  </w:r>
                </w:p>
              </w:tc>
              <w:tc>
                <w:tcPr>
                  <w:tcW w:w="839" w:type="dxa"/>
                  <w:tcBorders>
                    <w:tl2br w:val="nil"/>
                    <w:tr2bl w:val="nil"/>
                  </w:tcBorders>
                  <w:shd w:val="clear" w:color="auto" w:fill="auto"/>
                  <w:vAlign w:val="center"/>
                </w:tcPr>
                <w:p w14:paraId="6174979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311.122</w:t>
                  </w:r>
                </w:p>
              </w:tc>
              <w:tc>
                <w:tcPr>
                  <w:tcW w:w="770" w:type="dxa"/>
                  <w:tcBorders>
                    <w:tl2br w:val="nil"/>
                    <w:tr2bl w:val="nil"/>
                  </w:tcBorders>
                  <w:shd w:val="clear" w:color="auto" w:fill="auto"/>
                  <w:vAlign w:val="center"/>
                </w:tcPr>
                <w:p w14:paraId="20C4A76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66FC8A9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tcBorders>
                    <w:tl2br w:val="nil"/>
                    <w:tr2bl w:val="nil"/>
                  </w:tcBorders>
                  <w:shd w:val="clear" w:color="auto" w:fill="auto"/>
                  <w:vAlign w:val="center"/>
                </w:tcPr>
                <w:p w14:paraId="3F5C467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74.268</w:t>
                  </w:r>
                </w:p>
              </w:tc>
              <w:tc>
                <w:tcPr>
                  <w:tcW w:w="896" w:type="dxa"/>
                  <w:tcBorders>
                    <w:tl2br w:val="nil"/>
                    <w:tr2bl w:val="nil"/>
                  </w:tcBorders>
                  <w:shd w:val="clear" w:color="auto" w:fill="auto"/>
                  <w:vAlign w:val="center"/>
                </w:tcPr>
                <w:p w14:paraId="5E6CA34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630.152</w:t>
                  </w:r>
                </w:p>
              </w:tc>
              <w:tc>
                <w:tcPr>
                  <w:tcW w:w="897" w:type="dxa"/>
                  <w:tcBorders>
                    <w:tl2br w:val="nil"/>
                    <w:tr2bl w:val="nil"/>
                  </w:tcBorders>
                  <w:shd w:val="clear" w:color="auto" w:fill="auto"/>
                  <w:vAlign w:val="center"/>
                </w:tcPr>
                <w:p w14:paraId="2536E69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5.214</w:t>
                  </w:r>
                </w:p>
              </w:tc>
              <w:tc>
                <w:tcPr>
                  <w:tcW w:w="680" w:type="dxa"/>
                  <w:tcBorders>
                    <w:tl2br w:val="nil"/>
                    <w:tr2bl w:val="nil"/>
                  </w:tcBorders>
                  <w:shd w:val="clear" w:color="auto" w:fill="auto"/>
                  <w:vAlign w:val="center"/>
                </w:tcPr>
                <w:p w14:paraId="365E087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4A2C391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3.242</w:t>
                  </w:r>
                </w:p>
              </w:tc>
              <w:tc>
                <w:tcPr>
                  <w:tcW w:w="784" w:type="dxa"/>
                  <w:tcBorders>
                    <w:tl2br w:val="nil"/>
                    <w:tr2bl w:val="nil"/>
                  </w:tcBorders>
                  <w:shd w:val="clear" w:color="auto" w:fill="auto"/>
                  <w:vAlign w:val="center"/>
                </w:tcPr>
                <w:p w14:paraId="39D7F91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49D5A17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3.76</w:t>
                  </w:r>
                </w:p>
              </w:tc>
              <w:tc>
                <w:tcPr>
                  <w:tcW w:w="690" w:type="dxa"/>
                  <w:tcBorders>
                    <w:tl2br w:val="nil"/>
                    <w:tr2bl w:val="nil"/>
                  </w:tcBorders>
                  <w:shd w:val="clear" w:color="auto" w:fill="auto"/>
                  <w:vAlign w:val="center"/>
                </w:tcPr>
                <w:p w14:paraId="4FF7187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2AD67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15CD3B4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石英砂选矿</w:t>
                  </w:r>
                  <w:r>
                    <w:rPr>
                      <w:rFonts w:hint="eastAsia" w:cs="Times New Roman"/>
                      <w:color w:val="auto"/>
                      <w:lang w:val="en-US" w:eastAsia="zh-CN"/>
                    </w:rPr>
                    <w:t>污泥</w:t>
                  </w:r>
                </w:p>
              </w:tc>
              <w:tc>
                <w:tcPr>
                  <w:tcW w:w="764" w:type="dxa"/>
                  <w:tcBorders>
                    <w:tl2br w:val="nil"/>
                    <w:tr2bl w:val="nil"/>
                  </w:tcBorders>
                  <w:shd w:val="clear" w:color="auto" w:fill="auto"/>
                  <w:vAlign w:val="center"/>
                </w:tcPr>
                <w:p w14:paraId="53D15EA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0.11</w:t>
                  </w:r>
                </w:p>
              </w:tc>
              <w:tc>
                <w:tcPr>
                  <w:tcW w:w="891" w:type="dxa"/>
                  <w:tcBorders>
                    <w:tl2br w:val="nil"/>
                    <w:tr2bl w:val="nil"/>
                  </w:tcBorders>
                  <w:shd w:val="clear" w:color="auto" w:fill="auto"/>
                  <w:vAlign w:val="center"/>
                </w:tcPr>
                <w:p w14:paraId="1256F6C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w:t>
                  </w:r>
                </w:p>
              </w:tc>
              <w:tc>
                <w:tcPr>
                  <w:tcW w:w="891" w:type="dxa"/>
                  <w:tcBorders>
                    <w:tl2br w:val="nil"/>
                    <w:tr2bl w:val="nil"/>
                  </w:tcBorders>
                  <w:shd w:val="clear" w:color="auto" w:fill="auto"/>
                  <w:vAlign w:val="center"/>
                </w:tcPr>
                <w:p w14:paraId="2092A6C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16.0</w:t>
                  </w:r>
                </w:p>
              </w:tc>
              <w:tc>
                <w:tcPr>
                  <w:tcW w:w="839" w:type="dxa"/>
                  <w:tcBorders>
                    <w:tl2br w:val="nil"/>
                    <w:tr2bl w:val="nil"/>
                  </w:tcBorders>
                  <w:shd w:val="clear" w:color="auto" w:fill="auto"/>
                  <w:vAlign w:val="center"/>
                </w:tcPr>
                <w:p w14:paraId="1CECD39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182.0</w:t>
                  </w:r>
                </w:p>
              </w:tc>
              <w:tc>
                <w:tcPr>
                  <w:tcW w:w="770" w:type="dxa"/>
                  <w:tcBorders>
                    <w:tl2br w:val="nil"/>
                    <w:tr2bl w:val="nil"/>
                  </w:tcBorders>
                  <w:shd w:val="clear" w:color="auto" w:fill="auto"/>
                  <w:vAlign w:val="center"/>
                </w:tcPr>
                <w:p w14:paraId="6ED532C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w:t>
                  </w:r>
                </w:p>
              </w:tc>
              <w:tc>
                <w:tcPr>
                  <w:tcW w:w="898" w:type="dxa"/>
                  <w:tcBorders>
                    <w:tl2br w:val="nil"/>
                    <w:tr2bl w:val="nil"/>
                  </w:tcBorders>
                  <w:shd w:val="clear" w:color="auto" w:fill="auto"/>
                  <w:vAlign w:val="center"/>
                </w:tcPr>
                <w:p w14:paraId="33B635D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7.0</w:t>
                  </w:r>
                </w:p>
              </w:tc>
              <w:tc>
                <w:tcPr>
                  <w:tcW w:w="897" w:type="dxa"/>
                  <w:tcBorders>
                    <w:tl2br w:val="nil"/>
                    <w:tr2bl w:val="nil"/>
                  </w:tcBorders>
                  <w:shd w:val="clear" w:color="auto" w:fill="auto"/>
                  <w:vAlign w:val="center"/>
                </w:tcPr>
                <w:p w14:paraId="392ADF0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w:t>
                  </w:r>
                </w:p>
              </w:tc>
              <w:tc>
                <w:tcPr>
                  <w:tcW w:w="896" w:type="dxa"/>
                  <w:tcBorders>
                    <w:tl2br w:val="nil"/>
                    <w:tr2bl w:val="nil"/>
                  </w:tcBorders>
                  <w:shd w:val="clear" w:color="auto" w:fill="auto"/>
                  <w:vAlign w:val="center"/>
                </w:tcPr>
                <w:p w14:paraId="629A5F3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tcBorders>
                    <w:tl2br w:val="nil"/>
                    <w:tr2bl w:val="nil"/>
                  </w:tcBorders>
                  <w:shd w:val="clear" w:color="auto" w:fill="auto"/>
                  <w:vAlign w:val="center"/>
                </w:tcPr>
                <w:p w14:paraId="4E999FC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w:t>
                  </w:r>
                </w:p>
              </w:tc>
              <w:tc>
                <w:tcPr>
                  <w:tcW w:w="680" w:type="dxa"/>
                  <w:tcBorders>
                    <w:tl2br w:val="nil"/>
                    <w:tr2bl w:val="nil"/>
                  </w:tcBorders>
                  <w:shd w:val="clear" w:color="auto" w:fill="auto"/>
                  <w:vAlign w:val="center"/>
                </w:tcPr>
                <w:p w14:paraId="1907A78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3F589A52">
                  <w:pPr>
                    <w:pStyle w:val="43"/>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0.3</w:t>
                  </w:r>
                </w:p>
              </w:tc>
              <w:tc>
                <w:tcPr>
                  <w:tcW w:w="784" w:type="dxa"/>
                  <w:tcBorders>
                    <w:tl2br w:val="nil"/>
                    <w:tr2bl w:val="nil"/>
                  </w:tcBorders>
                  <w:shd w:val="clear" w:color="auto" w:fill="auto"/>
                  <w:vAlign w:val="center"/>
                </w:tcPr>
                <w:p w14:paraId="6AADB24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1E846595">
                  <w:pPr>
                    <w:pStyle w:val="43"/>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1.6</w:t>
                  </w:r>
                </w:p>
              </w:tc>
              <w:tc>
                <w:tcPr>
                  <w:tcW w:w="690" w:type="dxa"/>
                  <w:tcBorders>
                    <w:tl2br w:val="nil"/>
                    <w:tr2bl w:val="nil"/>
                  </w:tcBorders>
                  <w:shd w:val="clear" w:color="auto" w:fill="auto"/>
                  <w:vAlign w:val="center"/>
                </w:tcPr>
                <w:p w14:paraId="66CC26E7">
                  <w:pPr>
                    <w:pStyle w:val="43"/>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0.019</w:t>
                  </w:r>
                </w:p>
              </w:tc>
            </w:tr>
            <w:tr w14:paraId="096973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62D5168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煤矸石</w:t>
                  </w:r>
                </w:p>
              </w:tc>
              <w:tc>
                <w:tcPr>
                  <w:tcW w:w="764" w:type="dxa"/>
                  <w:tcBorders>
                    <w:tl2br w:val="nil"/>
                    <w:tr2bl w:val="nil"/>
                  </w:tcBorders>
                  <w:shd w:val="clear" w:color="auto" w:fill="auto"/>
                  <w:vAlign w:val="center"/>
                </w:tcPr>
                <w:p w14:paraId="010FAD4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01209E67">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1BFD39AC">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87.461</w:t>
                  </w:r>
                </w:p>
              </w:tc>
              <w:tc>
                <w:tcPr>
                  <w:tcW w:w="839" w:type="dxa"/>
                  <w:tcBorders>
                    <w:tl2br w:val="nil"/>
                    <w:tr2bl w:val="nil"/>
                  </w:tcBorders>
                  <w:shd w:val="clear" w:color="auto" w:fill="auto"/>
                  <w:vAlign w:val="center"/>
                </w:tcPr>
                <w:p w14:paraId="7D614D7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99.465</w:t>
                  </w:r>
                </w:p>
              </w:tc>
              <w:tc>
                <w:tcPr>
                  <w:tcW w:w="770" w:type="dxa"/>
                  <w:tcBorders>
                    <w:tl2br w:val="nil"/>
                    <w:tr2bl w:val="nil"/>
                  </w:tcBorders>
                  <w:shd w:val="clear" w:color="auto" w:fill="auto"/>
                  <w:vAlign w:val="center"/>
                </w:tcPr>
                <w:p w14:paraId="034F90DF">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260E9C1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20.563</w:t>
                  </w:r>
                </w:p>
              </w:tc>
              <w:tc>
                <w:tcPr>
                  <w:tcW w:w="897" w:type="dxa"/>
                  <w:tcBorders>
                    <w:tl2br w:val="nil"/>
                    <w:tr2bl w:val="nil"/>
                  </w:tcBorders>
                  <w:shd w:val="clear" w:color="auto" w:fill="auto"/>
                  <w:vAlign w:val="center"/>
                </w:tcPr>
                <w:p w14:paraId="73137A2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19.564</w:t>
                  </w:r>
                </w:p>
              </w:tc>
              <w:tc>
                <w:tcPr>
                  <w:tcW w:w="896" w:type="dxa"/>
                  <w:tcBorders>
                    <w:tl2br w:val="nil"/>
                    <w:tr2bl w:val="nil"/>
                  </w:tcBorders>
                  <w:shd w:val="clear" w:color="auto" w:fill="auto"/>
                  <w:vAlign w:val="center"/>
                </w:tcPr>
                <w:p w14:paraId="7BD1DA02">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154.530</w:t>
                  </w:r>
                </w:p>
              </w:tc>
              <w:tc>
                <w:tcPr>
                  <w:tcW w:w="897" w:type="dxa"/>
                  <w:tcBorders>
                    <w:tl2br w:val="nil"/>
                    <w:tr2bl w:val="nil"/>
                  </w:tcBorders>
                  <w:shd w:val="clear" w:color="auto" w:fill="auto"/>
                  <w:vAlign w:val="center"/>
                </w:tcPr>
                <w:p w14:paraId="2F335063">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0.523</w:t>
                  </w:r>
                </w:p>
              </w:tc>
              <w:tc>
                <w:tcPr>
                  <w:tcW w:w="680" w:type="dxa"/>
                  <w:tcBorders>
                    <w:tl2br w:val="nil"/>
                    <w:tr2bl w:val="nil"/>
                  </w:tcBorders>
                  <w:shd w:val="clear" w:color="auto" w:fill="auto"/>
                  <w:vAlign w:val="center"/>
                </w:tcPr>
                <w:p w14:paraId="14F331D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4A76F74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0.235</w:t>
                  </w:r>
                </w:p>
              </w:tc>
              <w:tc>
                <w:tcPr>
                  <w:tcW w:w="784" w:type="dxa"/>
                  <w:tcBorders>
                    <w:tl2br w:val="nil"/>
                    <w:tr2bl w:val="nil"/>
                  </w:tcBorders>
                  <w:shd w:val="clear" w:color="auto" w:fill="auto"/>
                  <w:vAlign w:val="center"/>
                </w:tcPr>
                <w:p w14:paraId="34C9704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7D13A89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B73BF6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53F070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7E774EF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萤石选矿尾渣</w:t>
                  </w:r>
                </w:p>
              </w:tc>
              <w:tc>
                <w:tcPr>
                  <w:tcW w:w="764" w:type="dxa"/>
                  <w:tcBorders>
                    <w:tl2br w:val="nil"/>
                    <w:tr2bl w:val="nil"/>
                  </w:tcBorders>
                  <w:shd w:val="clear" w:color="auto" w:fill="auto"/>
                  <w:vAlign w:val="center"/>
                </w:tcPr>
                <w:p w14:paraId="5CD5A67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28E0ECD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19F0A96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90.781</w:t>
                  </w:r>
                </w:p>
              </w:tc>
              <w:tc>
                <w:tcPr>
                  <w:tcW w:w="839" w:type="dxa"/>
                  <w:tcBorders>
                    <w:tl2br w:val="nil"/>
                    <w:tr2bl w:val="nil"/>
                  </w:tcBorders>
                  <w:shd w:val="clear" w:color="auto" w:fill="auto"/>
                  <w:vAlign w:val="center"/>
                </w:tcPr>
                <w:p w14:paraId="7A47E20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556.232</w:t>
                  </w:r>
                </w:p>
              </w:tc>
              <w:tc>
                <w:tcPr>
                  <w:tcW w:w="770" w:type="dxa"/>
                  <w:tcBorders>
                    <w:tl2br w:val="nil"/>
                    <w:tr2bl w:val="nil"/>
                  </w:tcBorders>
                  <w:shd w:val="clear" w:color="auto" w:fill="auto"/>
                  <w:vAlign w:val="center"/>
                </w:tcPr>
                <w:p w14:paraId="4BD2B95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4CE9115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154.562</w:t>
                  </w:r>
                </w:p>
              </w:tc>
              <w:tc>
                <w:tcPr>
                  <w:tcW w:w="897" w:type="dxa"/>
                  <w:tcBorders>
                    <w:tl2br w:val="nil"/>
                    <w:tr2bl w:val="nil"/>
                  </w:tcBorders>
                  <w:shd w:val="clear" w:color="auto" w:fill="auto"/>
                  <w:vAlign w:val="center"/>
                </w:tcPr>
                <w:p w14:paraId="11AF605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263.456</w:t>
                  </w:r>
                </w:p>
              </w:tc>
              <w:tc>
                <w:tcPr>
                  <w:tcW w:w="896" w:type="dxa"/>
                  <w:tcBorders>
                    <w:tl2br w:val="nil"/>
                    <w:tr2bl w:val="nil"/>
                  </w:tcBorders>
                  <w:shd w:val="clear" w:color="auto" w:fill="auto"/>
                  <w:vAlign w:val="center"/>
                </w:tcPr>
                <w:p w14:paraId="35C1EF0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379.561</w:t>
                  </w:r>
                </w:p>
              </w:tc>
              <w:tc>
                <w:tcPr>
                  <w:tcW w:w="897" w:type="dxa"/>
                  <w:tcBorders>
                    <w:tl2br w:val="nil"/>
                    <w:tr2bl w:val="nil"/>
                  </w:tcBorders>
                  <w:shd w:val="clear" w:color="auto" w:fill="auto"/>
                  <w:vAlign w:val="center"/>
                </w:tcPr>
                <w:p w14:paraId="5E5F501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2.063</w:t>
                  </w:r>
                </w:p>
              </w:tc>
              <w:tc>
                <w:tcPr>
                  <w:tcW w:w="680" w:type="dxa"/>
                  <w:tcBorders>
                    <w:tl2br w:val="nil"/>
                    <w:tr2bl w:val="nil"/>
                  </w:tcBorders>
                  <w:shd w:val="clear" w:color="auto" w:fill="auto"/>
                  <w:vAlign w:val="center"/>
                </w:tcPr>
                <w:p w14:paraId="644F26C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59BBC07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5.879</w:t>
                  </w:r>
                </w:p>
              </w:tc>
              <w:tc>
                <w:tcPr>
                  <w:tcW w:w="784" w:type="dxa"/>
                  <w:tcBorders>
                    <w:tl2br w:val="nil"/>
                    <w:tr2bl w:val="nil"/>
                  </w:tcBorders>
                  <w:shd w:val="clear" w:color="auto" w:fill="auto"/>
                  <w:vAlign w:val="center"/>
                </w:tcPr>
                <w:p w14:paraId="3AC235C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41903AF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4DA2DA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A4F3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1CE75A7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电石渣</w:t>
                  </w:r>
                </w:p>
              </w:tc>
              <w:tc>
                <w:tcPr>
                  <w:tcW w:w="764" w:type="dxa"/>
                  <w:tcBorders>
                    <w:tl2br w:val="nil"/>
                    <w:tr2bl w:val="nil"/>
                  </w:tcBorders>
                  <w:shd w:val="clear" w:color="auto" w:fill="auto"/>
                  <w:vAlign w:val="center"/>
                </w:tcPr>
                <w:p w14:paraId="4DB68AC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2213EE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6CA9F5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36.869</w:t>
                  </w:r>
                </w:p>
              </w:tc>
              <w:tc>
                <w:tcPr>
                  <w:tcW w:w="839" w:type="dxa"/>
                  <w:tcBorders>
                    <w:tl2br w:val="nil"/>
                    <w:tr2bl w:val="nil"/>
                  </w:tcBorders>
                  <w:shd w:val="clear" w:color="auto" w:fill="auto"/>
                  <w:vAlign w:val="center"/>
                </w:tcPr>
                <w:p w14:paraId="62CAE2B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250.763</w:t>
                  </w:r>
                </w:p>
              </w:tc>
              <w:tc>
                <w:tcPr>
                  <w:tcW w:w="770" w:type="dxa"/>
                  <w:tcBorders>
                    <w:tl2br w:val="nil"/>
                    <w:tr2bl w:val="nil"/>
                  </w:tcBorders>
                  <w:shd w:val="clear" w:color="auto" w:fill="auto"/>
                  <w:vAlign w:val="center"/>
                </w:tcPr>
                <w:p w14:paraId="78E0079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7059463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16.234</w:t>
                  </w:r>
                </w:p>
              </w:tc>
              <w:tc>
                <w:tcPr>
                  <w:tcW w:w="897" w:type="dxa"/>
                  <w:tcBorders>
                    <w:tl2br w:val="nil"/>
                    <w:tr2bl w:val="nil"/>
                  </w:tcBorders>
                  <w:shd w:val="clear" w:color="auto" w:fill="auto"/>
                  <w:vAlign w:val="center"/>
                </w:tcPr>
                <w:p w14:paraId="2D2F5B9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10.236</w:t>
                  </w:r>
                </w:p>
              </w:tc>
              <w:tc>
                <w:tcPr>
                  <w:tcW w:w="896" w:type="dxa"/>
                  <w:tcBorders>
                    <w:tl2br w:val="nil"/>
                    <w:tr2bl w:val="nil"/>
                  </w:tcBorders>
                  <w:shd w:val="clear" w:color="auto" w:fill="auto"/>
                  <w:vAlign w:val="center"/>
                </w:tcPr>
                <w:p w14:paraId="1CBD53F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76.315</w:t>
                  </w:r>
                </w:p>
              </w:tc>
              <w:tc>
                <w:tcPr>
                  <w:tcW w:w="897" w:type="dxa"/>
                  <w:tcBorders>
                    <w:tl2br w:val="nil"/>
                    <w:tr2bl w:val="nil"/>
                  </w:tcBorders>
                  <w:shd w:val="clear" w:color="auto" w:fill="auto"/>
                  <w:vAlign w:val="center"/>
                </w:tcPr>
                <w:p w14:paraId="512DB36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1.364</w:t>
                  </w:r>
                </w:p>
              </w:tc>
              <w:tc>
                <w:tcPr>
                  <w:tcW w:w="680" w:type="dxa"/>
                  <w:tcBorders>
                    <w:tl2br w:val="nil"/>
                    <w:tr2bl w:val="nil"/>
                  </w:tcBorders>
                  <w:shd w:val="clear" w:color="auto" w:fill="auto"/>
                  <w:vAlign w:val="center"/>
                </w:tcPr>
                <w:p w14:paraId="4C438B8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6027AC8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1.326</w:t>
                  </w:r>
                </w:p>
              </w:tc>
              <w:tc>
                <w:tcPr>
                  <w:tcW w:w="784" w:type="dxa"/>
                  <w:tcBorders>
                    <w:tl2br w:val="nil"/>
                    <w:tr2bl w:val="nil"/>
                  </w:tcBorders>
                  <w:shd w:val="clear" w:color="auto" w:fill="auto"/>
                  <w:vAlign w:val="center"/>
                </w:tcPr>
                <w:p w14:paraId="565D279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18EFFFB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44D879C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0259B8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2E3936F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造纸白泥</w:t>
                  </w:r>
                </w:p>
              </w:tc>
              <w:tc>
                <w:tcPr>
                  <w:tcW w:w="764" w:type="dxa"/>
                  <w:tcBorders>
                    <w:tl2br w:val="nil"/>
                    <w:tr2bl w:val="nil"/>
                  </w:tcBorders>
                  <w:shd w:val="clear" w:color="auto" w:fill="auto"/>
                  <w:vAlign w:val="center"/>
                </w:tcPr>
                <w:p w14:paraId="1DC78A5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B36C32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8.91</w:t>
                  </w:r>
                </w:p>
              </w:tc>
              <w:tc>
                <w:tcPr>
                  <w:tcW w:w="891" w:type="dxa"/>
                  <w:tcBorders>
                    <w:tl2br w:val="nil"/>
                    <w:tr2bl w:val="nil"/>
                  </w:tcBorders>
                  <w:shd w:val="clear" w:color="auto" w:fill="auto"/>
                  <w:vAlign w:val="center"/>
                </w:tcPr>
                <w:p w14:paraId="45142C3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5.31</w:t>
                  </w:r>
                </w:p>
              </w:tc>
              <w:tc>
                <w:tcPr>
                  <w:tcW w:w="839" w:type="dxa"/>
                  <w:tcBorders>
                    <w:tl2br w:val="nil"/>
                    <w:tr2bl w:val="nil"/>
                  </w:tcBorders>
                  <w:shd w:val="clear" w:color="auto" w:fill="auto"/>
                  <w:vAlign w:val="center"/>
                </w:tcPr>
                <w:p w14:paraId="746E283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23.80</w:t>
                  </w:r>
                </w:p>
              </w:tc>
              <w:tc>
                <w:tcPr>
                  <w:tcW w:w="770" w:type="dxa"/>
                  <w:tcBorders>
                    <w:tl2br w:val="nil"/>
                    <w:tr2bl w:val="nil"/>
                  </w:tcBorders>
                  <w:shd w:val="clear" w:color="auto" w:fill="auto"/>
                  <w:vAlign w:val="center"/>
                </w:tcPr>
                <w:p w14:paraId="726E0B3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6D57001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1.64</w:t>
                  </w:r>
                </w:p>
              </w:tc>
              <w:tc>
                <w:tcPr>
                  <w:tcW w:w="897" w:type="dxa"/>
                  <w:tcBorders>
                    <w:tl2br w:val="nil"/>
                    <w:tr2bl w:val="nil"/>
                  </w:tcBorders>
                  <w:shd w:val="clear" w:color="auto" w:fill="auto"/>
                  <w:vAlign w:val="center"/>
                </w:tcPr>
                <w:p w14:paraId="214CE2E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2.28</w:t>
                  </w:r>
                </w:p>
              </w:tc>
              <w:tc>
                <w:tcPr>
                  <w:tcW w:w="896" w:type="dxa"/>
                  <w:tcBorders>
                    <w:tl2br w:val="nil"/>
                    <w:tr2bl w:val="nil"/>
                  </w:tcBorders>
                  <w:shd w:val="clear" w:color="auto" w:fill="auto"/>
                  <w:vAlign w:val="center"/>
                </w:tcPr>
                <w:p w14:paraId="08013D4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4.70</w:t>
                  </w:r>
                </w:p>
              </w:tc>
              <w:tc>
                <w:tcPr>
                  <w:tcW w:w="897" w:type="dxa"/>
                  <w:tcBorders>
                    <w:tl2br w:val="nil"/>
                    <w:tr2bl w:val="nil"/>
                  </w:tcBorders>
                  <w:shd w:val="clear" w:color="auto" w:fill="auto"/>
                  <w:vAlign w:val="center"/>
                </w:tcPr>
                <w:p w14:paraId="35D96B5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0.25</w:t>
                  </w:r>
                </w:p>
              </w:tc>
              <w:tc>
                <w:tcPr>
                  <w:tcW w:w="680" w:type="dxa"/>
                  <w:tcBorders>
                    <w:tl2br w:val="nil"/>
                    <w:tr2bl w:val="nil"/>
                  </w:tcBorders>
                  <w:shd w:val="clear" w:color="auto" w:fill="auto"/>
                  <w:vAlign w:val="center"/>
                </w:tcPr>
                <w:p w14:paraId="4D6EB59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1.83</w:t>
                  </w:r>
                </w:p>
              </w:tc>
              <w:tc>
                <w:tcPr>
                  <w:tcW w:w="770" w:type="dxa"/>
                  <w:tcBorders>
                    <w:tl2br w:val="nil"/>
                    <w:tr2bl w:val="nil"/>
                  </w:tcBorders>
                  <w:shd w:val="clear" w:color="auto" w:fill="auto"/>
                  <w:vAlign w:val="center"/>
                </w:tcPr>
                <w:p w14:paraId="4DA50A5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4E8EB45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226084B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706477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1A66D9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7C14F3F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氟化钙污泥</w:t>
                  </w:r>
                </w:p>
              </w:tc>
              <w:tc>
                <w:tcPr>
                  <w:tcW w:w="764" w:type="dxa"/>
                  <w:tcBorders>
                    <w:tl2br w:val="nil"/>
                    <w:tr2bl w:val="nil"/>
                  </w:tcBorders>
                  <w:shd w:val="clear" w:color="auto" w:fill="auto"/>
                  <w:vAlign w:val="center"/>
                </w:tcPr>
                <w:p w14:paraId="534CF2A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75B9D8D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17.2</w:t>
                  </w:r>
                </w:p>
              </w:tc>
              <w:tc>
                <w:tcPr>
                  <w:tcW w:w="891" w:type="dxa"/>
                  <w:tcBorders>
                    <w:tl2br w:val="nil"/>
                    <w:tr2bl w:val="nil"/>
                  </w:tcBorders>
                  <w:shd w:val="clear" w:color="auto" w:fill="auto"/>
                  <w:vAlign w:val="center"/>
                </w:tcPr>
                <w:p w14:paraId="5DF92D2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2.34</w:t>
                  </w:r>
                </w:p>
              </w:tc>
              <w:tc>
                <w:tcPr>
                  <w:tcW w:w="839" w:type="dxa"/>
                  <w:tcBorders>
                    <w:tl2br w:val="nil"/>
                    <w:tr2bl w:val="nil"/>
                  </w:tcBorders>
                  <w:shd w:val="clear" w:color="auto" w:fill="auto"/>
                  <w:vAlign w:val="center"/>
                </w:tcPr>
                <w:p w14:paraId="2DB1EC6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25.8</w:t>
                  </w:r>
                </w:p>
              </w:tc>
              <w:tc>
                <w:tcPr>
                  <w:tcW w:w="770" w:type="dxa"/>
                  <w:tcBorders>
                    <w:tl2br w:val="nil"/>
                    <w:tr2bl w:val="nil"/>
                  </w:tcBorders>
                  <w:shd w:val="clear" w:color="auto" w:fill="auto"/>
                  <w:vAlign w:val="center"/>
                </w:tcPr>
                <w:p w14:paraId="4BE753C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0.67</w:t>
                  </w:r>
                </w:p>
              </w:tc>
              <w:tc>
                <w:tcPr>
                  <w:tcW w:w="898" w:type="dxa"/>
                  <w:tcBorders>
                    <w:tl2br w:val="nil"/>
                    <w:tr2bl w:val="nil"/>
                  </w:tcBorders>
                  <w:shd w:val="clear" w:color="auto" w:fill="auto"/>
                  <w:vAlign w:val="center"/>
                </w:tcPr>
                <w:p w14:paraId="0584485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2.34</w:t>
                  </w:r>
                </w:p>
              </w:tc>
              <w:tc>
                <w:tcPr>
                  <w:tcW w:w="897" w:type="dxa"/>
                  <w:tcBorders>
                    <w:tl2br w:val="nil"/>
                    <w:tr2bl w:val="nil"/>
                  </w:tcBorders>
                  <w:shd w:val="clear" w:color="auto" w:fill="auto"/>
                  <w:vAlign w:val="center"/>
                </w:tcPr>
                <w:p w14:paraId="1B570C5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4.23</w:t>
                  </w:r>
                </w:p>
              </w:tc>
              <w:tc>
                <w:tcPr>
                  <w:tcW w:w="896" w:type="dxa"/>
                  <w:tcBorders>
                    <w:tl2br w:val="nil"/>
                    <w:tr2bl w:val="nil"/>
                  </w:tcBorders>
                  <w:shd w:val="clear" w:color="auto" w:fill="auto"/>
                  <w:vAlign w:val="center"/>
                </w:tcPr>
                <w:p w14:paraId="6CF29CB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13.1</w:t>
                  </w:r>
                </w:p>
              </w:tc>
              <w:tc>
                <w:tcPr>
                  <w:tcW w:w="897" w:type="dxa"/>
                  <w:tcBorders>
                    <w:tl2br w:val="nil"/>
                    <w:tr2bl w:val="nil"/>
                  </w:tcBorders>
                  <w:shd w:val="clear" w:color="auto" w:fill="auto"/>
                  <w:vAlign w:val="center"/>
                </w:tcPr>
                <w:p w14:paraId="597744A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0.24</w:t>
                  </w:r>
                </w:p>
              </w:tc>
              <w:tc>
                <w:tcPr>
                  <w:tcW w:w="680" w:type="dxa"/>
                  <w:tcBorders>
                    <w:tl2br w:val="nil"/>
                    <w:tr2bl w:val="nil"/>
                  </w:tcBorders>
                  <w:shd w:val="clear" w:color="auto" w:fill="auto"/>
                  <w:vAlign w:val="center"/>
                </w:tcPr>
                <w:p w14:paraId="312181C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5C6CD95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39A4ADC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532B4FC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FB75D6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5.55</w:t>
                  </w:r>
                </w:p>
              </w:tc>
            </w:tr>
            <w:tr w14:paraId="616DB6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601CD95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磷渣</w:t>
                  </w:r>
                </w:p>
              </w:tc>
              <w:tc>
                <w:tcPr>
                  <w:tcW w:w="764" w:type="dxa"/>
                  <w:tcBorders>
                    <w:tl2br w:val="nil"/>
                    <w:tr2bl w:val="nil"/>
                  </w:tcBorders>
                  <w:shd w:val="clear" w:color="auto" w:fill="auto"/>
                  <w:vAlign w:val="center"/>
                </w:tcPr>
                <w:p w14:paraId="3918BD7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22DDE4E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790FCD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98.445</w:t>
                  </w:r>
                </w:p>
              </w:tc>
              <w:tc>
                <w:tcPr>
                  <w:tcW w:w="839" w:type="dxa"/>
                  <w:tcBorders>
                    <w:tl2br w:val="nil"/>
                    <w:tr2bl w:val="nil"/>
                  </w:tcBorders>
                  <w:shd w:val="clear" w:color="auto" w:fill="auto"/>
                  <w:vAlign w:val="center"/>
                </w:tcPr>
                <w:p w14:paraId="44D425F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443.564</w:t>
                  </w:r>
                </w:p>
              </w:tc>
              <w:tc>
                <w:tcPr>
                  <w:tcW w:w="770" w:type="dxa"/>
                  <w:tcBorders>
                    <w:tl2br w:val="nil"/>
                    <w:tr2bl w:val="nil"/>
                  </w:tcBorders>
                  <w:shd w:val="clear" w:color="auto" w:fill="auto"/>
                  <w:vAlign w:val="center"/>
                </w:tcPr>
                <w:p w14:paraId="60159BE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0B1D103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156.345</w:t>
                  </w:r>
                </w:p>
              </w:tc>
              <w:tc>
                <w:tcPr>
                  <w:tcW w:w="897" w:type="dxa"/>
                  <w:tcBorders>
                    <w:tl2br w:val="nil"/>
                    <w:tr2bl w:val="nil"/>
                  </w:tcBorders>
                  <w:shd w:val="clear" w:color="auto" w:fill="auto"/>
                  <w:vAlign w:val="center"/>
                </w:tcPr>
                <w:p w14:paraId="45E0D5A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257.654</w:t>
                  </w:r>
                </w:p>
              </w:tc>
              <w:tc>
                <w:tcPr>
                  <w:tcW w:w="896" w:type="dxa"/>
                  <w:tcBorders>
                    <w:tl2br w:val="nil"/>
                    <w:tr2bl w:val="nil"/>
                  </w:tcBorders>
                  <w:shd w:val="clear" w:color="auto" w:fill="auto"/>
                  <w:vAlign w:val="center"/>
                </w:tcPr>
                <w:p w14:paraId="7167346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426.562</w:t>
                  </w:r>
                </w:p>
              </w:tc>
              <w:tc>
                <w:tcPr>
                  <w:tcW w:w="897" w:type="dxa"/>
                  <w:tcBorders>
                    <w:tl2br w:val="nil"/>
                    <w:tr2bl w:val="nil"/>
                  </w:tcBorders>
                  <w:shd w:val="clear" w:color="auto" w:fill="auto"/>
                  <w:vAlign w:val="center"/>
                </w:tcPr>
                <w:p w14:paraId="0B70346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1.116</w:t>
                  </w:r>
                </w:p>
              </w:tc>
              <w:tc>
                <w:tcPr>
                  <w:tcW w:w="680" w:type="dxa"/>
                  <w:tcBorders>
                    <w:tl2br w:val="nil"/>
                    <w:tr2bl w:val="nil"/>
                  </w:tcBorders>
                  <w:shd w:val="clear" w:color="auto" w:fill="auto"/>
                  <w:vAlign w:val="center"/>
                </w:tcPr>
                <w:p w14:paraId="5CD34D8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0421BA6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3.564</w:t>
                  </w:r>
                </w:p>
              </w:tc>
              <w:tc>
                <w:tcPr>
                  <w:tcW w:w="784" w:type="dxa"/>
                  <w:tcBorders>
                    <w:tl2br w:val="nil"/>
                    <w:tr2bl w:val="nil"/>
                  </w:tcBorders>
                  <w:shd w:val="clear" w:color="auto" w:fill="auto"/>
                  <w:vAlign w:val="center"/>
                </w:tcPr>
                <w:p w14:paraId="11CBE15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056C56A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82E14B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62B5F2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6E6ABA8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赤泥</w:t>
                  </w:r>
                </w:p>
              </w:tc>
              <w:tc>
                <w:tcPr>
                  <w:tcW w:w="764" w:type="dxa"/>
                  <w:tcBorders>
                    <w:tl2br w:val="nil"/>
                    <w:tr2bl w:val="nil"/>
                  </w:tcBorders>
                  <w:shd w:val="clear" w:color="auto" w:fill="auto"/>
                  <w:vAlign w:val="center"/>
                </w:tcPr>
                <w:p w14:paraId="2D52612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4B9CCC4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340E61A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39" w:type="dxa"/>
                  <w:tcBorders>
                    <w:tl2br w:val="nil"/>
                    <w:tr2bl w:val="nil"/>
                  </w:tcBorders>
                  <w:shd w:val="clear" w:color="auto" w:fill="auto"/>
                  <w:vAlign w:val="center"/>
                </w:tcPr>
                <w:p w14:paraId="57BD233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407.64</w:t>
                  </w:r>
                </w:p>
              </w:tc>
              <w:tc>
                <w:tcPr>
                  <w:tcW w:w="770" w:type="dxa"/>
                  <w:tcBorders>
                    <w:tl2br w:val="nil"/>
                    <w:tr2bl w:val="nil"/>
                  </w:tcBorders>
                  <w:shd w:val="clear" w:color="auto" w:fill="auto"/>
                  <w:vAlign w:val="center"/>
                </w:tcPr>
                <w:p w14:paraId="3935794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7CC721A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20.77</w:t>
                  </w:r>
                </w:p>
              </w:tc>
              <w:tc>
                <w:tcPr>
                  <w:tcW w:w="897" w:type="dxa"/>
                  <w:tcBorders>
                    <w:tl2br w:val="nil"/>
                    <w:tr2bl w:val="nil"/>
                  </w:tcBorders>
                  <w:shd w:val="clear" w:color="auto" w:fill="auto"/>
                  <w:vAlign w:val="center"/>
                </w:tcPr>
                <w:p w14:paraId="757B860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33.2</w:t>
                  </w:r>
                </w:p>
              </w:tc>
              <w:tc>
                <w:tcPr>
                  <w:tcW w:w="896" w:type="dxa"/>
                  <w:tcBorders>
                    <w:tl2br w:val="nil"/>
                    <w:tr2bl w:val="nil"/>
                  </w:tcBorders>
                  <w:shd w:val="clear" w:color="auto" w:fill="auto"/>
                  <w:vAlign w:val="center"/>
                </w:tcPr>
                <w:p w14:paraId="65F9EDD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7" w:type="dxa"/>
                  <w:tcBorders>
                    <w:tl2br w:val="nil"/>
                    <w:tr2bl w:val="nil"/>
                  </w:tcBorders>
                  <w:shd w:val="clear" w:color="auto" w:fill="auto"/>
                  <w:vAlign w:val="center"/>
                </w:tcPr>
                <w:p w14:paraId="05787FC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53.18</w:t>
                  </w:r>
                </w:p>
              </w:tc>
              <w:tc>
                <w:tcPr>
                  <w:tcW w:w="680" w:type="dxa"/>
                  <w:tcBorders>
                    <w:tl2br w:val="nil"/>
                    <w:tr2bl w:val="nil"/>
                  </w:tcBorders>
                  <w:shd w:val="clear" w:color="auto" w:fill="auto"/>
                  <w:vAlign w:val="center"/>
                </w:tcPr>
                <w:p w14:paraId="5037799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255DB14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480C56D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06C1528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2017573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276156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309" w:type="dxa"/>
                  <w:tcBorders>
                    <w:tl2br w:val="nil"/>
                    <w:tr2bl w:val="nil"/>
                  </w:tcBorders>
                  <w:vAlign w:val="center"/>
                </w:tcPr>
                <w:p w14:paraId="60D8128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水渣</w:t>
                  </w:r>
                </w:p>
              </w:tc>
              <w:tc>
                <w:tcPr>
                  <w:tcW w:w="764" w:type="dxa"/>
                  <w:tcBorders>
                    <w:tl2br w:val="nil"/>
                    <w:tr2bl w:val="nil"/>
                  </w:tcBorders>
                  <w:shd w:val="clear" w:color="auto" w:fill="auto"/>
                  <w:vAlign w:val="center"/>
                </w:tcPr>
                <w:p w14:paraId="744DB30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41.562</w:t>
                  </w:r>
                </w:p>
              </w:tc>
              <w:tc>
                <w:tcPr>
                  <w:tcW w:w="891" w:type="dxa"/>
                  <w:tcBorders>
                    <w:tl2br w:val="nil"/>
                    <w:tr2bl w:val="nil"/>
                  </w:tcBorders>
                  <w:shd w:val="clear" w:color="auto" w:fill="auto"/>
                  <w:vAlign w:val="center"/>
                </w:tcPr>
                <w:p w14:paraId="1A0DDED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289.134</w:t>
                  </w:r>
                </w:p>
              </w:tc>
              <w:tc>
                <w:tcPr>
                  <w:tcW w:w="891" w:type="dxa"/>
                  <w:tcBorders>
                    <w:tl2br w:val="nil"/>
                    <w:tr2bl w:val="nil"/>
                  </w:tcBorders>
                  <w:shd w:val="clear" w:color="auto" w:fill="auto"/>
                  <w:vAlign w:val="center"/>
                </w:tcPr>
                <w:p w14:paraId="14E40A7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28.114</w:t>
                  </w:r>
                </w:p>
              </w:tc>
              <w:tc>
                <w:tcPr>
                  <w:tcW w:w="839" w:type="dxa"/>
                  <w:tcBorders>
                    <w:tl2br w:val="nil"/>
                    <w:tr2bl w:val="nil"/>
                  </w:tcBorders>
                  <w:shd w:val="clear" w:color="auto" w:fill="auto"/>
                  <w:vAlign w:val="center"/>
                </w:tcPr>
                <w:p w14:paraId="6E62C5A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317.454</w:t>
                  </w:r>
                </w:p>
              </w:tc>
              <w:tc>
                <w:tcPr>
                  <w:tcW w:w="770" w:type="dxa"/>
                  <w:tcBorders>
                    <w:tl2br w:val="nil"/>
                    <w:tr2bl w:val="nil"/>
                  </w:tcBorders>
                  <w:shd w:val="clear" w:color="auto" w:fill="auto"/>
                  <w:vAlign w:val="center"/>
                </w:tcPr>
                <w:p w14:paraId="4F3C369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62.852</w:t>
                  </w:r>
                </w:p>
              </w:tc>
              <w:tc>
                <w:tcPr>
                  <w:tcW w:w="898" w:type="dxa"/>
                  <w:tcBorders>
                    <w:tl2br w:val="nil"/>
                    <w:tr2bl w:val="nil"/>
                  </w:tcBorders>
                  <w:shd w:val="clear" w:color="auto" w:fill="auto"/>
                  <w:vAlign w:val="center"/>
                </w:tcPr>
                <w:p w14:paraId="4B1F5C2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65.448</w:t>
                  </w:r>
                </w:p>
              </w:tc>
              <w:tc>
                <w:tcPr>
                  <w:tcW w:w="897" w:type="dxa"/>
                  <w:tcBorders>
                    <w:tl2br w:val="nil"/>
                    <w:tr2bl w:val="nil"/>
                  </w:tcBorders>
                  <w:shd w:val="clear" w:color="auto" w:fill="auto"/>
                  <w:vAlign w:val="center"/>
                </w:tcPr>
                <w:p w14:paraId="000A8AC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266.374</w:t>
                  </w:r>
                </w:p>
              </w:tc>
              <w:tc>
                <w:tcPr>
                  <w:tcW w:w="896" w:type="dxa"/>
                  <w:tcBorders>
                    <w:tl2br w:val="nil"/>
                    <w:tr2bl w:val="nil"/>
                  </w:tcBorders>
                  <w:shd w:val="clear" w:color="auto" w:fill="auto"/>
                  <w:vAlign w:val="center"/>
                </w:tcPr>
                <w:p w14:paraId="4BAB579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tcBorders>
                    <w:tl2br w:val="nil"/>
                    <w:tr2bl w:val="nil"/>
                  </w:tcBorders>
                  <w:shd w:val="clear" w:color="auto" w:fill="auto"/>
                  <w:vAlign w:val="center"/>
                </w:tcPr>
                <w:p w14:paraId="0F8DCD4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24.318</w:t>
                  </w:r>
                </w:p>
              </w:tc>
              <w:tc>
                <w:tcPr>
                  <w:tcW w:w="680" w:type="dxa"/>
                  <w:tcBorders>
                    <w:tl2br w:val="nil"/>
                    <w:tr2bl w:val="nil"/>
                  </w:tcBorders>
                  <w:shd w:val="clear" w:color="auto" w:fill="auto"/>
                  <w:vAlign w:val="center"/>
                </w:tcPr>
                <w:p w14:paraId="73786D2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7905CA4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57.233</w:t>
                  </w:r>
                </w:p>
              </w:tc>
              <w:tc>
                <w:tcPr>
                  <w:tcW w:w="784" w:type="dxa"/>
                  <w:tcBorders>
                    <w:tl2br w:val="nil"/>
                    <w:tr2bl w:val="nil"/>
                  </w:tcBorders>
                  <w:shd w:val="clear" w:color="auto" w:fill="auto"/>
                  <w:vAlign w:val="center"/>
                </w:tcPr>
                <w:p w14:paraId="6CF4F87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96.141</w:t>
                  </w:r>
                </w:p>
              </w:tc>
              <w:tc>
                <w:tcPr>
                  <w:tcW w:w="772" w:type="dxa"/>
                  <w:tcBorders>
                    <w:tl2br w:val="nil"/>
                    <w:tr2bl w:val="nil"/>
                  </w:tcBorders>
                  <w:shd w:val="clear" w:color="auto" w:fill="auto"/>
                  <w:vAlign w:val="center"/>
                </w:tcPr>
                <w:p w14:paraId="0F71233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13.921</w:t>
                  </w:r>
                </w:p>
              </w:tc>
              <w:tc>
                <w:tcPr>
                  <w:tcW w:w="690" w:type="dxa"/>
                  <w:tcBorders>
                    <w:tl2br w:val="nil"/>
                    <w:tr2bl w:val="nil"/>
                  </w:tcBorders>
                  <w:shd w:val="clear" w:color="auto" w:fill="auto"/>
                  <w:vAlign w:val="center"/>
                </w:tcPr>
                <w:p w14:paraId="030EB3A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00E3A1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vAlign w:val="center"/>
                </w:tcPr>
                <w:p w14:paraId="28908EF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矿渣粉（高炉</w:t>
                  </w:r>
                  <w:r>
                    <w:rPr>
                      <w:rFonts w:hint="eastAsia" w:cs="Times New Roman"/>
                      <w:color w:val="auto"/>
                      <w:lang w:val="en-US" w:eastAsia="zh-CN"/>
                    </w:rPr>
                    <w:t>干</w:t>
                  </w:r>
                  <w:r>
                    <w:rPr>
                      <w:rFonts w:hint="eastAsia" w:ascii="Times New Roman" w:hAnsi="Times New Roman" w:eastAsia="宋体" w:cs="Times New Roman"/>
                      <w:color w:val="auto"/>
                      <w:lang w:val="en-US" w:eastAsia="zh-CN"/>
                    </w:rPr>
                    <w:t>渣）</w:t>
                  </w:r>
                </w:p>
              </w:tc>
              <w:tc>
                <w:tcPr>
                  <w:tcW w:w="764" w:type="dxa"/>
                  <w:tcBorders>
                    <w:tl2br w:val="nil"/>
                    <w:tr2bl w:val="nil"/>
                  </w:tcBorders>
                  <w:shd w:val="clear" w:color="auto" w:fill="auto"/>
                  <w:vAlign w:val="center"/>
                </w:tcPr>
                <w:p w14:paraId="4D3FC0C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06F43C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4D52BC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56.231</w:t>
                  </w:r>
                </w:p>
              </w:tc>
              <w:tc>
                <w:tcPr>
                  <w:tcW w:w="839" w:type="dxa"/>
                  <w:tcBorders>
                    <w:tl2br w:val="nil"/>
                    <w:tr2bl w:val="nil"/>
                  </w:tcBorders>
                  <w:shd w:val="clear" w:color="auto" w:fill="auto"/>
                  <w:vAlign w:val="center"/>
                </w:tcPr>
                <w:p w14:paraId="3150DAC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125.230</w:t>
                  </w:r>
                </w:p>
              </w:tc>
              <w:tc>
                <w:tcPr>
                  <w:tcW w:w="770" w:type="dxa"/>
                  <w:tcBorders>
                    <w:tl2br w:val="nil"/>
                    <w:tr2bl w:val="nil"/>
                  </w:tcBorders>
                  <w:shd w:val="clear" w:color="auto" w:fill="auto"/>
                  <w:vAlign w:val="center"/>
                </w:tcPr>
                <w:p w14:paraId="2A3FAA1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4F79E21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19.460</w:t>
                  </w:r>
                </w:p>
              </w:tc>
              <w:tc>
                <w:tcPr>
                  <w:tcW w:w="897" w:type="dxa"/>
                  <w:tcBorders>
                    <w:tl2br w:val="nil"/>
                    <w:tr2bl w:val="nil"/>
                  </w:tcBorders>
                  <w:shd w:val="clear" w:color="auto" w:fill="auto"/>
                  <w:vAlign w:val="center"/>
                </w:tcPr>
                <w:p w14:paraId="412506D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19.564</w:t>
                  </w:r>
                </w:p>
              </w:tc>
              <w:tc>
                <w:tcPr>
                  <w:tcW w:w="896" w:type="dxa"/>
                  <w:tcBorders>
                    <w:tl2br w:val="nil"/>
                    <w:tr2bl w:val="nil"/>
                  </w:tcBorders>
                  <w:shd w:val="clear" w:color="auto" w:fill="auto"/>
                  <w:vAlign w:val="center"/>
                </w:tcPr>
                <w:p w14:paraId="6377302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59.324</w:t>
                  </w:r>
                </w:p>
              </w:tc>
              <w:tc>
                <w:tcPr>
                  <w:tcW w:w="897" w:type="dxa"/>
                  <w:tcBorders>
                    <w:tl2br w:val="nil"/>
                    <w:tr2bl w:val="nil"/>
                  </w:tcBorders>
                  <w:shd w:val="clear" w:color="auto" w:fill="auto"/>
                  <w:vAlign w:val="center"/>
                </w:tcPr>
                <w:p w14:paraId="49B3FC0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3.891</w:t>
                  </w:r>
                </w:p>
              </w:tc>
              <w:tc>
                <w:tcPr>
                  <w:tcW w:w="680" w:type="dxa"/>
                  <w:tcBorders>
                    <w:tl2br w:val="nil"/>
                    <w:tr2bl w:val="nil"/>
                  </w:tcBorders>
                  <w:shd w:val="clear" w:color="auto" w:fill="auto"/>
                  <w:vAlign w:val="center"/>
                </w:tcPr>
                <w:p w14:paraId="3844CB9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2779BF6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0.235</w:t>
                  </w:r>
                </w:p>
              </w:tc>
              <w:tc>
                <w:tcPr>
                  <w:tcW w:w="784" w:type="dxa"/>
                  <w:tcBorders>
                    <w:tl2br w:val="nil"/>
                    <w:tr2bl w:val="nil"/>
                  </w:tcBorders>
                  <w:shd w:val="clear" w:color="auto" w:fill="auto"/>
                  <w:vAlign w:val="center"/>
                </w:tcPr>
                <w:p w14:paraId="09EC81A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763DEF3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0AFF431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1C9A35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vAlign w:val="center"/>
                </w:tcPr>
                <w:p w14:paraId="6DC38ED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电炉渣</w:t>
                  </w:r>
                </w:p>
              </w:tc>
              <w:tc>
                <w:tcPr>
                  <w:tcW w:w="764" w:type="dxa"/>
                  <w:tcBorders>
                    <w:tl2br w:val="nil"/>
                    <w:tr2bl w:val="nil"/>
                  </w:tcBorders>
                  <w:shd w:val="clear" w:color="auto" w:fill="auto"/>
                  <w:vAlign w:val="center"/>
                </w:tcPr>
                <w:p w14:paraId="557FD1A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46FA429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2B09047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76.492</w:t>
                  </w:r>
                </w:p>
              </w:tc>
              <w:tc>
                <w:tcPr>
                  <w:tcW w:w="839" w:type="dxa"/>
                  <w:tcBorders>
                    <w:tl2br w:val="nil"/>
                    <w:tr2bl w:val="nil"/>
                  </w:tcBorders>
                  <w:shd w:val="clear" w:color="auto" w:fill="auto"/>
                  <w:vAlign w:val="center"/>
                </w:tcPr>
                <w:p w14:paraId="621246A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136.564</w:t>
                  </w:r>
                </w:p>
              </w:tc>
              <w:tc>
                <w:tcPr>
                  <w:tcW w:w="770" w:type="dxa"/>
                  <w:tcBorders>
                    <w:tl2br w:val="nil"/>
                    <w:tr2bl w:val="nil"/>
                  </w:tcBorders>
                  <w:shd w:val="clear" w:color="auto" w:fill="auto"/>
                  <w:vAlign w:val="center"/>
                </w:tcPr>
                <w:p w14:paraId="23FA5CF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41CB645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34.561</w:t>
                  </w:r>
                </w:p>
              </w:tc>
              <w:tc>
                <w:tcPr>
                  <w:tcW w:w="897" w:type="dxa"/>
                  <w:tcBorders>
                    <w:tl2br w:val="nil"/>
                    <w:tr2bl w:val="nil"/>
                  </w:tcBorders>
                  <w:shd w:val="clear" w:color="auto" w:fill="auto"/>
                  <w:vAlign w:val="center"/>
                </w:tcPr>
                <w:p w14:paraId="698F78B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45.655</w:t>
                  </w:r>
                </w:p>
              </w:tc>
              <w:tc>
                <w:tcPr>
                  <w:tcW w:w="896" w:type="dxa"/>
                  <w:tcBorders>
                    <w:tl2br w:val="nil"/>
                    <w:tr2bl w:val="nil"/>
                  </w:tcBorders>
                  <w:shd w:val="clear" w:color="auto" w:fill="auto"/>
                  <w:vAlign w:val="center"/>
                </w:tcPr>
                <w:p w14:paraId="05DC7FA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96.452</w:t>
                  </w:r>
                </w:p>
              </w:tc>
              <w:tc>
                <w:tcPr>
                  <w:tcW w:w="897" w:type="dxa"/>
                  <w:tcBorders>
                    <w:tl2br w:val="nil"/>
                    <w:tr2bl w:val="nil"/>
                  </w:tcBorders>
                  <w:shd w:val="clear" w:color="auto" w:fill="auto"/>
                  <w:vAlign w:val="center"/>
                </w:tcPr>
                <w:p w14:paraId="569EA5F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0.020</w:t>
                  </w:r>
                </w:p>
              </w:tc>
              <w:tc>
                <w:tcPr>
                  <w:tcW w:w="680" w:type="dxa"/>
                  <w:tcBorders>
                    <w:tl2br w:val="nil"/>
                    <w:tr2bl w:val="nil"/>
                  </w:tcBorders>
                  <w:shd w:val="clear" w:color="auto" w:fill="auto"/>
                  <w:vAlign w:val="center"/>
                </w:tcPr>
                <w:p w14:paraId="2CC9A7F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508D91A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0.268</w:t>
                  </w:r>
                </w:p>
              </w:tc>
              <w:tc>
                <w:tcPr>
                  <w:tcW w:w="784" w:type="dxa"/>
                  <w:tcBorders>
                    <w:tl2br w:val="nil"/>
                    <w:tr2bl w:val="nil"/>
                  </w:tcBorders>
                  <w:shd w:val="clear" w:color="auto" w:fill="auto"/>
                  <w:vAlign w:val="center"/>
                </w:tcPr>
                <w:p w14:paraId="499FD93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75184D1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4676569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350CA1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0EC9F28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脱硫石膏</w:t>
                  </w:r>
                </w:p>
              </w:tc>
              <w:tc>
                <w:tcPr>
                  <w:tcW w:w="764" w:type="dxa"/>
                  <w:tcBorders>
                    <w:tl2br w:val="nil"/>
                    <w:tr2bl w:val="nil"/>
                  </w:tcBorders>
                  <w:shd w:val="clear" w:color="auto" w:fill="auto"/>
                  <w:vAlign w:val="center"/>
                </w:tcPr>
                <w:p w14:paraId="22871313">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0265805">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6AA9D32">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98.467</w:t>
                  </w:r>
                </w:p>
              </w:tc>
              <w:tc>
                <w:tcPr>
                  <w:tcW w:w="839" w:type="dxa"/>
                  <w:tcBorders>
                    <w:tl2br w:val="nil"/>
                    <w:tr2bl w:val="nil"/>
                  </w:tcBorders>
                  <w:shd w:val="clear" w:color="auto" w:fill="auto"/>
                  <w:vAlign w:val="center"/>
                </w:tcPr>
                <w:p w14:paraId="7A09DA4A">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126.564</w:t>
                  </w:r>
                </w:p>
              </w:tc>
              <w:tc>
                <w:tcPr>
                  <w:tcW w:w="770" w:type="dxa"/>
                  <w:tcBorders>
                    <w:tl2br w:val="nil"/>
                    <w:tr2bl w:val="nil"/>
                  </w:tcBorders>
                  <w:shd w:val="clear" w:color="auto" w:fill="auto"/>
                  <w:vAlign w:val="center"/>
                </w:tcPr>
                <w:p w14:paraId="342541A0">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6ADAEE52">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51.261</w:t>
                  </w:r>
                </w:p>
              </w:tc>
              <w:tc>
                <w:tcPr>
                  <w:tcW w:w="897" w:type="dxa"/>
                  <w:tcBorders>
                    <w:tl2br w:val="nil"/>
                    <w:tr2bl w:val="nil"/>
                  </w:tcBorders>
                  <w:shd w:val="clear" w:color="auto" w:fill="auto"/>
                  <w:vAlign w:val="center"/>
                </w:tcPr>
                <w:p w14:paraId="26C41E50">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81.564</w:t>
                  </w:r>
                </w:p>
              </w:tc>
              <w:tc>
                <w:tcPr>
                  <w:tcW w:w="896" w:type="dxa"/>
                  <w:tcBorders>
                    <w:tl2br w:val="nil"/>
                    <w:tr2bl w:val="nil"/>
                  </w:tcBorders>
                  <w:shd w:val="clear" w:color="auto" w:fill="auto"/>
                  <w:vAlign w:val="center"/>
                </w:tcPr>
                <w:p w14:paraId="7A797A00">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485.562</w:t>
                  </w:r>
                </w:p>
              </w:tc>
              <w:tc>
                <w:tcPr>
                  <w:tcW w:w="897" w:type="dxa"/>
                  <w:tcBorders>
                    <w:tl2br w:val="nil"/>
                    <w:tr2bl w:val="nil"/>
                  </w:tcBorders>
                  <w:shd w:val="clear" w:color="auto" w:fill="auto"/>
                  <w:vAlign w:val="center"/>
                </w:tcPr>
                <w:p w14:paraId="332E2BC3">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4.356</w:t>
                  </w:r>
                </w:p>
              </w:tc>
              <w:tc>
                <w:tcPr>
                  <w:tcW w:w="680" w:type="dxa"/>
                  <w:tcBorders>
                    <w:tl2br w:val="nil"/>
                    <w:tr2bl w:val="nil"/>
                  </w:tcBorders>
                  <w:shd w:val="clear" w:color="auto" w:fill="auto"/>
                  <w:vAlign w:val="center"/>
                </w:tcPr>
                <w:p w14:paraId="6345CAD4">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59161983">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0.265</w:t>
                  </w:r>
                </w:p>
              </w:tc>
              <w:tc>
                <w:tcPr>
                  <w:tcW w:w="784" w:type="dxa"/>
                  <w:tcBorders>
                    <w:tl2br w:val="nil"/>
                    <w:tr2bl w:val="nil"/>
                  </w:tcBorders>
                  <w:shd w:val="clear" w:color="auto" w:fill="auto"/>
                  <w:vAlign w:val="center"/>
                </w:tcPr>
                <w:p w14:paraId="720364B8">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4FC52F59">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2C31FE5F">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6EB630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1A38509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磷石膏</w:t>
                  </w:r>
                </w:p>
              </w:tc>
              <w:tc>
                <w:tcPr>
                  <w:tcW w:w="764" w:type="dxa"/>
                  <w:tcBorders>
                    <w:tl2br w:val="nil"/>
                    <w:tr2bl w:val="nil"/>
                  </w:tcBorders>
                  <w:shd w:val="clear" w:color="auto" w:fill="auto"/>
                  <w:vAlign w:val="center"/>
                </w:tcPr>
                <w:p w14:paraId="17F1495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7401D03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0163C55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85.654</w:t>
                  </w:r>
                </w:p>
              </w:tc>
              <w:tc>
                <w:tcPr>
                  <w:tcW w:w="839" w:type="dxa"/>
                  <w:tcBorders>
                    <w:tl2br w:val="nil"/>
                    <w:tr2bl w:val="nil"/>
                  </w:tcBorders>
                  <w:shd w:val="clear" w:color="auto" w:fill="auto"/>
                  <w:vAlign w:val="center"/>
                </w:tcPr>
                <w:p w14:paraId="742EB07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153.654</w:t>
                  </w:r>
                </w:p>
              </w:tc>
              <w:tc>
                <w:tcPr>
                  <w:tcW w:w="770" w:type="dxa"/>
                  <w:tcBorders>
                    <w:tl2br w:val="nil"/>
                    <w:tr2bl w:val="nil"/>
                  </w:tcBorders>
                  <w:shd w:val="clear" w:color="auto" w:fill="auto"/>
                  <w:vAlign w:val="center"/>
                </w:tcPr>
                <w:p w14:paraId="73874D3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5733D471">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32.611</w:t>
                  </w:r>
                </w:p>
              </w:tc>
              <w:tc>
                <w:tcPr>
                  <w:tcW w:w="897" w:type="dxa"/>
                  <w:tcBorders>
                    <w:tl2br w:val="nil"/>
                    <w:tr2bl w:val="nil"/>
                  </w:tcBorders>
                  <w:shd w:val="clear" w:color="auto" w:fill="auto"/>
                  <w:vAlign w:val="center"/>
                </w:tcPr>
                <w:p w14:paraId="10AF06C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83.562</w:t>
                  </w:r>
                </w:p>
              </w:tc>
              <w:tc>
                <w:tcPr>
                  <w:tcW w:w="896" w:type="dxa"/>
                  <w:tcBorders>
                    <w:tl2br w:val="nil"/>
                    <w:tr2bl w:val="nil"/>
                  </w:tcBorders>
                  <w:shd w:val="clear" w:color="auto" w:fill="auto"/>
                  <w:vAlign w:val="center"/>
                </w:tcPr>
                <w:p w14:paraId="67E8847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375.562</w:t>
                  </w:r>
                </w:p>
              </w:tc>
              <w:tc>
                <w:tcPr>
                  <w:tcW w:w="897" w:type="dxa"/>
                  <w:tcBorders>
                    <w:tl2br w:val="nil"/>
                    <w:tr2bl w:val="nil"/>
                  </w:tcBorders>
                  <w:shd w:val="clear" w:color="auto" w:fill="auto"/>
                  <w:vAlign w:val="center"/>
                </w:tcPr>
                <w:p w14:paraId="645066E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2.158</w:t>
                  </w:r>
                </w:p>
              </w:tc>
              <w:tc>
                <w:tcPr>
                  <w:tcW w:w="680" w:type="dxa"/>
                  <w:tcBorders>
                    <w:tl2br w:val="nil"/>
                    <w:tr2bl w:val="nil"/>
                  </w:tcBorders>
                  <w:shd w:val="clear" w:color="auto" w:fill="auto"/>
                  <w:vAlign w:val="center"/>
                </w:tcPr>
                <w:p w14:paraId="38CE423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678DFE7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0.240</w:t>
                  </w:r>
                </w:p>
              </w:tc>
              <w:tc>
                <w:tcPr>
                  <w:tcW w:w="784" w:type="dxa"/>
                  <w:tcBorders>
                    <w:tl2br w:val="nil"/>
                    <w:tr2bl w:val="nil"/>
                  </w:tcBorders>
                  <w:shd w:val="clear" w:color="auto" w:fill="auto"/>
                  <w:vAlign w:val="center"/>
                </w:tcPr>
                <w:p w14:paraId="3E03042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5E74FBF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6D0A136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78336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1A7C437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钛石膏</w:t>
                  </w:r>
                </w:p>
              </w:tc>
              <w:tc>
                <w:tcPr>
                  <w:tcW w:w="764" w:type="dxa"/>
                  <w:tcBorders>
                    <w:tl2br w:val="nil"/>
                    <w:tr2bl w:val="nil"/>
                  </w:tcBorders>
                  <w:shd w:val="clear" w:color="auto" w:fill="auto"/>
                  <w:vAlign w:val="center"/>
                </w:tcPr>
                <w:p w14:paraId="30E115C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40049E6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37812C9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114.560</w:t>
                  </w:r>
                </w:p>
              </w:tc>
              <w:tc>
                <w:tcPr>
                  <w:tcW w:w="839" w:type="dxa"/>
                  <w:tcBorders>
                    <w:tl2br w:val="nil"/>
                    <w:tr2bl w:val="nil"/>
                  </w:tcBorders>
                  <w:shd w:val="clear" w:color="auto" w:fill="auto"/>
                  <w:vAlign w:val="center"/>
                </w:tcPr>
                <w:p w14:paraId="4C05F51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149.780</w:t>
                  </w:r>
                </w:p>
              </w:tc>
              <w:tc>
                <w:tcPr>
                  <w:tcW w:w="770" w:type="dxa"/>
                  <w:tcBorders>
                    <w:tl2br w:val="nil"/>
                    <w:tr2bl w:val="nil"/>
                  </w:tcBorders>
                  <w:shd w:val="clear" w:color="auto" w:fill="auto"/>
                  <w:vAlign w:val="center"/>
                </w:tcPr>
                <w:p w14:paraId="11CE2A2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0E108EA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45.763</w:t>
                  </w:r>
                </w:p>
              </w:tc>
              <w:tc>
                <w:tcPr>
                  <w:tcW w:w="897" w:type="dxa"/>
                  <w:tcBorders>
                    <w:tl2br w:val="nil"/>
                    <w:tr2bl w:val="nil"/>
                  </w:tcBorders>
                  <w:shd w:val="clear" w:color="auto" w:fill="auto"/>
                  <w:vAlign w:val="center"/>
                </w:tcPr>
                <w:p w14:paraId="71E2485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89.568</w:t>
                  </w:r>
                </w:p>
              </w:tc>
              <w:tc>
                <w:tcPr>
                  <w:tcW w:w="896" w:type="dxa"/>
                  <w:tcBorders>
                    <w:tl2br w:val="nil"/>
                    <w:tr2bl w:val="nil"/>
                  </w:tcBorders>
                  <w:shd w:val="clear" w:color="auto" w:fill="auto"/>
                  <w:vAlign w:val="center"/>
                </w:tcPr>
                <w:p w14:paraId="0BDBF1B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495.320</w:t>
                  </w:r>
                </w:p>
              </w:tc>
              <w:tc>
                <w:tcPr>
                  <w:tcW w:w="897" w:type="dxa"/>
                  <w:tcBorders>
                    <w:tl2br w:val="nil"/>
                    <w:tr2bl w:val="nil"/>
                  </w:tcBorders>
                  <w:shd w:val="clear" w:color="auto" w:fill="auto"/>
                  <w:vAlign w:val="center"/>
                </w:tcPr>
                <w:p w14:paraId="6139B44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4.193</w:t>
                  </w:r>
                </w:p>
              </w:tc>
              <w:tc>
                <w:tcPr>
                  <w:tcW w:w="680" w:type="dxa"/>
                  <w:tcBorders>
                    <w:tl2br w:val="nil"/>
                    <w:tr2bl w:val="nil"/>
                  </w:tcBorders>
                  <w:shd w:val="clear" w:color="auto" w:fill="auto"/>
                  <w:vAlign w:val="center"/>
                </w:tcPr>
                <w:p w14:paraId="493C1C6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4CD4748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31.200</w:t>
                  </w:r>
                </w:p>
              </w:tc>
              <w:tc>
                <w:tcPr>
                  <w:tcW w:w="784" w:type="dxa"/>
                  <w:tcBorders>
                    <w:tl2br w:val="nil"/>
                    <w:tr2bl w:val="nil"/>
                  </w:tcBorders>
                  <w:shd w:val="clear" w:color="auto" w:fill="auto"/>
                  <w:vAlign w:val="center"/>
                </w:tcPr>
                <w:p w14:paraId="051511F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510004A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15E1D40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116F44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6B8B178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氟石膏</w:t>
                  </w:r>
                </w:p>
              </w:tc>
              <w:tc>
                <w:tcPr>
                  <w:tcW w:w="764" w:type="dxa"/>
                  <w:tcBorders>
                    <w:tl2br w:val="nil"/>
                    <w:tr2bl w:val="nil"/>
                  </w:tcBorders>
                  <w:shd w:val="clear" w:color="auto" w:fill="auto"/>
                  <w:vAlign w:val="center"/>
                </w:tcPr>
                <w:p w14:paraId="5E36D8C2">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3708A7E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762B5C0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26.350</w:t>
                  </w:r>
                </w:p>
              </w:tc>
              <w:tc>
                <w:tcPr>
                  <w:tcW w:w="839" w:type="dxa"/>
                  <w:tcBorders>
                    <w:tl2br w:val="nil"/>
                    <w:tr2bl w:val="nil"/>
                  </w:tcBorders>
                  <w:shd w:val="clear" w:color="auto" w:fill="auto"/>
                  <w:vAlign w:val="center"/>
                </w:tcPr>
                <w:p w14:paraId="77FDD3C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413.056</w:t>
                  </w:r>
                </w:p>
              </w:tc>
              <w:tc>
                <w:tcPr>
                  <w:tcW w:w="770" w:type="dxa"/>
                  <w:tcBorders>
                    <w:tl2br w:val="nil"/>
                    <w:tr2bl w:val="nil"/>
                  </w:tcBorders>
                  <w:shd w:val="clear" w:color="auto" w:fill="auto"/>
                  <w:vAlign w:val="center"/>
                </w:tcPr>
                <w:p w14:paraId="195D9E6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5529FC16">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25.364</w:t>
                  </w:r>
                </w:p>
              </w:tc>
              <w:tc>
                <w:tcPr>
                  <w:tcW w:w="897" w:type="dxa"/>
                  <w:tcBorders>
                    <w:tl2br w:val="nil"/>
                    <w:tr2bl w:val="nil"/>
                  </w:tcBorders>
                  <w:shd w:val="clear" w:color="auto" w:fill="auto"/>
                  <w:vAlign w:val="center"/>
                </w:tcPr>
                <w:p w14:paraId="4DC177B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43.569</w:t>
                  </w:r>
                </w:p>
              </w:tc>
              <w:tc>
                <w:tcPr>
                  <w:tcW w:w="896" w:type="dxa"/>
                  <w:tcBorders>
                    <w:tl2br w:val="nil"/>
                    <w:tr2bl w:val="nil"/>
                  </w:tcBorders>
                  <w:shd w:val="clear" w:color="auto" w:fill="auto"/>
                  <w:vAlign w:val="center"/>
                </w:tcPr>
                <w:p w14:paraId="1478173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162.324</w:t>
                  </w:r>
                </w:p>
              </w:tc>
              <w:tc>
                <w:tcPr>
                  <w:tcW w:w="897" w:type="dxa"/>
                  <w:tcBorders>
                    <w:tl2br w:val="nil"/>
                    <w:tr2bl w:val="nil"/>
                  </w:tcBorders>
                  <w:shd w:val="clear" w:color="auto" w:fill="auto"/>
                  <w:vAlign w:val="center"/>
                </w:tcPr>
                <w:p w14:paraId="5DF8733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6.894</w:t>
                  </w:r>
                </w:p>
              </w:tc>
              <w:tc>
                <w:tcPr>
                  <w:tcW w:w="680" w:type="dxa"/>
                  <w:tcBorders>
                    <w:tl2br w:val="nil"/>
                    <w:tr2bl w:val="nil"/>
                  </w:tcBorders>
                  <w:shd w:val="clear" w:color="auto" w:fill="auto"/>
                  <w:vAlign w:val="center"/>
                </w:tcPr>
                <w:p w14:paraId="229E23A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54828ED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1.695</w:t>
                  </w:r>
                </w:p>
              </w:tc>
              <w:tc>
                <w:tcPr>
                  <w:tcW w:w="784" w:type="dxa"/>
                  <w:tcBorders>
                    <w:tl2br w:val="nil"/>
                    <w:tr2bl w:val="nil"/>
                  </w:tcBorders>
                  <w:shd w:val="clear" w:color="auto" w:fill="auto"/>
                  <w:vAlign w:val="center"/>
                </w:tcPr>
                <w:p w14:paraId="19DA97E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1FFA1C2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11D3C51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r>
            <w:tr w14:paraId="4BC0EB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auto"/>
                  <w:vAlign w:val="center"/>
                </w:tcPr>
                <w:p w14:paraId="438AD74E">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冶炼废渣</w:t>
                  </w:r>
                </w:p>
              </w:tc>
              <w:tc>
                <w:tcPr>
                  <w:tcW w:w="764" w:type="dxa"/>
                  <w:tcBorders>
                    <w:tl2br w:val="nil"/>
                    <w:tr2bl w:val="nil"/>
                  </w:tcBorders>
                  <w:shd w:val="clear" w:color="auto" w:fill="auto"/>
                  <w:vAlign w:val="center"/>
                </w:tcPr>
                <w:p w14:paraId="5753814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0FBC31A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3FC24DD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143.568</w:t>
                  </w:r>
                </w:p>
              </w:tc>
              <w:tc>
                <w:tcPr>
                  <w:tcW w:w="839" w:type="dxa"/>
                  <w:tcBorders>
                    <w:tl2br w:val="nil"/>
                    <w:tr2bl w:val="nil"/>
                  </w:tcBorders>
                  <w:shd w:val="clear" w:color="auto" w:fill="auto"/>
                  <w:vAlign w:val="center"/>
                </w:tcPr>
                <w:p w14:paraId="4C34ECA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263.589</w:t>
                  </w:r>
                </w:p>
              </w:tc>
              <w:tc>
                <w:tcPr>
                  <w:tcW w:w="770" w:type="dxa"/>
                  <w:tcBorders>
                    <w:tl2br w:val="nil"/>
                    <w:tr2bl w:val="nil"/>
                  </w:tcBorders>
                  <w:shd w:val="clear" w:color="auto" w:fill="auto"/>
                  <w:vAlign w:val="center"/>
                </w:tcPr>
                <w:p w14:paraId="4A14053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shd w:val="clear" w:color="auto" w:fill="auto"/>
                  <w:vAlign w:val="center"/>
                </w:tcPr>
                <w:p w14:paraId="3AAB880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158.562</w:t>
                  </w:r>
                </w:p>
              </w:tc>
              <w:tc>
                <w:tcPr>
                  <w:tcW w:w="897" w:type="dxa"/>
                  <w:tcBorders>
                    <w:tl2br w:val="nil"/>
                    <w:tr2bl w:val="nil"/>
                  </w:tcBorders>
                  <w:shd w:val="clear" w:color="auto" w:fill="auto"/>
                  <w:vAlign w:val="center"/>
                </w:tcPr>
                <w:p w14:paraId="2BA335C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142.342</w:t>
                  </w:r>
                </w:p>
              </w:tc>
              <w:tc>
                <w:tcPr>
                  <w:tcW w:w="896" w:type="dxa"/>
                  <w:tcBorders>
                    <w:tl2br w:val="nil"/>
                    <w:tr2bl w:val="nil"/>
                  </w:tcBorders>
                  <w:shd w:val="clear" w:color="auto" w:fill="auto"/>
                  <w:vAlign w:val="center"/>
                </w:tcPr>
                <w:p w14:paraId="6018FD5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317.562</w:t>
                  </w:r>
                </w:p>
              </w:tc>
              <w:tc>
                <w:tcPr>
                  <w:tcW w:w="897" w:type="dxa"/>
                  <w:tcBorders>
                    <w:tl2br w:val="nil"/>
                    <w:tr2bl w:val="nil"/>
                  </w:tcBorders>
                  <w:shd w:val="clear" w:color="auto" w:fill="auto"/>
                  <w:vAlign w:val="center"/>
                </w:tcPr>
                <w:p w14:paraId="5F4CBA0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422.885</w:t>
                  </w:r>
                </w:p>
              </w:tc>
              <w:tc>
                <w:tcPr>
                  <w:tcW w:w="680" w:type="dxa"/>
                  <w:tcBorders>
                    <w:tl2br w:val="nil"/>
                    <w:tr2bl w:val="nil"/>
                  </w:tcBorders>
                  <w:shd w:val="clear" w:color="auto" w:fill="auto"/>
                  <w:vAlign w:val="center"/>
                </w:tcPr>
                <w:p w14:paraId="5E98C34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66E71FB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37.645</w:t>
                  </w:r>
                </w:p>
              </w:tc>
              <w:tc>
                <w:tcPr>
                  <w:tcW w:w="784" w:type="dxa"/>
                  <w:tcBorders>
                    <w:tl2br w:val="nil"/>
                    <w:tr2bl w:val="nil"/>
                  </w:tcBorders>
                  <w:shd w:val="clear" w:color="auto" w:fill="auto"/>
                  <w:vAlign w:val="center"/>
                </w:tcPr>
                <w:p w14:paraId="5852441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42D266C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4B877A8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6E5846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309" w:type="dxa"/>
                  <w:tcBorders>
                    <w:tl2br w:val="nil"/>
                    <w:tr2bl w:val="nil"/>
                  </w:tcBorders>
                  <w:shd w:val="clear" w:color="auto" w:fill="FFFFFF"/>
                  <w:vAlign w:val="center"/>
                </w:tcPr>
                <w:p w14:paraId="1B963F1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飞灰</w:t>
                  </w:r>
                  <w:r>
                    <w:rPr>
                      <w:rFonts w:hint="eastAsia" w:cs="Times New Roman"/>
                      <w:color w:val="auto"/>
                      <w:lang w:val="en-US" w:eastAsia="zh-CN"/>
                    </w:rPr>
                    <w:t>（煤灰）</w:t>
                  </w:r>
                </w:p>
              </w:tc>
              <w:tc>
                <w:tcPr>
                  <w:tcW w:w="764" w:type="dxa"/>
                  <w:tcBorders>
                    <w:tl2br w:val="nil"/>
                    <w:tr2bl w:val="nil"/>
                  </w:tcBorders>
                  <w:vAlign w:val="center"/>
                </w:tcPr>
                <w:p w14:paraId="11AEF66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vAlign w:val="center"/>
                </w:tcPr>
                <w:p w14:paraId="2799EB3E">
                  <w:pPr>
                    <w:pStyle w:val="43"/>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24.94</w:t>
                  </w:r>
                </w:p>
              </w:tc>
              <w:tc>
                <w:tcPr>
                  <w:tcW w:w="891" w:type="dxa"/>
                  <w:tcBorders>
                    <w:tl2br w:val="nil"/>
                    <w:tr2bl w:val="nil"/>
                  </w:tcBorders>
                  <w:vAlign w:val="center"/>
                </w:tcPr>
                <w:p w14:paraId="2473A08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30.98</w:t>
                  </w:r>
                </w:p>
              </w:tc>
              <w:tc>
                <w:tcPr>
                  <w:tcW w:w="839" w:type="dxa"/>
                  <w:tcBorders>
                    <w:tl2br w:val="nil"/>
                    <w:tr2bl w:val="nil"/>
                  </w:tcBorders>
                  <w:vAlign w:val="center"/>
                </w:tcPr>
                <w:p w14:paraId="382F828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81.72</w:t>
                  </w:r>
                </w:p>
              </w:tc>
              <w:tc>
                <w:tcPr>
                  <w:tcW w:w="770" w:type="dxa"/>
                  <w:tcBorders>
                    <w:tl2br w:val="nil"/>
                    <w:tr2bl w:val="nil"/>
                  </w:tcBorders>
                  <w:vAlign w:val="center"/>
                </w:tcPr>
                <w:p w14:paraId="012C83E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10.54</w:t>
                  </w:r>
                </w:p>
              </w:tc>
              <w:tc>
                <w:tcPr>
                  <w:tcW w:w="898" w:type="dxa"/>
                  <w:tcBorders>
                    <w:tl2br w:val="nil"/>
                    <w:tr2bl w:val="nil"/>
                  </w:tcBorders>
                  <w:vAlign w:val="center"/>
                </w:tcPr>
                <w:p w14:paraId="3941F7C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21.32</w:t>
                  </w:r>
                </w:p>
              </w:tc>
              <w:tc>
                <w:tcPr>
                  <w:tcW w:w="897" w:type="dxa"/>
                  <w:tcBorders>
                    <w:tl2br w:val="nil"/>
                    <w:tr2bl w:val="nil"/>
                  </w:tcBorders>
                  <w:vAlign w:val="center"/>
                </w:tcPr>
                <w:p w14:paraId="6421D9B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32.81</w:t>
                  </w:r>
                </w:p>
              </w:tc>
              <w:tc>
                <w:tcPr>
                  <w:tcW w:w="896" w:type="dxa"/>
                  <w:tcBorders>
                    <w:tl2br w:val="nil"/>
                    <w:tr2bl w:val="nil"/>
                  </w:tcBorders>
                  <w:vAlign w:val="center"/>
                </w:tcPr>
                <w:p w14:paraId="780FD9A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31.50</w:t>
                  </w:r>
                </w:p>
              </w:tc>
              <w:tc>
                <w:tcPr>
                  <w:tcW w:w="897" w:type="dxa"/>
                  <w:tcBorders>
                    <w:tl2br w:val="nil"/>
                    <w:tr2bl w:val="nil"/>
                  </w:tcBorders>
                  <w:vAlign w:val="center"/>
                </w:tcPr>
                <w:p w14:paraId="27B26A1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1.418</w:t>
                  </w:r>
                </w:p>
              </w:tc>
              <w:tc>
                <w:tcPr>
                  <w:tcW w:w="680" w:type="dxa"/>
                  <w:tcBorders>
                    <w:tl2br w:val="nil"/>
                    <w:tr2bl w:val="nil"/>
                  </w:tcBorders>
                  <w:vAlign w:val="center"/>
                </w:tcPr>
                <w:p w14:paraId="2C2E245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vAlign w:val="center"/>
                </w:tcPr>
                <w:p w14:paraId="2A2B340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1.094</w:t>
                  </w:r>
                </w:p>
              </w:tc>
              <w:tc>
                <w:tcPr>
                  <w:tcW w:w="784" w:type="dxa"/>
                  <w:tcBorders>
                    <w:tl2br w:val="nil"/>
                    <w:tr2bl w:val="nil"/>
                  </w:tcBorders>
                  <w:vAlign w:val="center"/>
                </w:tcPr>
                <w:p w14:paraId="6B3ADDE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vAlign w:val="center"/>
                </w:tcPr>
                <w:p w14:paraId="7F83085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0.176</w:t>
                  </w:r>
                </w:p>
              </w:tc>
              <w:tc>
                <w:tcPr>
                  <w:tcW w:w="690" w:type="dxa"/>
                  <w:tcBorders>
                    <w:tl2br w:val="nil"/>
                    <w:tr2bl w:val="nil"/>
                  </w:tcBorders>
                  <w:vAlign w:val="center"/>
                </w:tcPr>
                <w:p w14:paraId="263A049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0.16</w:t>
                  </w:r>
                </w:p>
              </w:tc>
            </w:tr>
            <w:tr w14:paraId="41B332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36E2A0B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生物质燃料</w:t>
                  </w:r>
                </w:p>
              </w:tc>
              <w:tc>
                <w:tcPr>
                  <w:tcW w:w="764" w:type="dxa"/>
                  <w:tcBorders>
                    <w:tl2br w:val="nil"/>
                    <w:tr2bl w:val="nil"/>
                  </w:tcBorders>
                  <w:shd w:val="clear" w:color="auto" w:fill="auto"/>
                  <w:vAlign w:val="center"/>
                </w:tcPr>
                <w:p w14:paraId="71601A2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0.053</w:t>
                  </w:r>
                </w:p>
              </w:tc>
              <w:tc>
                <w:tcPr>
                  <w:tcW w:w="891" w:type="dxa"/>
                  <w:tcBorders>
                    <w:tl2br w:val="nil"/>
                    <w:tr2bl w:val="nil"/>
                  </w:tcBorders>
                  <w:shd w:val="clear" w:color="auto" w:fill="auto"/>
                  <w:vAlign w:val="center"/>
                </w:tcPr>
                <w:p w14:paraId="2ADB083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7.883</w:t>
                  </w:r>
                </w:p>
              </w:tc>
              <w:tc>
                <w:tcPr>
                  <w:tcW w:w="891" w:type="dxa"/>
                  <w:tcBorders>
                    <w:tl2br w:val="nil"/>
                    <w:tr2bl w:val="nil"/>
                  </w:tcBorders>
                  <w:shd w:val="clear" w:color="auto" w:fill="auto"/>
                  <w:vAlign w:val="center"/>
                </w:tcPr>
                <w:p w14:paraId="4534A73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2.855</w:t>
                  </w:r>
                </w:p>
              </w:tc>
              <w:tc>
                <w:tcPr>
                  <w:tcW w:w="839" w:type="dxa"/>
                  <w:tcBorders>
                    <w:tl2br w:val="nil"/>
                    <w:tr2bl w:val="nil"/>
                  </w:tcBorders>
                  <w:shd w:val="clear" w:color="auto" w:fill="auto"/>
                  <w:vAlign w:val="center"/>
                </w:tcPr>
                <w:p w14:paraId="78E19F4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8.221</w:t>
                  </w:r>
                </w:p>
              </w:tc>
              <w:tc>
                <w:tcPr>
                  <w:tcW w:w="770" w:type="dxa"/>
                  <w:tcBorders>
                    <w:tl2br w:val="nil"/>
                    <w:tr2bl w:val="nil"/>
                  </w:tcBorders>
                  <w:shd w:val="clear" w:color="auto" w:fill="auto"/>
                  <w:vAlign w:val="center"/>
                </w:tcPr>
                <w:p w14:paraId="48EDBF1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7.866</w:t>
                  </w:r>
                </w:p>
              </w:tc>
              <w:tc>
                <w:tcPr>
                  <w:tcW w:w="898" w:type="dxa"/>
                  <w:tcBorders>
                    <w:tl2br w:val="nil"/>
                    <w:tr2bl w:val="nil"/>
                  </w:tcBorders>
                  <w:shd w:val="clear" w:color="auto" w:fill="auto"/>
                  <w:vAlign w:val="center"/>
                </w:tcPr>
                <w:p w14:paraId="0759746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7.9624</w:t>
                  </w:r>
                </w:p>
              </w:tc>
              <w:tc>
                <w:tcPr>
                  <w:tcW w:w="897" w:type="dxa"/>
                  <w:tcBorders>
                    <w:tl2br w:val="nil"/>
                    <w:tr2bl w:val="nil"/>
                  </w:tcBorders>
                  <w:shd w:val="clear" w:color="auto" w:fill="auto"/>
                  <w:vAlign w:val="center"/>
                </w:tcPr>
                <w:p w14:paraId="3B39FCC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8.013</w:t>
                  </w:r>
                </w:p>
              </w:tc>
              <w:tc>
                <w:tcPr>
                  <w:tcW w:w="896" w:type="dxa"/>
                  <w:tcBorders>
                    <w:tl2br w:val="nil"/>
                    <w:tr2bl w:val="nil"/>
                  </w:tcBorders>
                  <w:shd w:val="clear" w:color="auto" w:fill="auto"/>
                  <w:vAlign w:val="center"/>
                </w:tcPr>
                <w:p w14:paraId="7A45775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7.952</w:t>
                  </w:r>
                </w:p>
              </w:tc>
              <w:tc>
                <w:tcPr>
                  <w:tcW w:w="897" w:type="dxa"/>
                  <w:tcBorders>
                    <w:tl2br w:val="nil"/>
                    <w:tr2bl w:val="nil"/>
                  </w:tcBorders>
                  <w:shd w:val="clear" w:color="auto" w:fill="auto"/>
                  <w:vAlign w:val="center"/>
                </w:tcPr>
                <w:p w14:paraId="3AEE59D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0.398</w:t>
                  </w:r>
                </w:p>
              </w:tc>
              <w:tc>
                <w:tcPr>
                  <w:tcW w:w="680" w:type="dxa"/>
                  <w:tcBorders>
                    <w:tl2br w:val="nil"/>
                    <w:tr2bl w:val="nil"/>
                  </w:tcBorders>
                  <w:shd w:val="clear" w:color="auto" w:fill="auto"/>
                  <w:vAlign w:val="center"/>
                </w:tcPr>
                <w:p w14:paraId="2C2C9C7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2FC2B52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0.018</w:t>
                  </w:r>
                </w:p>
              </w:tc>
              <w:tc>
                <w:tcPr>
                  <w:tcW w:w="784" w:type="dxa"/>
                  <w:tcBorders>
                    <w:tl2br w:val="nil"/>
                    <w:tr2bl w:val="nil"/>
                  </w:tcBorders>
                  <w:shd w:val="clear" w:color="auto" w:fill="auto"/>
                  <w:vAlign w:val="center"/>
                </w:tcPr>
                <w:p w14:paraId="39BB7DE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0.486</w:t>
                  </w:r>
                </w:p>
              </w:tc>
              <w:tc>
                <w:tcPr>
                  <w:tcW w:w="772" w:type="dxa"/>
                  <w:tcBorders>
                    <w:tl2br w:val="nil"/>
                    <w:tr2bl w:val="nil"/>
                  </w:tcBorders>
                  <w:shd w:val="clear" w:color="auto" w:fill="auto"/>
                  <w:vAlign w:val="center"/>
                </w:tcPr>
                <w:p w14:paraId="512A33B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0.821</w:t>
                  </w:r>
                </w:p>
              </w:tc>
              <w:tc>
                <w:tcPr>
                  <w:tcW w:w="690" w:type="dxa"/>
                  <w:tcBorders>
                    <w:tl2br w:val="nil"/>
                    <w:tr2bl w:val="nil"/>
                  </w:tcBorders>
                  <w:shd w:val="clear" w:color="auto" w:fill="auto"/>
                  <w:vAlign w:val="center"/>
                </w:tcPr>
                <w:p w14:paraId="262BE8A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0.011</w:t>
                  </w:r>
                </w:p>
              </w:tc>
            </w:tr>
            <w:tr w14:paraId="59D48E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309" w:type="dxa"/>
                  <w:tcBorders>
                    <w:tl2br w:val="nil"/>
                    <w:tr2bl w:val="nil"/>
                  </w:tcBorders>
                  <w:shd w:val="clear" w:color="auto" w:fill="FFFFFF"/>
                  <w:vAlign w:val="center"/>
                </w:tcPr>
                <w:p w14:paraId="033A6EB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废纺</w:t>
                  </w:r>
                </w:p>
              </w:tc>
              <w:tc>
                <w:tcPr>
                  <w:tcW w:w="764" w:type="dxa"/>
                  <w:tcBorders>
                    <w:tl2br w:val="nil"/>
                    <w:tr2bl w:val="nil"/>
                  </w:tcBorders>
                  <w:shd w:val="clear" w:color="auto" w:fill="auto"/>
                  <w:vAlign w:val="center"/>
                </w:tcPr>
                <w:p w14:paraId="539DEB4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0.021</w:t>
                  </w:r>
                </w:p>
              </w:tc>
              <w:tc>
                <w:tcPr>
                  <w:tcW w:w="891" w:type="dxa"/>
                  <w:tcBorders>
                    <w:tl2br w:val="nil"/>
                    <w:tr2bl w:val="nil"/>
                  </w:tcBorders>
                  <w:shd w:val="clear" w:color="auto" w:fill="auto"/>
                  <w:vAlign w:val="center"/>
                </w:tcPr>
                <w:p w14:paraId="6DF945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0.597</w:t>
                  </w:r>
                </w:p>
              </w:tc>
              <w:tc>
                <w:tcPr>
                  <w:tcW w:w="891" w:type="dxa"/>
                  <w:tcBorders>
                    <w:tl2br w:val="nil"/>
                    <w:tr2bl w:val="nil"/>
                  </w:tcBorders>
                  <w:shd w:val="clear" w:color="auto" w:fill="auto"/>
                  <w:vAlign w:val="center"/>
                </w:tcPr>
                <w:p w14:paraId="6B76B57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14.554</w:t>
                  </w:r>
                </w:p>
              </w:tc>
              <w:tc>
                <w:tcPr>
                  <w:tcW w:w="839" w:type="dxa"/>
                  <w:tcBorders>
                    <w:tl2br w:val="nil"/>
                    <w:tr2bl w:val="nil"/>
                  </w:tcBorders>
                  <w:shd w:val="clear" w:color="auto" w:fill="auto"/>
                  <w:vAlign w:val="center"/>
                </w:tcPr>
                <w:p w14:paraId="5BD070A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72.562</w:t>
                  </w:r>
                </w:p>
              </w:tc>
              <w:tc>
                <w:tcPr>
                  <w:tcW w:w="770" w:type="dxa"/>
                  <w:tcBorders>
                    <w:tl2br w:val="nil"/>
                    <w:tr2bl w:val="nil"/>
                  </w:tcBorders>
                  <w:shd w:val="clear" w:color="auto" w:fill="auto"/>
                  <w:vAlign w:val="center"/>
                </w:tcPr>
                <w:p w14:paraId="39AB1A7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0.123</w:t>
                  </w:r>
                </w:p>
              </w:tc>
              <w:tc>
                <w:tcPr>
                  <w:tcW w:w="898" w:type="dxa"/>
                  <w:tcBorders>
                    <w:tl2br w:val="nil"/>
                    <w:tr2bl w:val="nil"/>
                  </w:tcBorders>
                  <w:shd w:val="clear" w:color="auto" w:fill="auto"/>
                  <w:vAlign w:val="center"/>
                </w:tcPr>
                <w:p w14:paraId="1BD9406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12.233</w:t>
                  </w:r>
                </w:p>
              </w:tc>
              <w:tc>
                <w:tcPr>
                  <w:tcW w:w="897" w:type="dxa"/>
                  <w:tcBorders>
                    <w:tl2br w:val="nil"/>
                    <w:tr2bl w:val="nil"/>
                  </w:tcBorders>
                  <w:shd w:val="clear" w:color="auto" w:fill="auto"/>
                  <w:vAlign w:val="center"/>
                </w:tcPr>
                <w:p w14:paraId="099206B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9.632</w:t>
                  </w:r>
                </w:p>
              </w:tc>
              <w:tc>
                <w:tcPr>
                  <w:tcW w:w="896" w:type="dxa"/>
                  <w:tcBorders>
                    <w:tl2br w:val="nil"/>
                    <w:tr2bl w:val="nil"/>
                  </w:tcBorders>
                  <w:shd w:val="clear" w:color="auto" w:fill="auto"/>
                  <w:vAlign w:val="center"/>
                </w:tcPr>
                <w:p w14:paraId="21B65C0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32.834</w:t>
                  </w:r>
                </w:p>
              </w:tc>
              <w:tc>
                <w:tcPr>
                  <w:tcW w:w="897" w:type="dxa"/>
                  <w:tcBorders>
                    <w:tl2br w:val="nil"/>
                    <w:tr2bl w:val="nil"/>
                  </w:tcBorders>
                  <w:shd w:val="clear" w:color="auto" w:fill="auto"/>
                  <w:vAlign w:val="center"/>
                </w:tcPr>
                <w:p w14:paraId="06F7409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0.305</w:t>
                  </w:r>
                </w:p>
              </w:tc>
              <w:tc>
                <w:tcPr>
                  <w:tcW w:w="680" w:type="dxa"/>
                  <w:tcBorders>
                    <w:tl2br w:val="nil"/>
                    <w:tr2bl w:val="nil"/>
                  </w:tcBorders>
                  <w:shd w:val="clear" w:color="auto" w:fill="auto"/>
                  <w:vAlign w:val="center"/>
                </w:tcPr>
                <w:p w14:paraId="076FC45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41D798F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0.022</w:t>
                  </w:r>
                </w:p>
              </w:tc>
              <w:tc>
                <w:tcPr>
                  <w:tcW w:w="784" w:type="dxa"/>
                  <w:tcBorders>
                    <w:tl2br w:val="nil"/>
                    <w:tr2bl w:val="nil"/>
                  </w:tcBorders>
                  <w:shd w:val="clear" w:color="auto" w:fill="auto"/>
                  <w:vAlign w:val="center"/>
                </w:tcPr>
                <w:p w14:paraId="2556B58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3.121</w:t>
                  </w:r>
                </w:p>
              </w:tc>
              <w:tc>
                <w:tcPr>
                  <w:tcW w:w="772" w:type="dxa"/>
                  <w:tcBorders>
                    <w:tl2br w:val="nil"/>
                    <w:tr2bl w:val="nil"/>
                  </w:tcBorders>
                  <w:shd w:val="clear" w:color="auto" w:fill="auto"/>
                  <w:vAlign w:val="center"/>
                </w:tcPr>
                <w:p w14:paraId="7864858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2.223</w:t>
                  </w:r>
                </w:p>
              </w:tc>
              <w:tc>
                <w:tcPr>
                  <w:tcW w:w="690" w:type="dxa"/>
                  <w:tcBorders>
                    <w:tl2br w:val="nil"/>
                    <w:tr2bl w:val="nil"/>
                  </w:tcBorders>
                  <w:shd w:val="clear" w:color="auto" w:fill="auto"/>
                  <w:vAlign w:val="center"/>
                </w:tcPr>
                <w:p w14:paraId="33FCC6E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0.142</w:t>
                  </w:r>
                </w:p>
              </w:tc>
            </w:tr>
            <w:tr w14:paraId="2BD95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5EE3CBD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废塑料</w:t>
                  </w:r>
                </w:p>
              </w:tc>
              <w:tc>
                <w:tcPr>
                  <w:tcW w:w="764" w:type="dxa"/>
                  <w:tcBorders>
                    <w:tl2br w:val="nil"/>
                    <w:tr2bl w:val="nil"/>
                  </w:tcBorders>
                  <w:vAlign w:val="center"/>
                </w:tcPr>
                <w:p w14:paraId="79F11EA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0.03</w:t>
                  </w:r>
                </w:p>
              </w:tc>
              <w:tc>
                <w:tcPr>
                  <w:tcW w:w="891" w:type="dxa"/>
                  <w:tcBorders>
                    <w:tl2br w:val="nil"/>
                    <w:tr2bl w:val="nil"/>
                  </w:tcBorders>
                  <w:vAlign w:val="center"/>
                </w:tcPr>
                <w:p w14:paraId="7A7EE9D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3.20</w:t>
                  </w:r>
                </w:p>
              </w:tc>
              <w:tc>
                <w:tcPr>
                  <w:tcW w:w="891" w:type="dxa"/>
                  <w:tcBorders>
                    <w:tl2br w:val="nil"/>
                    <w:tr2bl w:val="nil"/>
                  </w:tcBorders>
                  <w:vAlign w:val="center"/>
                </w:tcPr>
                <w:p w14:paraId="773448D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13.98</w:t>
                  </w:r>
                </w:p>
              </w:tc>
              <w:tc>
                <w:tcPr>
                  <w:tcW w:w="839" w:type="dxa"/>
                  <w:tcBorders>
                    <w:tl2br w:val="nil"/>
                    <w:tr2bl w:val="nil"/>
                  </w:tcBorders>
                  <w:vAlign w:val="center"/>
                </w:tcPr>
                <w:p w14:paraId="516AB38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13.98</w:t>
                  </w:r>
                </w:p>
              </w:tc>
              <w:tc>
                <w:tcPr>
                  <w:tcW w:w="770" w:type="dxa"/>
                  <w:tcBorders>
                    <w:tl2br w:val="nil"/>
                    <w:tr2bl w:val="nil"/>
                  </w:tcBorders>
                  <w:vAlign w:val="center"/>
                </w:tcPr>
                <w:p w14:paraId="358CE49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p>
              </w:tc>
              <w:tc>
                <w:tcPr>
                  <w:tcW w:w="898" w:type="dxa"/>
                  <w:tcBorders>
                    <w:tl2br w:val="nil"/>
                    <w:tr2bl w:val="nil"/>
                  </w:tcBorders>
                  <w:vAlign w:val="center"/>
                </w:tcPr>
                <w:p w14:paraId="1233794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4.66</w:t>
                  </w:r>
                </w:p>
              </w:tc>
              <w:tc>
                <w:tcPr>
                  <w:tcW w:w="897" w:type="dxa"/>
                  <w:tcBorders>
                    <w:tl2br w:val="nil"/>
                    <w:tr2bl w:val="nil"/>
                  </w:tcBorders>
                  <w:vAlign w:val="center"/>
                </w:tcPr>
                <w:p w14:paraId="19E39AA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tcBorders>
                    <w:tl2br w:val="nil"/>
                    <w:tr2bl w:val="nil"/>
                  </w:tcBorders>
                  <w:vAlign w:val="center"/>
                </w:tcPr>
                <w:p w14:paraId="7977FCA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7.32</w:t>
                  </w:r>
                </w:p>
              </w:tc>
              <w:tc>
                <w:tcPr>
                  <w:tcW w:w="897" w:type="dxa"/>
                  <w:tcBorders>
                    <w:tl2br w:val="nil"/>
                    <w:tr2bl w:val="nil"/>
                  </w:tcBorders>
                  <w:vAlign w:val="center"/>
                </w:tcPr>
                <w:p w14:paraId="0305889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tcBorders>
                    <w:tl2br w:val="nil"/>
                    <w:tr2bl w:val="nil"/>
                  </w:tcBorders>
                  <w:vAlign w:val="center"/>
                </w:tcPr>
                <w:p w14:paraId="1BF110F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w:t>
                  </w:r>
                </w:p>
              </w:tc>
              <w:tc>
                <w:tcPr>
                  <w:tcW w:w="770" w:type="dxa"/>
                  <w:tcBorders>
                    <w:tl2br w:val="nil"/>
                    <w:tr2bl w:val="nil"/>
                  </w:tcBorders>
                  <w:vAlign w:val="center"/>
                </w:tcPr>
                <w:p w14:paraId="798D9FA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0.503</w:t>
                  </w:r>
                </w:p>
              </w:tc>
              <w:tc>
                <w:tcPr>
                  <w:tcW w:w="784" w:type="dxa"/>
                  <w:tcBorders>
                    <w:tl2br w:val="nil"/>
                    <w:tr2bl w:val="nil"/>
                  </w:tcBorders>
                  <w:vAlign w:val="center"/>
                </w:tcPr>
                <w:p w14:paraId="11936FA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p>
              </w:tc>
              <w:tc>
                <w:tcPr>
                  <w:tcW w:w="772" w:type="dxa"/>
                  <w:tcBorders>
                    <w:tl2br w:val="nil"/>
                    <w:tr2bl w:val="nil"/>
                  </w:tcBorders>
                  <w:vAlign w:val="center"/>
                </w:tcPr>
                <w:p w14:paraId="29002C5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w:t>
                  </w:r>
                </w:p>
              </w:tc>
              <w:tc>
                <w:tcPr>
                  <w:tcW w:w="690" w:type="dxa"/>
                  <w:tcBorders>
                    <w:tl2br w:val="nil"/>
                    <w:tr2bl w:val="nil"/>
                  </w:tcBorders>
                  <w:vAlign w:val="center"/>
                </w:tcPr>
                <w:p w14:paraId="6D4D981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071FB6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309" w:type="dxa"/>
                  <w:tcBorders>
                    <w:tl2br w:val="nil"/>
                    <w:tr2bl w:val="nil"/>
                  </w:tcBorders>
                  <w:shd w:val="clear" w:color="auto" w:fill="FFFFFF"/>
                  <w:vAlign w:val="center"/>
                </w:tcPr>
                <w:p w14:paraId="28A25CC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废橡胶</w:t>
                  </w:r>
                </w:p>
              </w:tc>
              <w:tc>
                <w:tcPr>
                  <w:tcW w:w="764" w:type="dxa"/>
                  <w:tcBorders>
                    <w:tl2br w:val="nil"/>
                    <w:tr2bl w:val="nil"/>
                  </w:tcBorders>
                  <w:vAlign w:val="center"/>
                </w:tcPr>
                <w:p w14:paraId="2C41ED8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vAlign w:val="center"/>
                </w:tcPr>
                <w:p w14:paraId="0A580F6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vAlign w:val="center"/>
                </w:tcPr>
                <w:p w14:paraId="10761E3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9.49</w:t>
                  </w:r>
                </w:p>
              </w:tc>
              <w:tc>
                <w:tcPr>
                  <w:tcW w:w="839" w:type="dxa"/>
                  <w:tcBorders>
                    <w:tl2br w:val="nil"/>
                    <w:tr2bl w:val="nil"/>
                  </w:tcBorders>
                  <w:vAlign w:val="center"/>
                </w:tcPr>
                <w:p w14:paraId="2CBE99E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18.98</w:t>
                  </w:r>
                </w:p>
              </w:tc>
              <w:tc>
                <w:tcPr>
                  <w:tcW w:w="770" w:type="dxa"/>
                  <w:tcBorders>
                    <w:tl2br w:val="nil"/>
                    <w:tr2bl w:val="nil"/>
                  </w:tcBorders>
                  <w:vAlign w:val="center"/>
                </w:tcPr>
                <w:p w14:paraId="36C3E7A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vAlign w:val="center"/>
                </w:tcPr>
                <w:p w14:paraId="2022019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9.49</w:t>
                  </w:r>
                </w:p>
              </w:tc>
              <w:tc>
                <w:tcPr>
                  <w:tcW w:w="897" w:type="dxa"/>
                  <w:tcBorders>
                    <w:tl2br w:val="nil"/>
                    <w:tr2bl w:val="nil"/>
                  </w:tcBorders>
                  <w:vAlign w:val="center"/>
                </w:tcPr>
                <w:p w14:paraId="08CB446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33.21</w:t>
                  </w:r>
                </w:p>
              </w:tc>
              <w:tc>
                <w:tcPr>
                  <w:tcW w:w="896" w:type="dxa"/>
                  <w:tcBorders>
                    <w:tl2br w:val="nil"/>
                    <w:tr2bl w:val="nil"/>
                  </w:tcBorders>
                  <w:vAlign w:val="center"/>
                </w:tcPr>
                <w:p w14:paraId="6205EA7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391.7</w:t>
                  </w:r>
                </w:p>
              </w:tc>
              <w:tc>
                <w:tcPr>
                  <w:tcW w:w="897" w:type="dxa"/>
                  <w:tcBorders>
                    <w:tl2br w:val="nil"/>
                    <w:tr2bl w:val="nil"/>
                  </w:tcBorders>
                  <w:vAlign w:val="center"/>
                </w:tcPr>
                <w:p w14:paraId="59A7F09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4.74</w:t>
                  </w:r>
                </w:p>
              </w:tc>
              <w:tc>
                <w:tcPr>
                  <w:tcW w:w="680" w:type="dxa"/>
                  <w:tcBorders>
                    <w:tl2br w:val="nil"/>
                    <w:tr2bl w:val="nil"/>
                  </w:tcBorders>
                  <w:vAlign w:val="center"/>
                </w:tcPr>
                <w:p w14:paraId="6F426FF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w:t>
                  </w:r>
                </w:p>
              </w:tc>
              <w:tc>
                <w:tcPr>
                  <w:tcW w:w="770" w:type="dxa"/>
                  <w:tcBorders>
                    <w:tl2br w:val="nil"/>
                    <w:tr2bl w:val="nil"/>
                  </w:tcBorders>
                  <w:vAlign w:val="center"/>
                </w:tcPr>
                <w:p w14:paraId="6DE6627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1.309</w:t>
                  </w:r>
                </w:p>
              </w:tc>
              <w:tc>
                <w:tcPr>
                  <w:tcW w:w="784" w:type="dxa"/>
                  <w:tcBorders>
                    <w:tl2br w:val="nil"/>
                    <w:tr2bl w:val="nil"/>
                  </w:tcBorders>
                  <w:vAlign w:val="center"/>
                </w:tcPr>
                <w:p w14:paraId="426E6B3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137.45</w:t>
                  </w:r>
                </w:p>
              </w:tc>
              <w:tc>
                <w:tcPr>
                  <w:tcW w:w="772" w:type="dxa"/>
                  <w:tcBorders>
                    <w:tl2br w:val="nil"/>
                    <w:tr2bl w:val="nil"/>
                  </w:tcBorders>
                  <w:vAlign w:val="center"/>
                </w:tcPr>
                <w:p w14:paraId="01C3248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w:t>
                  </w:r>
                </w:p>
              </w:tc>
              <w:tc>
                <w:tcPr>
                  <w:tcW w:w="690" w:type="dxa"/>
                  <w:tcBorders>
                    <w:tl2br w:val="nil"/>
                    <w:tr2bl w:val="nil"/>
                  </w:tcBorders>
                  <w:vAlign w:val="center"/>
                </w:tcPr>
                <w:p w14:paraId="3341C59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5E6B8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3E3A932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废皮革</w:t>
                  </w:r>
                </w:p>
              </w:tc>
              <w:tc>
                <w:tcPr>
                  <w:tcW w:w="764" w:type="dxa"/>
                  <w:tcBorders>
                    <w:tl2br w:val="nil"/>
                    <w:tr2bl w:val="nil"/>
                  </w:tcBorders>
                  <w:vAlign w:val="center"/>
                </w:tcPr>
                <w:p w14:paraId="733DB66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vAlign w:val="center"/>
                </w:tcPr>
                <w:p w14:paraId="08F817B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w:t>
                  </w:r>
                </w:p>
              </w:tc>
              <w:tc>
                <w:tcPr>
                  <w:tcW w:w="891" w:type="dxa"/>
                  <w:tcBorders>
                    <w:tl2br w:val="nil"/>
                    <w:tr2bl w:val="nil"/>
                  </w:tcBorders>
                  <w:vAlign w:val="center"/>
                </w:tcPr>
                <w:p w14:paraId="6B3708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35.37</w:t>
                  </w:r>
                </w:p>
              </w:tc>
              <w:tc>
                <w:tcPr>
                  <w:tcW w:w="839" w:type="dxa"/>
                  <w:tcBorders>
                    <w:tl2br w:val="nil"/>
                    <w:tr2bl w:val="nil"/>
                  </w:tcBorders>
                  <w:vAlign w:val="center"/>
                </w:tcPr>
                <w:p w14:paraId="327D9FB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22.10</w:t>
                  </w:r>
                </w:p>
              </w:tc>
              <w:tc>
                <w:tcPr>
                  <w:tcW w:w="770" w:type="dxa"/>
                  <w:tcBorders>
                    <w:tl2br w:val="nil"/>
                    <w:tr2bl w:val="nil"/>
                  </w:tcBorders>
                  <w:vAlign w:val="center"/>
                </w:tcPr>
                <w:p w14:paraId="19B0F34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w:t>
                  </w:r>
                </w:p>
              </w:tc>
              <w:tc>
                <w:tcPr>
                  <w:tcW w:w="898" w:type="dxa"/>
                  <w:tcBorders>
                    <w:tl2br w:val="nil"/>
                    <w:tr2bl w:val="nil"/>
                  </w:tcBorders>
                  <w:vAlign w:val="center"/>
                </w:tcPr>
                <w:p w14:paraId="6DA24E9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8.84</w:t>
                  </w:r>
                </w:p>
              </w:tc>
              <w:tc>
                <w:tcPr>
                  <w:tcW w:w="897" w:type="dxa"/>
                  <w:tcBorders>
                    <w:tl2br w:val="nil"/>
                    <w:tr2bl w:val="nil"/>
                  </w:tcBorders>
                  <w:vAlign w:val="center"/>
                </w:tcPr>
                <w:p w14:paraId="1585DE3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17.68</w:t>
                  </w:r>
                </w:p>
              </w:tc>
              <w:tc>
                <w:tcPr>
                  <w:tcW w:w="896" w:type="dxa"/>
                  <w:tcBorders>
                    <w:tl2br w:val="nil"/>
                    <w:tr2bl w:val="nil"/>
                  </w:tcBorders>
                  <w:vAlign w:val="center"/>
                </w:tcPr>
                <w:p w14:paraId="3FFD8BC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373.87</w:t>
                  </w:r>
                </w:p>
              </w:tc>
              <w:tc>
                <w:tcPr>
                  <w:tcW w:w="897" w:type="dxa"/>
                  <w:tcBorders>
                    <w:tl2br w:val="nil"/>
                    <w:tr2bl w:val="nil"/>
                  </w:tcBorders>
                  <w:vAlign w:val="center"/>
                </w:tcPr>
                <w:p w14:paraId="648CA3E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8.84</w:t>
                  </w:r>
                </w:p>
              </w:tc>
              <w:tc>
                <w:tcPr>
                  <w:tcW w:w="680" w:type="dxa"/>
                  <w:tcBorders>
                    <w:tl2br w:val="nil"/>
                    <w:tr2bl w:val="nil"/>
                  </w:tcBorders>
                  <w:vAlign w:val="center"/>
                </w:tcPr>
                <w:p w14:paraId="0EA032A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p>
              </w:tc>
              <w:tc>
                <w:tcPr>
                  <w:tcW w:w="770" w:type="dxa"/>
                  <w:tcBorders>
                    <w:tl2br w:val="nil"/>
                    <w:tr2bl w:val="nil"/>
                  </w:tcBorders>
                  <w:vAlign w:val="center"/>
                </w:tcPr>
                <w:p w14:paraId="4C52A7E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0.566</w:t>
                  </w:r>
                </w:p>
              </w:tc>
              <w:tc>
                <w:tcPr>
                  <w:tcW w:w="784" w:type="dxa"/>
                  <w:tcBorders>
                    <w:tl2br w:val="nil"/>
                    <w:tr2bl w:val="nil"/>
                  </w:tcBorders>
                  <w:vAlign w:val="center"/>
                </w:tcPr>
                <w:p w14:paraId="3C90F75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vAlign w:val="center"/>
                </w:tcPr>
                <w:p w14:paraId="4F780C5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p>
              </w:tc>
              <w:tc>
                <w:tcPr>
                  <w:tcW w:w="690" w:type="dxa"/>
                  <w:tcBorders>
                    <w:tl2br w:val="nil"/>
                    <w:tr2bl w:val="nil"/>
                  </w:tcBorders>
                  <w:vAlign w:val="center"/>
                </w:tcPr>
                <w:p w14:paraId="0AAF7CF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8107C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309" w:type="dxa"/>
                  <w:tcBorders>
                    <w:tl2br w:val="nil"/>
                    <w:tr2bl w:val="nil"/>
                  </w:tcBorders>
                  <w:shd w:val="clear" w:color="auto" w:fill="FFFFFF"/>
                  <w:vAlign w:val="center"/>
                </w:tcPr>
                <w:p w14:paraId="2833C45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炭黑</w:t>
                  </w:r>
                </w:p>
              </w:tc>
              <w:tc>
                <w:tcPr>
                  <w:tcW w:w="764" w:type="dxa"/>
                  <w:tcBorders>
                    <w:tl2br w:val="nil"/>
                    <w:tr2bl w:val="nil"/>
                  </w:tcBorders>
                  <w:vAlign w:val="center"/>
                </w:tcPr>
                <w:p w14:paraId="2BEBDE0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vAlign w:val="center"/>
                </w:tcPr>
                <w:p w14:paraId="0003646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vAlign w:val="center"/>
                </w:tcPr>
                <w:p w14:paraId="3A2402D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21.58</w:t>
                  </w:r>
                </w:p>
              </w:tc>
              <w:tc>
                <w:tcPr>
                  <w:tcW w:w="839" w:type="dxa"/>
                  <w:tcBorders>
                    <w:tl2br w:val="nil"/>
                    <w:tr2bl w:val="nil"/>
                  </w:tcBorders>
                  <w:vAlign w:val="center"/>
                </w:tcPr>
                <w:p w14:paraId="6E0093C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vAlign w:val="center"/>
                </w:tcPr>
                <w:p w14:paraId="1D90DD3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tcBorders>
                    <w:tl2br w:val="nil"/>
                    <w:tr2bl w:val="nil"/>
                  </w:tcBorders>
                  <w:vAlign w:val="center"/>
                </w:tcPr>
                <w:p w14:paraId="5FA5603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tcBorders>
                    <w:tl2br w:val="nil"/>
                    <w:tr2bl w:val="nil"/>
                  </w:tcBorders>
                  <w:vAlign w:val="center"/>
                </w:tcPr>
                <w:p w14:paraId="6DA711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1169.15</w:t>
                  </w:r>
                </w:p>
              </w:tc>
              <w:tc>
                <w:tcPr>
                  <w:tcW w:w="896" w:type="dxa"/>
                  <w:tcBorders>
                    <w:tl2br w:val="nil"/>
                    <w:tr2bl w:val="nil"/>
                  </w:tcBorders>
                  <w:vAlign w:val="center"/>
                </w:tcPr>
                <w:p w14:paraId="74291DF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6156.4</w:t>
                  </w:r>
                </w:p>
              </w:tc>
              <w:tc>
                <w:tcPr>
                  <w:tcW w:w="897" w:type="dxa"/>
                  <w:tcBorders>
                    <w:tl2br w:val="nil"/>
                    <w:tr2bl w:val="nil"/>
                  </w:tcBorders>
                  <w:vAlign w:val="center"/>
                </w:tcPr>
                <w:p w14:paraId="4EBF903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tcBorders>
                    <w:tl2br w:val="nil"/>
                    <w:tr2bl w:val="nil"/>
                  </w:tcBorders>
                  <w:vAlign w:val="center"/>
                </w:tcPr>
                <w:p w14:paraId="2A013E7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vAlign w:val="center"/>
                </w:tcPr>
                <w:p w14:paraId="1280F15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0.005</w:t>
                  </w:r>
                </w:p>
              </w:tc>
              <w:tc>
                <w:tcPr>
                  <w:tcW w:w="784" w:type="dxa"/>
                  <w:tcBorders>
                    <w:tl2br w:val="nil"/>
                    <w:tr2bl w:val="nil"/>
                  </w:tcBorders>
                  <w:vAlign w:val="center"/>
                </w:tcPr>
                <w:p w14:paraId="3956272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0.41</w:t>
                  </w:r>
                </w:p>
              </w:tc>
              <w:tc>
                <w:tcPr>
                  <w:tcW w:w="772" w:type="dxa"/>
                  <w:tcBorders>
                    <w:tl2br w:val="nil"/>
                    <w:tr2bl w:val="nil"/>
                  </w:tcBorders>
                  <w:vAlign w:val="center"/>
                </w:tcPr>
                <w:p w14:paraId="5BD1B2D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vAlign w:val="center"/>
                </w:tcPr>
                <w:p w14:paraId="7C67806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7AD578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9" w:type="dxa"/>
                  <w:tcBorders>
                    <w:tl2br w:val="nil"/>
                    <w:tr2bl w:val="nil"/>
                  </w:tcBorders>
                  <w:shd w:val="clear" w:color="auto" w:fill="auto"/>
                  <w:vAlign w:val="center"/>
                </w:tcPr>
                <w:p w14:paraId="346749F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名称</w:t>
                  </w:r>
                </w:p>
              </w:tc>
              <w:tc>
                <w:tcPr>
                  <w:tcW w:w="764" w:type="dxa"/>
                  <w:tcBorders>
                    <w:tl2br w:val="nil"/>
                    <w:tr2bl w:val="nil"/>
                  </w:tcBorders>
                  <w:shd w:val="clear" w:color="auto" w:fill="auto"/>
                  <w:vAlign w:val="center"/>
                </w:tcPr>
                <w:p w14:paraId="7E541200">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铊Tl</w:t>
                  </w:r>
                </w:p>
              </w:tc>
              <w:tc>
                <w:tcPr>
                  <w:tcW w:w="891" w:type="dxa"/>
                  <w:tcBorders>
                    <w:tl2br w:val="nil"/>
                    <w:tr2bl w:val="nil"/>
                  </w:tcBorders>
                  <w:shd w:val="clear" w:color="auto" w:fill="auto"/>
                  <w:vAlign w:val="center"/>
                </w:tcPr>
                <w:p w14:paraId="06E8E85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铅Pb</w:t>
                  </w:r>
                </w:p>
              </w:tc>
              <w:tc>
                <w:tcPr>
                  <w:tcW w:w="891" w:type="dxa"/>
                  <w:tcBorders>
                    <w:tl2br w:val="nil"/>
                    <w:tr2bl w:val="nil"/>
                  </w:tcBorders>
                  <w:shd w:val="clear" w:color="auto" w:fill="auto"/>
                  <w:vAlign w:val="center"/>
                </w:tcPr>
                <w:p w14:paraId="4390EAA0">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水分</w:t>
                  </w:r>
                  <w:r>
                    <w:rPr>
                      <w:rFonts w:hint="default" w:ascii="Times New Roman" w:hAnsi="Times New Roman" w:eastAsia="宋体" w:cs="Times New Roman"/>
                      <w:b/>
                      <w:bCs/>
                      <w:color w:val="auto"/>
                      <w:lang w:val="en-US" w:eastAsia="zh-CN"/>
                    </w:rPr>
                    <w:t>%</w:t>
                  </w:r>
                </w:p>
              </w:tc>
              <w:tc>
                <w:tcPr>
                  <w:tcW w:w="839" w:type="dxa"/>
                  <w:tcBorders>
                    <w:tl2br w:val="nil"/>
                    <w:tr2bl w:val="nil"/>
                  </w:tcBorders>
                  <w:shd w:val="clear" w:color="auto" w:fill="auto"/>
                  <w:vAlign w:val="center"/>
                </w:tcPr>
                <w:p w14:paraId="099265A8">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Loss</w:t>
                  </w:r>
                </w:p>
                <w:p w14:paraId="4D104338">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770" w:type="dxa"/>
                  <w:tcBorders>
                    <w:tl2br w:val="nil"/>
                    <w:tr2bl w:val="nil"/>
                  </w:tcBorders>
                  <w:shd w:val="clear" w:color="auto" w:fill="auto"/>
                  <w:vAlign w:val="center"/>
                </w:tcPr>
                <w:p w14:paraId="46F63429">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SiO</w:t>
                  </w:r>
                  <w:r>
                    <w:rPr>
                      <w:rFonts w:hint="default" w:ascii="Times New Roman" w:hAnsi="Times New Roman" w:eastAsia="宋体" w:cs="Times New Roman"/>
                      <w:b/>
                      <w:bCs/>
                      <w:color w:val="auto"/>
                      <w:vertAlign w:val="subscript"/>
                      <w:lang w:val="en-US" w:eastAsia="zh-CN"/>
                    </w:rPr>
                    <w:t>2</w:t>
                  </w:r>
                </w:p>
                <w:p w14:paraId="2FDC15A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898" w:type="dxa"/>
                  <w:tcBorders>
                    <w:tl2br w:val="nil"/>
                    <w:tr2bl w:val="nil"/>
                  </w:tcBorders>
                  <w:shd w:val="clear" w:color="auto" w:fill="auto"/>
                  <w:vAlign w:val="center"/>
                </w:tcPr>
                <w:p w14:paraId="5823CBAB">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A1</w:t>
                  </w:r>
                  <w:r>
                    <w:rPr>
                      <w:rFonts w:hint="default" w:ascii="Times New Roman" w:hAnsi="Times New Roman" w:eastAsia="宋体" w:cs="Times New Roman"/>
                      <w:b/>
                      <w:bCs/>
                      <w:color w:val="auto"/>
                      <w:vertAlign w:val="subscript"/>
                      <w:lang w:val="en-US" w:eastAsia="zh-CN"/>
                    </w:rPr>
                    <w:t>2</w:t>
                  </w:r>
                  <w:r>
                    <w:rPr>
                      <w:rFonts w:hint="default" w:ascii="Times New Roman" w:hAnsi="Times New Roman" w:eastAsia="宋体" w:cs="Times New Roman"/>
                      <w:b/>
                      <w:bCs/>
                      <w:color w:val="auto"/>
                      <w:lang w:val="en-US" w:eastAsia="zh-CN"/>
                    </w:rPr>
                    <w:t>O</w:t>
                  </w:r>
                  <w:r>
                    <w:rPr>
                      <w:rFonts w:hint="default" w:ascii="Times New Roman" w:hAnsi="Times New Roman" w:eastAsia="宋体" w:cs="Times New Roman"/>
                      <w:b/>
                      <w:bCs/>
                      <w:color w:val="auto"/>
                      <w:vertAlign w:val="subscript"/>
                      <w:lang w:val="en-US" w:eastAsia="zh-CN"/>
                    </w:rPr>
                    <w:t>3</w:t>
                  </w:r>
                </w:p>
                <w:p w14:paraId="69972E9A">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897" w:type="dxa"/>
                  <w:tcBorders>
                    <w:tl2br w:val="nil"/>
                    <w:tr2bl w:val="nil"/>
                  </w:tcBorders>
                  <w:shd w:val="clear" w:color="auto" w:fill="auto"/>
                  <w:vAlign w:val="center"/>
                </w:tcPr>
                <w:p w14:paraId="469D859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vertAlign w:val="subscript"/>
                      <w:lang w:val="en-US" w:eastAsia="zh-CN"/>
                    </w:rPr>
                  </w:pPr>
                  <w:r>
                    <w:rPr>
                      <w:rFonts w:hint="default" w:ascii="Times New Roman" w:hAnsi="Times New Roman" w:eastAsia="宋体" w:cs="Times New Roman"/>
                      <w:b/>
                      <w:bCs/>
                      <w:color w:val="auto"/>
                      <w:lang w:val="en-US" w:eastAsia="zh-CN"/>
                    </w:rPr>
                    <w:t>Fe</w:t>
                  </w:r>
                  <w:r>
                    <w:rPr>
                      <w:rFonts w:hint="default" w:ascii="Times New Roman" w:hAnsi="Times New Roman" w:eastAsia="宋体" w:cs="Times New Roman"/>
                      <w:b/>
                      <w:bCs/>
                      <w:color w:val="auto"/>
                      <w:vertAlign w:val="subscript"/>
                      <w:lang w:val="en-US" w:eastAsia="zh-CN"/>
                    </w:rPr>
                    <w:t>2</w:t>
                  </w:r>
                  <w:r>
                    <w:rPr>
                      <w:rFonts w:hint="default" w:ascii="Times New Roman" w:hAnsi="Times New Roman" w:eastAsia="宋体" w:cs="Times New Roman"/>
                      <w:b/>
                      <w:bCs/>
                      <w:color w:val="auto"/>
                      <w:lang w:val="en-US" w:eastAsia="zh-CN"/>
                    </w:rPr>
                    <w:t>O</w:t>
                  </w:r>
                  <w:r>
                    <w:rPr>
                      <w:rFonts w:hint="default" w:ascii="Times New Roman" w:hAnsi="Times New Roman" w:eastAsia="宋体" w:cs="Times New Roman"/>
                      <w:b/>
                      <w:bCs/>
                      <w:color w:val="auto"/>
                      <w:vertAlign w:val="subscript"/>
                      <w:lang w:val="en-US" w:eastAsia="zh-CN"/>
                    </w:rPr>
                    <w:t>3</w:t>
                  </w:r>
                </w:p>
                <w:p w14:paraId="1338D70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896" w:type="dxa"/>
                  <w:tcBorders>
                    <w:tl2br w:val="nil"/>
                    <w:tr2bl w:val="nil"/>
                  </w:tcBorders>
                  <w:shd w:val="clear" w:color="auto" w:fill="auto"/>
                  <w:vAlign w:val="center"/>
                </w:tcPr>
                <w:p w14:paraId="42177984">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CaO</w:t>
                  </w:r>
                </w:p>
                <w:p w14:paraId="4C7F0E5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897" w:type="dxa"/>
                  <w:tcBorders>
                    <w:tl2br w:val="nil"/>
                    <w:tr2bl w:val="nil"/>
                  </w:tcBorders>
                  <w:shd w:val="clear" w:color="auto" w:fill="auto"/>
                  <w:vAlign w:val="center"/>
                </w:tcPr>
                <w:p w14:paraId="40371A79">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MgO</w:t>
                  </w:r>
                </w:p>
                <w:p w14:paraId="4661AAC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680" w:type="dxa"/>
                  <w:tcBorders>
                    <w:tl2br w:val="nil"/>
                    <w:tr2bl w:val="nil"/>
                  </w:tcBorders>
                  <w:shd w:val="clear" w:color="auto" w:fill="auto"/>
                  <w:vAlign w:val="center"/>
                </w:tcPr>
                <w:p w14:paraId="5F2AEB8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SO</w:t>
                  </w:r>
                  <w:r>
                    <w:rPr>
                      <w:rFonts w:hint="default" w:ascii="Times New Roman" w:hAnsi="Times New Roman" w:eastAsia="宋体" w:cs="Times New Roman"/>
                      <w:b/>
                      <w:bCs/>
                      <w:color w:val="auto"/>
                      <w:vertAlign w:val="subscript"/>
                      <w:lang w:val="en-US" w:eastAsia="zh-CN"/>
                    </w:rPr>
                    <w:t>3</w:t>
                  </w:r>
                </w:p>
                <w:p w14:paraId="4681BE52">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770" w:type="dxa"/>
                  <w:tcBorders>
                    <w:tl2br w:val="nil"/>
                    <w:tr2bl w:val="nil"/>
                  </w:tcBorders>
                  <w:shd w:val="clear" w:color="auto" w:fill="auto"/>
                  <w:vAlign w:val="center"/>
                </w:tcPr>
                <w:p w14:paraId="0043FFE9">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F</w:t>
                  </w:r>
                </w:p>
                <w:p w14:paraId="7D07FD9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784" w:type="dxa"/>
                  <w:tcBorders>
                    <w:tl2br w:val="nil"/>
                    <w:tr2bl w:val="nil"/>
                  </w:tcBorders>
                  <w:shd w:val="clear" w:color="auto" w:fill="auto"/>
                  <w:vAlign w:val="center"/>
                </w:tcPr>
                <w:p w14:paraId="05898B17">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eastAsia" w:cs="Times New Roman"/>
                      <w:b/>
                      <w:bCs/>
                      <w:color w:val="auto"/>
                      <w:lang w:val="en-US" w:eastAsia="zh-CN"/>
                    </w:rPr>
                    <w:t>Cl</w:t>
                  </w:r>
                </w:p>
                <w:p w14:paraId="7DA311F5">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772" w:type="dxa"/>
                  <w:tcBorders>
                    <w:tl2br w:val="nil"/>
                    <w:tr2bl w:val="nil"/>
                  </w:tcBorders>
                  <w:shd w:val="clear" w:color="auto" w:fill="auto"/>
                  <w:vAlign w:val="center"/>
                </w:tcPr>
                <w:p w14:paraId="06D5B793">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K</w:t>
                  </w:r>
                  <w:r>
                    <w:rPr>
                      <w:rFonts w:hint="default" w:ascii="Times New Roman" w:hAnsi="Times New Roman" w:eastAsia="宋体" w:cs="Times New Roman"/>
                      <w:b/>
                      <w:bCs/>
                      <w:color w:val="auto"/>
                      <w:vertAlign w:val="subscript"/>
                      <w:lang w:val="en-US" w:eastAsia="zh-CN"/>
                    </w:rPr>
                    <w:t>2</w:t>
                  </w:r>
                  <w:r>
                    <w:rPr>
                      <w:rFonts w:hint="default" w:ascii="Times New Roman" w:hAnsi="Times New Roman" w:eastAsia="宋体" w:cs="Times New Roman"/>
                      <w:b/>
                      <w:bCs/>
                      <w:color w:val="auto"/>
                      <w:lang w:val="en-US" w:eastAsia="zh-CN"/>
                    </w:rPr>
                    <w:t>O</w:t>
                  </w:r>
                </w:p>
                <w:p w14:paraId="1375ED71">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c>
                <w:tcPr>
                  <w:tcW w:w="690" w:type="dxa"/>
                  <w:tcBorders>
                    <w:tl2br w:val="nil"/>
                    <w:tr2bl w:val="nil"/>
                  </w:tcBorders>
                  <w:shd w:val="clear" w:color="auto" w:fill="auto"/>
                  <w:vAlign w:val="center"/>
                </w:tcPr>
                <w:p w14:paraId="7F660C9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Na</w:t>
                  </w:r>
                  <w:r>
                    <w:rPr>
                      <w:rFonts w:hint="default" w:ascii="Times New Roman" w:hAnsi="Times New Roman" w:eastAsia="宋体" w:cs="Times New Roman"/>
                      <w:b/>
                      <w:bCs/>
                      <w:color w:val="auto"/>
                      <w:vertAlign w:val="subscript"/>
                      <w:lang w:val="en-US" w:eastAsia="zh-CN"/>
                    </w:rPr>
                    <w:t>2</w:t>
                  </w:r>
                  <w:r>
                    <w:rPr>
                      <w:rFonts w:hint="default" w:ascii="Times New Roman" w:hAnsi="Times New Roman" w:eastAsia="宋体" w:cs="Times New Roman"/>
                      <w:b/>
                      <w:bCs/>
                      <w:color w:val="auto"/>
                      <w:lang w:val="en-US" w:eastAsia="zh-CN"/>
                    </w:rPr>
                    <w:t>O</w:t>
                  </w:r>
                </w:p>
                <w:p w14:paraId="62A2EF0D">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w:t>
                  </w:r>
                </w:p>
              </w:tc>
            </w:tr>
            <w:tr w14:paraId="2DF37A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17DE15CD">
                  <w:pPr>
                    <w:pStyle w:val="43"/>
                    <w:bidi w:val="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炉渣</w:t>
                  </w:r>
                </w:p>
              </w:tc>
              <w:tc>
                <w:tcPr>
                  <w:tcW w:w="764" w:type="dxa"/>
                  <w:tcBorders>
                    <w:tl2br w:val="nil"/>
                    <w:tr2bl w:val="nil"/>
                  </w:tcBorders>
                  <w:shd w:val="clear" w:color="auto" w:fill="auto"/>
                  <w:vAlign w:val="center"/>
                </w:tcPr>
                <w:p w14:paraId="053E543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A22A1B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10.560</w:t>
                  </w:r>
                </w:p>
              </w:tc>
              <w:tc>
                <w:tcPr>
                  <w:tcW w:w="891" w:type="dxa"/>
                  <w:tcBorders>
                    <w:tl2br w:val="nil"/>
                    <w:tr2bl w:val="nil"/>
                  </w:tcBorders>
                  <w:shd w:val="clear" w:color="auto" w:fill="auto"/>
                  <w:vAlign w:val="center"/>
                </w:tcPr>
                <w:p w14:paraId="1A619F5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4.32</w:t>
                  </w:r>
                </w:p>
              </w:tc>
              <w:tc>
                <w:tcPr>
                  <w:tcW w:w="839" w:type="dxa"/>
                  <w:tcBorders>
                    <w:tl2br w:val="nil"/>
                    <w:tr2bl w:val="nil"/>
                  </w:tcBorders>
                  <w:shd w:val="clear" w:color="auto" w:fill="auto"/>
                  <w:vAlign w:val="center"/>
                </w:tcPr>
                <w:p w14:paraId="35728906">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0.54</w:t>
                  </w:r>
                </w:p>
              </w:tc>
              <w:tc>
                <w:tcPr>
                  <w:tcW w:w="770" w:type="dxa"/>
                  <w:tcBorders>
                    <w:tl2br w:val="nil"/>
                    <w:tr2bl w:val="nil"/>
                  </w:tcBorders>
                  <w:shd w:val="clear" w:color="auto" w:fill="auto"/>
                  <w:vAlign w:val="center"/>
                </w:tcPr>
                <w:p w14:paraId="01CDE3AA">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53.56</w:t>
                  </w:r>
                </w:p>
              </w:tc>
              <w:tc>
                <w:tcPr>
                  <w:tcW w:w="898" w:type="dxa"/>
                  <w:tcBorders>
                    <w:tl2br w:val="nil"/>
                    <w:tr2bl w:val="nil"/>
                  </w:tcBorders>
                  <w:shd w:val="clear" w:color="auto" w:fill="auto"/>
                  <w:vAlign w:val="center"/>
                </w:tcPr>
                <w:p w14:paraId="705D08A0">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19.56</w:t>
                  </w:r>
                </w:p>
              </w:tc>
              <w:tc>
                <w:tcPr>
                  <w:tcW w:w="897" w:type="dxa"/>
                  <w:tcBorders>
                    <w:tl2br w:val="nil"/>
                    <w:tr2bl w:val="nil"/>
                  </w:tcBorders>
                  <w:shd w:val="clear" w:color="auto" w:fill="auto"/>
                  <w:vAlign w:val="center"/>
                </w:tcPr>
                <w:p w14:paraId="4C46E7DC">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20.13</w:t>
                  </w:r>
                </w:p>
              </w:tc>
              <w:tc>
                <w:tcPr>
                  <w:tcW w:w="896" w:type="dxa"/>
                  <w:tcBorders>
                    <w:tl2br w:val="nil"/>
                    <w:tr2bl w:val="nil"/>
                  </w:tcBorders>
                  <w:shd w:val="clear" w:color="auto" w:fill="auto"/>
                  <w:vAlign w:val="center"/>
                </w:tcPr>
                <w:p w14:paraId="40DBE97B">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10.3</w:t>
                  </w:r>
                </w:p>
              </w:tc>
              <w:tc>
                <w:tcPr>
                  <w:tcW w:w="897" w:type="dxa"/>
                  <w:tcBorders>
                    <w:tl2br w:val="nil"/>
                    <w:tr2bl w:val="nil"/>
                  </w:tcBorders>
                  <w:shd w:val="clear" w:color="auto" w:fill="auto"/>
                  <w:vAlign w:val="center"/>
                </w:tcPr>
                <w:p w14:paraId="33177DC3">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1.236</w:t>
                  </w:r>
                </w:p>
              </w:tc>
              <w:tc>
                <w:tcPr>
                  <w:tcW w:w="680" w:type="dxa"/>
                  <w:tcBorders>
                    <w:tl2br w:val="nil"/>
                    <w:tr2bl w:val="nil"/>
                  </w:tcBorders>
                  <w:shd w:val="clear" w:color="auto" w:fill="auto"/>
                  <w:vAlign w:val="center"/>
                </w:tcPr>
                <w:p w14:paraId="2B109C21">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0.52</w:t>
                  </w:r>
                </w:p>
              </w:tc>
              <w:tc>
                <w:tcPr>
                  <w:tcW w:w="770" w:type="dxa"/>
                  <w:tcBorders>
                    <w:tl2br w:val="nil"/>
                    <w:tr2bl w:val="nil"/>
                  </w:tcBorders>
                  <w:shd w:val="clear" w:color="auto" w:fill="auto"/>
                  <w:vAlign w:val="center"/>
                </w:tcPr>
                <w:p w14:paraId="250857BD">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10E001E0">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0.018</w:t>
                  </w:r>
                </w:p>
              </w:tc>
              <w:tc>
                <w:tcPr>
                  <w:tcW w:w="772" w:type="dxa"/>
                  <w:tcBorders>
                    <w:tl2br w:val="nil"/>
                    <w:tr2bl w:val="nil"/>
                  </w:tcBorders>
                  <w:shd w:val="clear" w:color="auto" w:fill="auto"/>
                  <w:vAlign w:val="center"/>
                </w:tcPr>
                <w:p w14:paraId="69048ECB">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2.04</w:t>
                  </w:r>
                </w:p>
              </w:tc>
              <w:tc>
                <w:tcPr>
                  <w:tcW w:w="690" w:type="dxa"/>
                  <w:tcBorders>
                    <w:tl2br w:val="nil"/>
                    <w:tr2bl w:val="nil"/>
                  </w:tcBorders>
                  <w:shd w:val="clear" w:color="auto" w:fill="auto"/>
                  <w:vAlign w:val="center"/>
                </w:tcPr>
                <w:p w14:paraId="37AE0AE7">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0.29</w:t>
                  </w:r>
                </w:p>
              </w:tc>
            </w:tr>
            <w:tr w14:paraId="7DDB04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64F7BE77">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铁矿选矿粉末</w:t>
                  </w:r>
                </w:p>
              </w:tc>
              <w:tc>
                <w:tcPr>
                  <w:tcW w:w="764" w:type="dxa"/>
                  <w:tcBorders>
                    <w:tl2br w:val="nil"/>
                    <w:tr2bl w:val="nil"/>
                  </w:tcBorders>
                  <w:shd w:val="clear" w:color="auto" w:fill="auto"/>
                  <w:vAlign w:val="center"/>
                </w:tcPr>
                <w:p w14:paraId="62A34FBD">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376E6DA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15.895</w:t>
                  </w:r>
                </w:p>
              </w:tc>
              <w:tc>
                <w:tcPr>
                  <w:tcW w:w="891" w:type="dxa"/>
                  <w:tcBorders>
                    <w:tl2br w:val="nil"/>
                    <w:tr2bl w:val="nil"/>
                  </w:tcBorders>
                  <w:shd w:val="clear" w:color="auto" w:fill="auto"/>
                  <w:vAlign w:val="center"/>
                </w:tcPr>
                <w:p w14:paraId="6E3E2C62">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5.61</w:t>
                  </w:r>
                </w:p>
              </w:tc>
              <w:tc>
                <w:tcPr>
                  <w:tcW w:w="839" w:type="dxa"/>
                  <w:tcBorders>
                    <w:tl2br w:val="nil"/>
                    <w:tr2bl w:val="nil"/>
                  </w:tcBorders>
                  <w:shd w:val="clear" w:color="auto" w:fill="auto"/>
                  <w:vAlign w:val="center"/>
                </w:tcPr>
                <w:p w14:paraId="67C168DF">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2.17</w:t>
                  </w:r>
                </w:p>
              </w:tc>
              <w:tc>
                <w:tcPr>
                  <w:tcW w:w="770" w:type="dxa"/>
                  <w:tcBorders>
                    <w:tl2br w:val="nil"/>
                    <w:tr2bl w:val="nil"/>
                  </w:tcBorders>
                  <w:shd w:val="clear" w:color="auto" w:fill="auto"/>
                  <w:vAlign w:val="center"/>
                </w:tcPr>
                <w:p w14:paraId="21A1C6D8">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56.23</w:t>
                  </w:r>
                </w:p>
              </w:tc>
              <w:tc>
                <w:tcPr>
                  <w:tcW w:w="898" w:type="dxa"/>
                  <w:tcBorders>
                    <w:tl2br w:val="nil"/>
                    <w:tr2bl w:val="nil"/>
                  </w:tcBorders>
                  <w:shd w:val="clear" w:color="auto" w:fill="auto"/>
                  <w:vAlign w:val="center"/>
                </w:tcPr>
                <w:p w14:paraId="28F10EF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7.56</w:t>
                  </w:r>
                </w:p>
              </w:tc>
              <w:tc>
                <w:tcPr>
                  <w:tcW w:w="897" w:type="dxa"/>
                  <w:tcBorders>
                    <w:tl2br w:val="nil"/>
                    <w:tr2bl w:val="nil"/>
                  </w:tcBorders>
                  <w:shd w:val="clear" w:color="auto" w:fill="auto"/>
                  <w:vAlign w:val="center"/>
                </w:tcPr>
                <w:p w14:paraId="4B55C6C2">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34..56</w:t>
                  </w:r>
                </w:p>
              </w:tc>
              <w:tc>
                <w:tcPr>
                  <w:tcW w:w="896" w:type="dxa"/>
                  <w:tcBorders>
                    <w:tl2br w:val="nil"/>
                    <w:tr2bl w:val="nil"/>
                  </w:tcBorders>
                  <w:shd w:val="clear" w:color="auto" w:fill="auto"/>
                  <w:vAlign w:val="center"/>
                </w:tcPr>
                <w:p w14:paraId="4986DE79">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2.32</w:t>
                  </w:r>
                </w:p>
              </w:tc>
              <w:tc>
                <w:tcPr>
                  <w:tcW w:w="897" w:type="dxa"/>
                  <w:tcBorders>
                    <w:tl2br w:val="nil"/>
                    <w:tr2bl w:val="nil"/>
                  </w:tcBorders>
                  <w:shd w:val="clear" w:color="auto" w:fill="auto"/>
                  <w:vAlign w:val="center"/>
                </w:tcPr>
                <w:p w14:paraId="0887447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2.13</w:t>
                  </w:r>
                </w:p>
              </w:tc>
              <w:tc>
                <w:tcPr>
                  <w:tcW w:w="680" w:type="dxa"/>
                  <w:tcBorders>
                    <w:tl2br w:val="nil"/>
                    <w:tr2bl w:val="nil"/>
                  </w:tcBorders>
                  <w:shd w:val="clear" w:color="auto" w:fill="auto"/>
                  <w:vAlign w:val="center"/>
                </w:tcPr>
                <w:p w14:paraId="1DFB34BD">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0.86</w:t>
                  </w:r>
                </w:p>
              </w:tc>
              <w:tc>
                <w:tcPr>
                  <w:tcW w:w="770" w:type="dxa"/>
                  <w:tcBorders>
                    <w:tl2br w:val="nil"/>
                    <w:tr2bl w:val="nil"/>
                  </w:tcBorders>
                  <w:shd w:val="clear" w:color="auto" w:fill="auto"/>
                  <w:vAlign w:val="center"/>
                </w:tcPr>
                <w:p w14:paraId="7F35163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31C4076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0.009</w:t>
                  </w:r>
                </w:p>
              </w:tc>
              <w:tc>
                <w:tcPr>
                  <w:tcW w:w="772" w:type="dxa"/>
                  <w:tcBorders>
                    <w:tl2br w:val="nil"/>
                    <w:tr2bl w:val="nil"/>
                  </w:tcBorders>
                  <w:shd w:val="clear" w:color="auto" w:fill="auto"/>
                  <w:vAlign w:val="center"/>
                </w:tcPr>
                <w:p w14:paraId="59539DBE">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1.26</w:t>
                  </w:r>
                </w:p>
              </w:tc>
              <w:tc>
                <w:tcPr>
                  <w:tcW w:w="690" w:type="dxa"/>
                  <w:tcBorders>
                    <w:tl2br w:val="nil"/>
                    <w:tr2bl w:val="nil"/>
                  </w:tcBorders>
                  <w:shd w:val="clear" w:color="auto" w:fill="auto"/>
                  <w:vAlign w:val="center"/>
                </w:tcPr>
                <w:p w14:paraId="6506F52F">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0.54</w:t>
                  </w:r>
                </w:p>
              </w:tc>
            </w:tr>
            <w:tr w14:paraId="437FE0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2EEB511B">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尾矿渣</w:t>
                  </w:r>
                </w:p>
              </w:tc>
              <w:tc>
                <w:tcPr>
                  <w:tcW w:w="764" w:type="dxa"/>
                  <w:tcBorders>
                    <w:tl2br w:val="nil"/>
                    <w:tr2bl w:val="nil"/>
                  </w:tcBorders>
                  <w:shd w:val="clear" w:color="auto" w:fill="auto"/>
                  <w:vAlign w:val="center"/>
                </w:tcPr>
                <w:p w14:paraId="102120D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EF01D3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56.323</w:t>
                  </w:r>
                </w:p>
              </w:tc>
              <w:tc>
                <w:tcPr>
                  <w:tcW w:w="891" w:type="dxa"/>
                  <w:tcBorders>
                    <w:tl2br w:val="nil"/>
                    <w:tr2bl w:val="nil"/>
                  </w:tcBorders>
                  <w:shd w:val="clear" w:color="auto" w:fill="auto"/>
                  <w:vAlign w:val="center"/>
                </w:tcPr>
                <w:p w14:paraId="2B53491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10.73</w:t>
                  </w:r>
                </w:p>
              </w:tc>
              <w:tc>
                <w:tcPr>
                  <w:tcW w:w="839" w:type="dxa"/>
                  <w:tcBorders>
                    <w:tl2br w:val="nil"/>
                    <w:tr2bl w:val="nil"/>
                  </w:tcBorders>
                  <w:shd w:val="clear" w:color="auto" w:fill="auto"/>
                  <w:vAlign w:val="center"/>
                </w:tcPr>
                <w:p w14:paraId="3697A45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1.09</w:t>
                  </w:r>
                </w:p>
              </w:tc>
              <w:tc>
                <w:tcPr>
                  <w:tcW w:w="770" w:type="dxa"/>
                  <w:tcBorders>
                    <w:tl2br w:val="nil"/>
                    <w:tr2bl w:val="nil"/>
                  </w:tcBorders>
                  <w:shd w:val="clear" w:color="auto" w:fill="auto"/>
                  <w:vAlign w:val="center"/>
                </w:tcPr>
                <w:p w14:paraId="49CD8C0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45.26</w:t>
                  </w:r>
                </w:p>
              </w:tc>
              <w:tc>
                <w:tcPr>
                  <w:tcW w:w="898" w:type="dxa"/>
                  <w:tcBorders>
                    <w:tl2br w:val="nil"/>
                    <w:tr2bl w:val="nil"/>
                  </w:tcBorders>
                  <w:shd w:val="clear" w:color="auto" w:fill="auto"/>
                  <w:vAlign w:val="center"/>
                </w:tcPr>
                <w:p w14:paraId="4B1BCA0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15.56</w:t>
                  </w:r>
                </w:p>
              </w:tc>
              <w:tc>
                <w:tcPr>
                  <w:tcW w:w="897" w:type="dxa"/>
                  <w:tcBorders>
                    <w:tl2br w:val="nil"/>
                    <w:tr2bl w:val="nil"/>
                  </w:tcBorders>
                  <w:shd w:val="clear" w:color="auto" w:fill="auto"/>
                  <w:vAlign w:val="center"/>
                </w:tcPr>
                <w:p w14:paraId="78634AB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30.56</w:t>
                  </w:r>
                </w:p>
              </w:tc>
              <w:tc>
                <w:tcPr>
                  <w:tcW w:w="896" w:type="dxa"/>
                  <w:tcBorders>
                    <w:tl2br w:val="nil"/>
                    <w:tr2bl w:val="nil"/>
                  </w:tcBorders>
                  <w:shd w:val="clear" w:color="auto" w:fill="auto"/>
                  <w:vAlign w:val="center"/>
                </w:tcPr>
                <w:p w14:paraId="3B08505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2.03</w:t>
                  </w:r>
                </w:p>
              </w:tc>
              <w:tc>
                <w:tcPr>
                  <w:tcW w:w="897" w:type="dxa"/>
                  <w:tcBorders>
                    <w:tl2br w:val="nil"/>
                    <w:tr2bl w:val="nil"/>
                  </w:tcBorders>
                  <w:shd w:val="clear" w:color="auto" w:fill="auto"/>
                  <w:vAlign w:val="center"/>
                </w:tcPr>
                <w:p w14:paraId="1CEE27C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4.56</w:t>
                  </w:r>
                </w:p>
              </w:tc>
              <w:tc>
                <w:tcPr>
                  <w:tcW w:w="680" w:type="dxa"/>
                  <w:tcBorders>
                    <w:tl2br w:val="nil"/>
                    <w:tr2bl w:val="nil"/>
                  </w:tcBorders>
                  <w:shd w:val="clear" w:color="auto" w:fill="auto"/>
                  <w:vAlign w:val="center"/>
                </w:tcPr>
                <w:p w14:paraId="697BCAB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0.61</w:t>
                  </w:r>
                </w:p>
              </w:tc>
              <w:tc>
                <w:tcPr>
                  <w:tcW w:w="770" w:type="dxa"/>
                  <w:tcBorders>
                    <w:tl2br w:val="nil"/>
                    <w:tr2bl w:val="nil"/>
                  </w:tcBorders>
                  <w:shd w:val="clear" w:color="auto" w:fill="auto"/>
                  <w:vAlign w:val="center"/>
                </w:tcPr>
                <w:p w14:paraId="7CD390B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2ED7387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c>
                <w:tcPr>
                  <w:tcW w:w="772" w:type="dxa"/>
                  <w:tcBorders>
                    <w:tl2br w:val="nil"/>
                    <w:tr2bl w:val="nil"/>
                  </w:tcBorders>
                  <w:shd w:val="clear" w:color="auto" w:fill="auto"/>
                  <w:vAlign w:val="center"/>
                </w:tcPr>
                <w:p w14:paraId="087088D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1.23</w:t>
                  </w:r>
                </w:p>
              </w:tc>
              <w:tc>
                <w:tcPr>
                  <w:tcW w:w="690" w:type="dxa"/>
                  <w:tcBorders>
                    <w:tl2br w:val="nil"/>
                    <w:tr2bl w:val="nil"/>
                  </w:tcBorders>
                  <w:shd w:val="clear" w:color="auto" w:fill="auto"/>
                  <w:vAlign w:val="center"/>
                </w:tcPr>
                <w:p w14:paraId="2884E1D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0.63</w:t>
                  </w:r>
                </w:p>
              </w:tc>
            </w:tr>
            <w:tr w14:paraId="10684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52E8952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铁合金炉渣</w:t>
                  </w:r>
                </w:p>
              </w:tc>
              <w:tc>
                <w:tcPr>
                  <w:tcW w:w="764" w:type="dxa"/>
                  <w:tcBorders>
                    <w:tl2br w:val="nil"/>
                    <w:tr2bl w:val="nil"/>
                  </w:tcBorders>
                  <w:shd w:val="clear" w:color="auto" w:fill="auto"/>
                  <w:vAlign w:val="center"/>
                </w:tcPr>
                <w:p w14:paraId="62C6423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7BEC788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0BC3680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9.82</w:t>
                  </w:r>
                </w:p>
              </w:tc>
              <w:tc>
                <w:tcPr>
                  <w:tcW w:w="839" w:type="dxa"/>
                  <w:tcBorders>
                    <w:tl2br w:val="nil"/>
                    <w:tr2bl w:val="nil"/>
                  </w:tcBorders>
                  <w:shd w:val="clear" w:color="auto" w:fill="auto"/>
                  <w:vAlign w:val="center"/>
                </w:tcPr>
                <w:p w14:paraId="57D2B0F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0.63</w:t>
                  </w:r>
                </w:p>
              </w:tc>
              <w:tc>
                <w:tcPr>
                  <w:tcW w:w="770" w:type="dxa"/>
                  <w:tcBorders>
                    <w:tl2br w:val="nil"/>
                    <w:tr2bl w:val="nil"/>
                  </w:tcBorders>
                  <w:shd w:val="clear" w:color="auto" w:fill="auto"/>
                  <w:vAlign w:val="center"/>
                </w:tcPr>
                <w:p w14:paraId="2ABE220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40.35</w:t>
                  </w:r>
                </w:p>
              </w:tc>
              <w:tc>
                <w:tcPr>
                  <w:tcW w:w="898" w:type="dxa"/>
                  <w:tcBorders>
                    <w:tl2br w:val="nil"/>
                    <w:tr2bl w:val="nil"/>
                  </w:tcBorders>
                  <w:shd w:val="clear" w:color="auto" w:fill="auto"/>
                  <w:vAlign w:val="center"/>
                </w:tcPr>
                <w:p w14:paraId="6EC87FC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5.36</w:t>
                  </w:r>
                </w:p>
              </w:tc>
              <w:tc>
                <w:tcPr>
                  <w:tcW w:w="897" w:type="dxa"/>
                  <w:tcBorders>
                    <w:tl2br w:val="nil"/>
                    <w:tr2bl w:val="nil"/>
                  </w:tcBorders>
                  <w:shd w:val="clear" w:color="auto" w:fill="auto"/>
                  <w:vAlign w:val="center"/>
                </w:tcPr>
                <w:p w14:paraId="56CA6B6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1.35</w:t>
                  </w:r>
                </w:p>
              </w:tc>
              <w:tc>
                <w:tcPr>
                  <w:tcW w:w="896" w:type="dxa"/>
                  <w:tcBorders>
                    <w:tl2br w:val="nil"/>
                    <w:tr2bl w:val="nil"/>
                  </w:tcBorders>
                  <w:shd w:val="clear" w:color="auto" w:fill="auto"/>
                  <w:vAlign w:val="center"/>
                </w:tcPr>
                <w:p w14:paraId="2359E52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45.03</w:t>
                  </w:r>
                </w:p>
              </w:tc>
              <w:tc>
                <w:tcPr>
                  <w:tcW w:w="897" w:type="dxa"/>
                  <w:tcBorders>
                    <w:tl2br w:val="nil"/>
                    <w:tr2bl w:val="nil"/>
                  </w:tcBorders>
                  <w:shd w:val="clear" w:color="auto" w:fill="auto"/>
                  <w:vAlign w:val="center"/>
                </w:tcPr>
                <w:p w14:paraId="68514B4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0.35</w:t>
                  </w:r>
                </w:p>
              </w:tc>
              <w:tc>
                <w:tcPr>
                  <w:tcW w:w="680" w:type="dxa"/>
                  <w:tcBorders>
                    <w:tl2br w:val="nil"/>
                    <w:tr2bl w:val="nil"/>
                  </w:tcBorders>
                  <w:shd w:val="clear" w:color="auto" w:fill="auto"/>
                  <w:vAlign w:val="center"/>
                </w:tcPr>
                <w:p w14:paraId="1355CDB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0.19</w:t>
                  </w:r>
                </w:p>
              </w:tc>
              <w:tc>
                <w:tcPr>
                  <w:tcW w:w="770" w:type="dxa"/>
                  <w:tcBorders>
                    <w:tl2br w:val="nil"/>
                    <w:tr2bl w:val="nil"/>
                  </w:tcBorders>
                  <w:shd w:val="clear" w:color="auto" w:fill="auto"/>
                  <w:vAlign w:val="center"/>
                </w:tcPr>
                <w:p w14:paraId="46B8B1D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589425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024D820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50A4536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31156B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3C88D982">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石英砂选矿</w:t>
                  </w:r>
                  <w:r>
                    <w:rPr>
                      <w:rFonts w:hint="eastAsia" w:cs="Times New Roman"/>
                      <w:b w:val="0"/>
                      <w:bCs w:val="0"/>
                      <w:color w:val="auto"/>
                      <w:lang w:val="en-US" w:eastAsia="zh-CN"/>
                    </w:rPr>
                    <w:t>污泥</w:t>
                  </w:r>
                </w:p>
              </w:tc>
              <w:tc>
                <w:tcPr>
                  <w:tcW w:w="764" w:type="dxa"/>
                  <w:tcBorders>
                    <w:tl2br w:val="nil"/>
                    <w:tr2bl w:val="nil"/>
                  </w:tcBorders>
                  <w:shd w:val="clear" w:color="auto" w:fill="auto"/>
                  <w:vAlign w:val="center"/>
                </w:tcPr>
                <w:p w14:paraId="5EA22A6D">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2EE8308">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46</w:t>
                  </w:r>
                  <w:r>
                    <w:rPr>
                      <w:rFonts w:hint="eastAsia" w:ascii="Times New Roman" w:hAnsi="Times New Roman" w:eastAsia="宋体" w:cs="Times New Roman"/>
                      <w:color w:val="auto"/>
                      <w:lang w:val="en-US" w:eastAsia="zh-CN"/>
                    </w:rPr>
                    <w:t>.0</w:t>
                  </w:r>
                </w:p>
              </w:tc>
              <w:tc>
                <w:tcPr>
                  <w:tcW w:w="891" w:type="dxa"/>
                  <w:tcBorders>
                    <w:tl2br w:val="nil"/>
                    <w:tr2bl w:val="nil"/>
                  </w:tcBorders>
                  <w:shd w:val="clear" w:color="auto" w:fill="auto"/>
                  <w:vAlign w:val="center"/>
                </w:tcPr>
                <w:p w14:paraId="49E6473A">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10.73</w:t>
                  </w:r>
                </w:p>
              </w:tc>
              <w:tc>
                <w:tcPr>
                  <w:tcW w:w="839" w:type="dxa"/>
                  <w:tcBorders>
                    <w:tl2br w:val="nil"/>
                    <w:tr2bl w:val="nil"/>
                  </w:tcBorders>
                  <w:shd w:val="clear" w:color="auto" w:fill="auto"/>
                  <w:vAlign w:val="center"/>
                </w:tcPr>
                <w:p w14:paraId="258B1627">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0.68</w:t>
                  </w:r>
                </w:p>
              </w:tc>
              <w:tc>
                <w:tcPr>
                  <w:tcW w:w="770" w:type="dxa"/>
                  <w:tcBorders>
                    <w:tl2br w:val="nil"/>
                    <w:tr2bl w:val="nil"/>
                  </w:tcBorders>
                  <w:shd w:val="clear" w:color="auto" w:fill="auto"/>
                  <w:vAlign w:val="center"/>
                </w:tcPr>
                <w:p w14:paraId="45404F49">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95.68</w:t>
                  </w:r>
                </w:p>
              </w:tc>
              <w:tc>
                <w:tcPr>
                  <w:tcW w:w="898" w:type="dxa"/>
                  <w:tcBorders>
                    <w:tl2br w:val="nil"/>
                    <w:tr2bl w:val="nil"/>
                  </w:tcBorders>
                  <w:shd w:val="clear" w:color="auto" w:fill="auto"/>
                  <w:vAlign w:val="center"/>
                </w:tcPr>
                <w:p w14:paraId="795FCD26">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2.07</w:t>
                  </w:r>
                </w:p>
              </w:tc>
              <w:tc>
                <w:tcPr>
                  <w:tcW w:w="897" w:type="dxa"/>
                  <w:tcBorders>
                    <w:tl2br w:val="nil"/>
                    <w:tr2bl w:val="nil"/>
                  </w:tcBorders>
                  <w:shd w:val="clear" w:color="auto" w:fill="auto"/>
                  <w:vAlign w:val="center"/>
                </w:tcPr>
                <w:p w14:paraId="734BE01C">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0.24</w:t>
                  </w:r>
                </w:p>
              </w:tc>
              <w:tc>
                <w:tcPr>
                  <w:tcW w:w="896" w:type="dxa"/>
                  <w:tcBorders>
                    <w:tl2br w:val="nil"/>
                    <w:tr2bl w:val="nil"/>
                  </w:tcBorders>
                  <w:shd w:val="clear" w:color="auto" w:fill="auto"/>
                  <w:vAlign w:val="center"/>
                </w:tcPr>
                <w:p w14:paraId="2FE2A006">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w:t>
                  </w:r>
                </w:p>
              </w:tc>
              <w:tc>
                <w:tcPr>
                  <w:tcW w:w="897" w:type="dxa"/>
                  <w:tcBorders>
                    <w:tl2br w:val="nil"/>
                    <w:tr2bl w:val="nil"/>
                  </w:tcBorders>
                  <w:shd w:val="clear" w:color="auto" w:fill="auto"/>
                  <w:vAlign w:val="center"/>
                </w:tcPr>
                <w:p w14:paraId="53FA3D37">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0.3</w:t>
                  </w:r>
                </w:p>
              </w:tc>
              <w:tc>
                <w:tcPr>
                  <w:tcW w:w="680" w:type="dxa"/>
                  <w:tcBorders>
                    <w:tl2br w:val="nil"/>
                    <w:tr2bl w:val="nil"/>
                  </w:tcBorders>
                  <w:shd w:val="clear" w:color="auto" w:fill="auto"/>
                  <w:vAlign w:val="center"/>
                </w:tcPr>
                <w:p w14:paraId="00844B34">
                  <w:pPr>
                    <w:pStyle w:val="43"/>
                    <w:bidi w:val="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w:t>
                  </w:r>
                  <w:r>
                    <w:rPr>
                      <w:rFonts w:hint="eastAsia" w:ascii="Times New Roman" w:hAnsi="Times New Roman" w:eastAsia="宋体" w:cs="Times New Roman"/>
                      <w:color w:val="auto"/>
                      <w:lang w:val="en-US" w:eastAsia="zh-CN"/>
                    </w:rPr>
                    <w:t>42</w:t>
                  </w:r>
                </w:p>
              </w:tc>
              <w:tc>
                <w:tcPr>
                  <w:tcW w:w="770" w:type="dxa"/>
                  <w:tcBorders>
                    <w:tl2br w:val="nil"/>
                    <w:tr2bl w:val="nil"/>
                  </w:tcBorders>
                  <w:shd w:val="clear" w:color="auto" w:fill="auto"/>
                  <w:vAlign w:val="center"/>
                </w:tcPr>
                <w:p w14:paraId="2B5A20C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3A4BB43F">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tcBorders>
                    <w:tl2br w:val="nil"/>
                    <w:tr2bl w:val="nil"/>
                  </w:tcBorders>
                  <w:shd w:val="clear" w:color="auto" w:fill="auto"/>
                  <w:vAlign w:val="center"/>
                </w:tcPr>
                <w:p w14:paraId="4F9A6C6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tcBorders>
                    <w:tl2br w:val="nil"/>
                    <w:tr2bl w:val="nil"/>
                  </w:tcBorders>
                  <w:shd w:val="clear" w:color="auto" w:fill="auto"/>
                  <w:vAlign w:val="center"/>
                </w:tcPr>
                <w:p w14:paraId="77F20C77">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10F4E8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31576237">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煤矸石</w:t>
                  </w:r>
                </w:p>
              </w:tc>
              <w:tc>
                <w:tcPr>
                  <w:tcW w:w="764" w:type="dxa"/>
                  <w:tcBorders>
                    <w:tl2br w:val="nil"/>
                    <w:tr2bl w:val="nil"/>
                  </w:tcBorders>
                  <w:shd w:val="clear" w:color="auto" w:fill="auto"/>
                  <w:vAlign w:val="center"/>
                </w:tcPr>
                <w:p w14:paraId="6045796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E9CA49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33.564</w:t>
                  </w:r>
                </w:p>
              </w:tc>
              <w:tc>
                <w:tcPr>
                  <w:tcW w:w="891" w:type="dxa"/>
                  <w:tcBorders>
                    <w:tl2br w:val="nil"/>
                    <w:tr2bl w:val="nil"/>
                  </w:tcBorders>
                  <w:shd w:val="clear" w:color="auto" w:fill="auto"/>
                  <w:vAlign w:val="center"/>
                </w:tcPr>
                <w:p w14:paraId="4E9AEFD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5.63</w:t>
                  </w:r>
                </w:p>
              </w:tc>
              <w:tc>
                <w:tcPr>
                  <w:tcW w:w="839" w:type="dxa"/>
                  <w:tcBorders>
                    <w:tl2br w:val="nil"/>
                    <w:tr2bl w:val="nil"/>
                  </w:tcBorders>
                  <w:shd w:val="clear" w:color="auto" w:fill="auto"/>
                  <w:vAlign w:val="center"/>
                </w:tcPr>
                <w:p w14:paraId="75F1169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0.36</w:t>
                  </w:r>
                </w:p>
              </w:tc>
              <w:tc>
                <w:tcPr>
                  <w:tcW w:w="770" w:type="dxa"/>
                  <w:tcBorders>
                    <w:tl2br w:val="nil"/>
                    <w:tr2bl w:val="nil"/>
                  </w:tcBorders>
                  <w:shd w:val="clear" w:color="auto" w:fill="auto"/>
                  <w:vAlign w:val="center"/>
                </w:tcPr>
                <w:p w14:paraId="51FE789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49.68</w:t>
                  </w:r>
                </w:p>
              </w:tc>
              <w:tc>
                <w:tcPr>
                  <w:tcW w:w="898" w:type="dxa"/>
                  <w:tcBorders>
                    <w:tl2br w:val="nil"/>
                    <w:tr2bl w:val="nil"/>
                  </w:tcBorders>
                  <w:shd w:val="clear" w:color="auto" w:fill="auto"/>
                  <w:vAlign w:val="center"/>
                </w:tcPr>
                <w:p w14:paraId="5C8EA2D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4.67</w:t>
                  </w:r>
                </w:p>
              </w:tc>
              <w:tc>
                <w:tcPr>
                  <w:tcW w:w="897" w:type="dxa"/>
                  <w:tcBorders>
                    <w:tl2br w:val="nil"/>
                    <w:tr2bl w:val="nil"/>
                  </w:tcBorders>
                  <w:shd w:val="clear" w:color="auto" w:fill="auto"/>
                  <w:vAlign w:val="center"/>
                </w:tcPr>
                <w:p w14:paraId="6B3301B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3.26</w:t>
                  </w:r>
                </w:p>
              </w:tc>
              <w:tc>
                <w:tcPr>
                  <w:tcW w:w="896" w:type="dxa"/>
                  <w:tcBorders>
                    <w:tl2br w:val="nil"/>
                    <w:tr2bl w:val="nil"/>
                  </w:tcBorders>
                  <w:shd w:val="clear" w:color="auto" w:fill="auto"/>
                  <w:vAlign w:val="center"/>
                </w:tcPr>
                <w:p w14:paraId="65D7146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0.35</w:t>
                  </w:r>
                </w:p>
              </w:tc>
              <w:tc>
                <w:tcPr>
                  <w:tcW w:w="897" w:type="dxa"/>
                  <w:tcBorders>
                    <w:tl2br w:val="nil"/>
                    <w:tr2bl w:val="nil"/>
                  </w:tcBorders>
                  <w:shd w:val="clear" w:color="auto" w:fill="auto"/>
                  <w:vAlign w:val="center"/>
                </w:tcPr>
                <w:p w14:paraId="56D7132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0.35</w:t>
                  </w:r>
                </w:p>
              </w:tc>
              <w:tc>
                <w:tcPr>
                  <w:tcW w:w="680" w:type="dxa"/>
                  <w:tcBorders>
                    <w:tl2br w:val="nil"/>
                    <w:tr2bl w:val="nil"/>
                  </w:tcBorders>
                  <w:shd w:val="clear" w:color="auto" w:fill="auto"/>
                  <w:vAlign w:val="center"/>
                </w:tcPr>
                <w:p w14:paraId="4636FAD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0.57</w:t>
                  </w:r>
                </w:p>
              </w:tc>
              <w:tc>
                <w:tcPr>
                  <w:tcW w:w="770" w:type="dxa"/>
                  <w:tcBorders>
                    <w:tl2br w:val="nil"/>
                    <w:tr2bl w:val="nil"/>
                  </w:tcBorders>
                  <w:shd w:val="clear" w:color="auto" w:fill="auto"/>
                  <w:vAlign w:val="center"/>
                </w:tcPr>
                <w:p w14:paraId="6556BC77">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0.08</w:t>
                  </w:r>
                </w:p>
              </w:tc>
              <w:tc>
                <w:tcPr>
                  <w:tcW w:w="784" w:type="dxa"/>
                  <w:tcBorders>
                    <w:tl2br w:val="nil"/>
                    <w:tr2bl w:val="nil"/>
                  </w:tcBorders>
                  <w:shd w:val="clear" w:color="auto" w:fill="auto"/>
                  <w:vAlign w:val="center"/>
                </w:tcPr>
                <w:p w14:paraId="54D222E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0.002</w:t>
                  </w:r>
                </w:p>
              </w:tc>
              <w:tc>
                <w:tcPr>
                  <w:tcW w:w="772" w:type="dxa"/>
                  <w:tcBorders>
                    <w:tl2br w:val="nil"/>
                    <w:tr2bl w:val="nil"/>
                  </w:tcBorders>
                  <w:shd w:val="clear" w:color="auto" w:fill="auto"/>
                  <w:vAlign w:val="center"/>
                </w:tcPr>
                <w:p w14:paraId="21D8739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0.39</w:t>
                  </w:r>
                </w:p>
              </w:tc>
              <w:tc>
                <w:tcPr>
                  <w:tcW w:w="690" w:type="dxa"/>
                  <w:tcBorders>
                    <w:tl2br w:val="nil"/>
                    <w:tr2bl w:val="nil"/>
                  </w:tcBorders>
                  <w:shd w:val="clear" w:color="auto" w:fill="auto"/>
                  <w:vAlign w:val="center"/>
                </w:tcPr>
                <w:p w14:paraId="03DEB5E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0.09</w:t>
                  </w:r>
                </w:p>
              </w:tc>
            </w:tr>
            <w:tr w14:paraId="5CCA32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7AF23B8F">
                  <w:pPr>
                    <w:pStyle w:val="43"/>
                    <w:bidi w:val="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lang w:val="en-US" w:eastAsia="zh-CN"/>
                    </w:rPr>
                    <w:t>萤石选矿尾渣</w:t>
                  </w:r>
                </w:p>
              </w:tc>
              <w:tc>
                <w:tcPr>
                  <w:tcW w:w="764" w:type="dxa"/>
                  <w:tcBorders>
                    <w:tl2br w:val="nil"/>
                    <w:tr2bl w:val="nil"/>
                  </w:tcBorders>
                  <w:shd w:val="clear" w:color="auto" w:fill="auto"/>
                  <w:vAlign w:val="center"/>
                </w:tcPr>
                <w:p w14:paraId="25DC6A0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6D21CEB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53.163</w:t>
                  </w:r>
                </w:p>
              </w:tc>
              <w:tc>
                <w:tcPr>
                  <w:tcW w:w="891" w:type="dxa"/>
                  <w:tcBorders>
                    <w:tl2br w:val="nil"/>
                    <w:tr2bl w:val="nil"/>
                  </w:tcBorders>
                  <w:shd w:val="clear" w:color="auto" w:fill="auto"/>
                  <w:vAlign w:val="center"/>
                </w:tcPr>
                <w:p w14:paraId="4939738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15.64</w:t>
                  </w:r>
                </w:p>
              </w:tc>
              <w:tc>
                <w:tcPr>
                  <w:tcW w:w="839" w:type="dxa"/>
                  <w:tcBorders>
                    <w:tl2br w:val="nil"/>
                    <w:tr2bl w:val="nil"/>
                  </w:tcBorders>
                  <w:shd w:val="clear" w:color="auto" w:fill="auto"/>
                  <w:vAlign w:val="center"/>
                </w:tcPr>
                <w:p w14:paraId="26D2649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2.36</w:t>
                  </w:r>
                </w:p>
              </w:tc>
              <w:tc>
                <w:tcPr>
                  <w:tcW w:w="770" w:type="dxa"/>
                  <w:tcBorders>
                    <w:tl2br w:val="nil"/>
                    <w:tr2bl w:val="nil"/>
                  </w:tcBorders>
                  <w:shd w:val="clear" w:color="auto" w:fill="auto"/>
                  <w:vAlign w:val="center"/>
                </w:tcPr>
                <w:p w14:paraId="5D2E3BF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76.89</w:t>
                  </w:r>
                </w:p>
              </w:tc>
              <w:tc>
                <w:tcPr>
                  <w:tcW w:w="898" w:type="dxa"/>
                  <w:tcBorders>
                    <w:tl2br w:val="nil"/>
                    <w:tr2bl w:val="nil"/>
                  </w:tcBorders>
                  <w:shd w:val="clear" w:color="auto" w:fill="auto"/>
                  <w:vAlign w:val="center"/>
                </w:tcPr>
                <w:p w14:paraId="08C2FE0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3.62</w:t>
                  </w:r>
                </w:p>
              </w:tc>
              <w:tc>
                <w:tcPr>
                  <w:tcW w:w="897" w:type="dxa"/>
                  <w:tcBorders>
                    <w:tl2br w:val="nil"/>
                    <w:tr2bl w:val="nil"/>
                  </w:tcBorders>
                  <w:shd w:val="clear" w:color="auto" w:fill="auto"/>
                  <w:vAlign w:val="center"/>
                </w:tcPr>
                <w:p w14:paraId="34EEBCD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1.03</w:t>
                  </w:r>
                </w:p>
              </w:tc>
              <w:tc>
                <w:tcPr>
                  <w:tcW w:w="896" w:type="dxa"/>
                  <w:tcBorders>
                    <w:tl2br w:val="nil"/>
                    <w:tr2bl w:val="nil"/>
                  </w:tcBorders>
                  <w:shd w:val="clear" w:color="auto" w:fill="auto"/>
                  <w:vAlign w:val="center"/>
                </w:tcPr>
                <w:p w14:paraId="76FDEE5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2.36</w:t>
                  </w:r>
                </w:p>
              </w:tc>
              <w:tc>
                <w:tcPr>
                  <w:tcW w:w="897" w:type="dxa"/>
                  <w:tcBorders>
                    <w:tl2br w:val="nil"/>
                    <w:tr2bl w:val="nil"/>
                  </w:tcBorders>
                  <w:shd w:val="clear" w:color="auto" w:fill="auto"/>
                  <w:vAlign w:val="center"/>
                </w:tcPr>
                <w:p w14:paraId="6BCC5CA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2.15</w:t>
                  </w:r>
                </w:p>
              </w:tc>
              <w:tc>
                <w:tcPr>
                  <w:tcW w:w="680" w:type="dxa"/>
                  <w:tcBorders>
                    <w:tl2br w:val="nil"/>
                    <w:tr2bl w:val="nil"/>
                  </w:tcBorders>
                  <w:shd w:val="clear" w:color="auto" w:fill="auto"/>
                  <w:vAlign w:val="center"/>
                </w:tcPr>
                <w:p w14:paraId="4621212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0.56</w:t>
                  </w:r>
                </w:p>
              </w:tc>
              <w:tc>
                <w:tcPr>
                  <w:tcW w:w="770" w:type="dxa"/>
                  <w:tcBorders>
                    <w:tl2br w:val="nil"/>
                    <w:tr2bl w:val="nil"/>
                  </w:tcBorders>
                  <w:shd w:val="clear" w:color="auto" w:fill="auto"/>
                  <w:vAlign w:val="center"/>
                </w:tcPr>
                <w:p w14:paraId="39B28DB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0.89</w:t>
                  </w:r>
                </w:p>
              </w:tc>
              <w:tc>
                <w:tcPr>
                  <w:tcW w:w="784" w:type="dxa"/>
                  <w:tcBorders>
                    <w:tl2br w:val="nil"/>
                    <w:tr2bl w:val="nil"/>
                  </w:tcBorders>
                  <w:shd w:val="clear" w:color="auto" w:fill="auto"/>
                  <w:vAlign w:val="center"/>
                </w:tcPr>
                <w:p w14:paraId="7239EB6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c>
                <w:tcPr>
                  <w:tcW w:w="772" w:type="dxa"/>
                  <w:tcBorders>
                    <w:tl2br w:val="nil"/>
                    <w:tr2bl w:val="nil"/>
                  </w:tcBorders>
                  <w:shd w:val="clear" w:color="auto" w:fill="auto"/>
                  <w:vAlign w:val="center"/>
                </w:tcPr>
                <w:p w14:paraId="2AE971A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0.95</w:t>
                  </w:r>
                </w:p>
              </w:tc>
              <w:tc>
                <w:tcPr>
                  <w:tcW w:w="690" w:type="dxa"/>
                  <w:tcBorders>
                    <w:tl2br w:val="nil"/>
                    <w:tr2bl w:val="nil"/>
                  </w:tcBorders>
                  <w:shd w:val="clear" w:color="auto" w:fill="auto"/>
                  <w:vAlign w:val="center"/>
                </w:tcPr>
                <w:p w14:paraId="79D56CC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0.28</w:t>
                  </w:r>
                </w:p>
              </w:tc>
            </w:tr>
            <w:tr w14:paraId="0DE0BC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auto"/>
                  <w:vAlign w:val="center"/>
                </w:tcPr>
                <w:p w14:paraId="21A2AF54">
                  <w:pPr>
                    <w:pStyle w:val="43"/>
                    <w:bidi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color w:val="auto"/>
                      <w:lang w:val="en-US" w:eastAsia="zh-CN"/>
                    </w:rPr>
                    <w:t>电石渣</w:t>
                  </w:r>
                </w:p>
              </w:tc>
              <w:tc>
                <w:tcPr>
                  <w:tcW w:w="764" w:type="dxa"/>
                  <w:tcBorders>
                    <w:tl2br w:val="nil"/>
                    <w:tr2bl w:val="nil"/>
                  </w:tcBorders>
                  <w:shd w:val="clear" w:color="auto" w:fill="auto"/>
                  <w:vAlign w:val="center"/>
                </w:tcPr>
                <w:p w14:paraId="56B3310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1B1F7A5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8.136</w:t>
                  </w:r>
                </w:p>
              </w:tc>
              <w:tc>
                <w:tcPr>
                  <w:tcW w:w="891" w:type="dxa"/>
                  <w:tcBorders>
                    <w:tl2br w:val="nil"/>
                    <w:tr2bl w:val="nil"/>
                  </w:tcBorders>
                  <w:shd w:val="clear" w:color="auto" w:fill="auto"/>
                  <w:vAlign w:val="center"/>
                </w:tcPr>
                <w:p w14:paraId="3F71C78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38.0</w:t>
                  </w:r>
                </w:p>
              </w:tc>
              <w:tc>
                <w:tcPr>
                  <w:tcW w:w="839" w:type="dxa"/>
                  <w:tcBorders>
                    <w:tl2br w:val="nil"/>
                    <w:tr2bl w:val="nil"/>
                  </w:tcBorders>
                  <w:shd w:val="clear" w:color="auto" w:fill="auto"/>
                  <w:vAlign w:val="center"/>
                </w:tcPr>
                <w:p w14:paraId="79B5107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25.49</w:t>
                  </w:r>
                </w:p>
              </w:tc>
              <w:tc>
                <w:tcPr>
                  <w:tcW w:w="770" w:type="dxa"/>
                  <w:tcBorders>
                    <w:tl2br w:val="nil"/>
                    <w:tr2bl w:val="nil"/>
                  </w:tcBorders>
                  <w:shd w:val="clear" w:color="auto" w:fill="auto"/>
                  <w:vAlign w:val="center"/>
                </w:tcPr>
                <w:p w14:paraId="0579E9B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8.66</w:t>
                  </w:r>
                </w:p>
              </w:tc>
              <w:tc>
                <w:tcPr>
                  <w:tcW w:w="898" w:type="dxa"/>
                  <w:tcBorders>
                    <w:tl2br w:val="nil"/>
                    <w:tr2bl w:val="nil"/>
                  </w:tcBorders>
                  <w:shd w:val="clear" w:color="auto" w:fill="auto"/>
                  <w:vAlign w:val="center"/>
                </w:tcPr>
                <w:p w14:paraId="39E63B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2.47</w:t>
                  </w:r>
                </w:p>
              </w:tc>
              <w:tc>
                <w:tcPr>
                  <w:tcW w:w="897" w:type="dxa"/>
                  <w:tcBorders>
                    <w:tl2br w:val="nil"/>
                    <w:tr2bl w:val="nil"/>
                  </w:tcBorders>
                  <w:shd w:val="clear" w:color="auto" w:fill="auto"/>
                  <w:vAlign w:val="center"/>
                </w:tcPr>
                <w:p w14:paraId="2C6496B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0.98</w:t>
                  </w:r>
                </w:p>
              </w:tc>
              <w:tc>
                <w:tcPr>
                  <w:tcW w:w="896" w:type="dxa"/>
                  <w:tcBorders>
                    <w:tl2br w:val="nil"/>
                    <w:tr2bl w:val="nil"/>
                  </w:tcBorders>
                  <w:shd w:val="clear" w:color="auto" w:fill="auto"/>
                  <w:vAlign w:val="center"/>
                </w:tcPr>
                <w:p w14:paraId="4E44D5E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47.26</w:t>
                  </w:r>
                </w:p>
              </w:tc>
              <w:tc>
                <w:tcPr>
                  <w:tcW w:w="897" w:type="dxa"/>
                  <w:tcBorders>
                    <w:tl2br w:val="nil"/>
                    <w:tr2bl w:val="nil"/>
                  </w:tcBorders>
                  <w:shd w:val="clear" w:color="auto" w:fill="auto"/>
                  <w:vAlign w:val="center"/>
                </w:tcPr>
                <w:p w14:paraId="26CB5A2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0.11</w:t>
                  </w:r>
                </w:p>
              </w:tc>
              <w:tc>
                <w:tcPr>
                  <w:tcW w:w="680" w:type="dxa"/>
                  <w:tcBorders>
                    <w:tl2br w:val="nil"/>
                    <w:tr2bl w:val="nil"/>
                  </w:tcBorders>
                  <w:shd w:val="clear" w:color="auto" w:fill="auto"/>
                  <w:vAlign w:val="center"/>
                </w:tcPr>
                <w:p w14:paraId="45C5AC0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3.56</w:t>
                  </w:r>
                </w:p>
              </w:tc>
              <w:tc>
                <w:tcPr>
                  <w:tcW w:w="770" w:type="dxa"/>
                  <w:tcBorders>
                    <w:tl2br w:val="nil"/>
                    <w:tr2bl w:val="nil"/>
                  </w:tcBorders>
                  <w:shd w:val="clear" w:color="auto" w:fill="auto"/>
                  <w:vAlign w:val="center"/>
                </w:tcPr>
                <w:p w14:paraId="081BBB8D">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0.0184</w:t>
                  </w:r>
                </w:p>
              </w:tc>
              <w:tc>
                <w:tcPr>
                  <w:tcW w:w="784" w:type="dxa"/>
                  <w:tcBorders>
                    <w:tl2br w:val="nil"/>
                    <w:tr2bl w:val="nil"/>
                  </w:tcBorders>
                  <w:shd w:val="clear" w:color="auto" w:fill="auto"/>
                  <w:vAlign w:val="center"/>
                </w:tcPr>
                <w:p w14:paraId="0BC65F5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0.075</w:t>
                  </w:r>
                </w:p>
              </w:tc>
              <w:tc>
                <w:tcPr>
                  <w:tcW w:w="772" w:type="dxa"/>
                  <w:tcBorders>
                    <w:tl2br w:val="nil"/>
                    <w:tr2bl w:val="nil"/>
                  </w:tcBorders>
                  <w:shd w:val="clear" w:color="auto" w:fill="auto"/>
                  <w:vAlign w:val="center"/>
                </w:tcPr>
                <w:p w14:paraId="2175295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0.05</w:t>
                  </w:r>
                </w:p>
              </w:tc>
              <w:tc>
                <w:tcPr>
                  <w:tcW w:w="690" w:type="dxa"/>
                  <w:tcBorders>
                    <w:tl2br w:val="nil"/>
                    <w:tr2bl w:val="nil"/>
                  </w:tcBorders>
                  <w:shd w:val="clear" w:color="auto" w:fill="auto"/>
                  <w:vAlign w:val="center"/>
                </w:tcPr>
                <w:p w14:paraId="0E51C80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0.38</w:t>
                  </w:r>
                </w:p>
              </w:tc>
            </w:tr>
            <w:tr w14:paraId="6D19DC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FFFFFF"/>
                  <w:vAlign w:val="center"/>
                </w:tcPr>
                <w:p w14:paraId="1C869654">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造纸白泥</w:t>
                  </w:r>
                </w:p>
              </w:tc>
              <w:tc>
                <w:tcPr>
                  <w:tcW w:w="764" w:type="dxa"/>
                  <w:tcBorders>
                    <w:tl2br w:val="nil"/>
                    <w:tr2bl w:val="nil"/>
                  </w:tcBorders>
                  <w:shd w:val="clear" w:color="auto" w:fill="auto"/>
                  <w:vAlign w:val="center"/>
                </w:tcPr>
                <w:p w14:paraId="5B47407C">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w:t>
                  </w:r>
                </w:p>
              </w:tc>
              <w:tc>
                <w:tcPr>
                  <w:tcW w:w="891" w:type="dxa"/>
                  <w:tcBorders>
                    <w:tl2br w:val="nil"/>
                    <w:tr2bl w:val="nil"/>
                  </w:tcBorders>
                  <w:shd w:val="clear" w:color="auto" w:fill="auto"/>
                  <w:vAlign w:val="center"/>
                </w:tcPr>
                <w:p w14:paraId="48B88729">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FDEF9A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36.2</w:t>
                  </w:r>
                </w:p>
              </w:tc>
              <w:tc>
                <w:tcPr>
                  <w:tcW w:w="839" w:type="dxa"/>
                  <w:tcBorders>
                    <w:tl2br w:val="nil"/>
                    <w:tr2bl w:val="nil"/>
                  </w:tcBorders>
                  <w:shd w:val="clear" w:color="auto" w:fill="auto"/>
                  <w:vAlign w:val="center"/>
                </w:tcPr>
                <w:p w14:paraId="0BA3865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41.86</w:t>
                  </w:r>
                </w:p>
              </w:tc>
              <w:tc>
                <w:tcPr>
                  <w:tcW w:w="770" w:type="dxa"/>
                  <w:tcBorders>
                    <w:tl2br w:val="nil"/>
                    <w:tr2bl w:val="nil"/>
                  </w:tcBorders>
                  <w:shd w:val="clear" w:color="auto" w:fill="auto"/>
                  <w:vAlign w:val="center"/>
                </w:tcPr>
                <w:p w14:paraId="6D46257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1.71</w:t>
                  </w:r>
                </w:p>
              </w:tc>
              <w:tc>
                <w:tcPr>
                  <w:tcW w:w="898" w:type="dxa"/>
                  <w:tcBorders>
                    <w:tl2br w:val="nil"/>
                    <w:tr2bl w:val="nil"/>
                  </w:tcBorders>
                  <w:shd w:val="clear" w:color="auto" w:fill="auto"/>
                  <w:vAlign w:val="center"/>
                </w:tcPr>
                <w:p w14:paraId="088C6312">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0.16</w:t>
                  </w:r>
                </w:p>
              </w:tc>
              <w:tc>
                <w:tcPr>
                  <w:tcW w:w="897" w:type="dxa"/>
                  <w:tcBorders>
                    <w:tl2br w:val="nil"/>
                    <w:tr2bl w:val="nil"/>
                  </w:tcBorders>
                  <w:shd w:val="clear" w:color="auto" w:fill="auto"/>
                  <w:vAlign w:val="center"/>
                </w:tcPr>
                <w:p w14:paraId="553779A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0.12</w:t>
                  </w:r>
                </w:p>
              </w:tc>
              <w:tc>
                <w:tcPr>
                  <w:tcW w:w="896" w:type="dxa"/>
                  <w:tcBorders>
                    <w:tl2br w:val="nil"/>
                    <w:tr2bl w:val="nil"/>
                  </w:tcBorders>
                  <w:shd w:val="clear" w:color="auto" w:fill="auto"/>
                  <w:vAlign w:val="center"/>
                </w:tcPr>
                <w:p w14:paraId="6E165FF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51.82</w:t>
                  </w:r>
                </w:p>
              </w:tc>
              <w:tc>
                <w:tcPr>
                  <w:tcW w:w="897" w:type="dxa"/>
                  <w:tcBorders>
                    <w:tl2br w:val="nil"/>
                    <w:tr2bl w:val="nil"/>
                  </w:tcBorders>
                  <w:shd w:val="clear" w:color="auto" w:fill="auto"/>
                  <w:vAlign w:val="center"/>
                </w:tcPr>
                <w:p w14:paraId="03C2D8FA">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0.95</w:t>
                  </w:r>
                </w:p>
              </w:tc>
              <w:tc>
                <w:tcPr>
                  <w:tcW w:w="680" w:type="dxa"/>
                  <w:tcBorders>
                    <w:tl2br w:val="nil"/>
                    <w:tr2bl w:val="nil"/>
                  </w:tcBorders>
                  <w:shd w:val="clear" w:color="auto" w:fill="auto"/>
                  <w:vAlign w:val="center"/>
                </w:tcPr>
                <w:p w14:paraId="45E671C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0.06（S）</w:t>
                  </w:r>
                </w:p>
              </w:tc>
              <w:tc>
                <w:tcPr>
                  <w:tcW w:w="770" w:type="dxa"/>
                  <w:tcBorders>
                    <w:tl2br w:val="nil"/>
                    <w:tr2bl w:val="nil"/>
                  </w:tcBorders>
                  <w:shd w:val="clear" w:color="auto" w:fill="auto"/>
                  <w:vAlign w:val="center"/>
                </w:tcPr>
                <w:p w14:paraId="52C022F7">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7EA07A74">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w:t>
                  </w:r>
                </w:p>
              </w:tc>
              <w:tc>
                <w:tcPr>
                  <w:tcW w:w="772" w:type="dxa"/>
                  <w:tcBorders>
                    <w:tl2br w:val="nil"/>
                    <w:tr2bl w:val="nil"/>
                  </w:tcBorders>
                  <w:shd w:val="clear" w:color="auto" w:fill="auto"/>
                  <w:vAlign w:val="center"/>
                </w:tcPr>
                <w:p w14:paraId="2A1CA31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0.89</w:t>
                  </w:r>
                </w:p>
              </w:tc>
              <w:tc>
                <w:tcPr>
                  <w:tcW w:w="690" w:type="dxa"/>
                  <w:tcBorders>
                    <w:tl2br w:val="nil"/>
                    <w:tr2bl w:val="nil"/>
                  </w:tcBorders>
                  <w:shd w:val="clear" w:color="auto" w:fill="auto"/>
                  <w:vAlign w:val="center"/>
                </w:tcPr>
                <w:p w14:paraId="3C6300EE">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1.81</w:t>
                  </w:r>
                </w:p>
              </w:tc>
            </w:tr>
            <w:tr w14:paraId="5BC70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FFFFFF"/>
                  <w:vAlign w:val="center"/>
                </w:tcPr>
                <w:p w14:paraId="4EE1E282">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氟化钙污泥</w:t>
                  </w:r>
                </w:p>
              </w:tc>
              <w:tc>
                <w:tcPr>
                  <w:tcW w:w="764" w:type="dxa"/>
                  <w:tcBorders>
                    <w:tl2br w:val="nil"/>
                    <w:tr2bl w:val="nil"/>
                  </w:tcBorders>
                  <w:shd w:val="clear" w:color="auto" w:fill="auto"/>
                  <w:vAlign w:val="center"/>
                </w:tcPr>
                <w:p w14:paraId="572FFCE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3EBFE4DE">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3.43</w:t>
                  </w:r>
                </w:p>
              </w:tc>
              <w:tc>
                <w:tcPr>
                  <w:tcW w:w="891" w:type="dxa"/>
                  <w:tcBorders>
                    <w:tl2br w:val="nil"/>
                    <w:tr2bl w:val="nil"/>
                  </w:tcBorders>
                  <w:shd w:val="clear" w:color="auto" w:fill="auto"/>
                  <w:vAlign w:val="center"/>
                </w:tcPr>
                <w:p w14:paraId="4ACFBE29">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51.4</w:t>
                  </w:r>
                </w:p>
              </w:tc>
              <w:tc>
                <w:tcPr>
                  <w:tcW w:w="839" w:type="dxa"/>
                  <w:tcBorders>
                    <w:tl2br w:val="nil"/>
                    <w:tr2bl w:val="nil"/>
                  </w:tcBorders>
                  <w:shd w:val="clear" w:color="auto" w:fill="auto"/>
                  <w:vAlign w:val="center"/>
                </w:tcPr>
                <w:p w14:paraId="1540D063">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17.67</w:t>
                  </w:r>
                </w:p>
              </w:tc>
              <w:tc>
                <w:tcPr>
                  <w:tcW w:w="770" w:type="dxa"/>
                  <w:tcBorders>
                    <w:tl2br w:val="nil"/>
                    <w:tr2bl w:val="nil"/>
                  </w:tcBorders>
                  <w:shd w:val="clear" w:color="auto" w:fill="auto"/>
                  <w:vAlign w:val="center"/>
                </w:tcPr>
                <w:p w14:paraId="17E82AA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19.76</w:t>
                  </w:r>
                </w:p>
              </w:tc>
              <w:tc>
                <w:tcPr>
                  <w:tcW w:w="898" w:type="dxa"/>
                  <w:tcBorders>
                    <w:tl2br w:val="nil"/>
                    <w:tr2bl w:val="nil"/>
                  </w:tcBorders>
                  <w:shd w:val="clear" w:color="auto" w:fill="auto"/>
                  <w:vAlign w:val="center"/>
                </w:tcPr>
                <w:p w14:paraId="6EDEAF3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3.03</w:t>
                  </w:r>
                </w:p>
              </w:tc>
              <w:tc>
                <w:tcPr>
                  <w:tcW w:w="897" w:type="dxa"/>
                  <w:tcBorders>
                    <w:tl2br w:val="nil"/>
                    <w:tr2bl w:val="nil"/>
                  </w:tcBorders>
                  <w:shd w:val="clear" w:color="auto" w:fill="auto"/>
                  <w:vAlign w:val="center"/>
                </w:tcPr>
                <w:p w14:paraId="52360623">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0.22</w:t>
                  </w:r>
                </w:p>
              </w:tc>
              <w:tc>
                <w:tcPr>
                  <w:tcW w:w="896" w:type="dxa"/>
                  <w:tcBorders>
                    <w:tl2br w:val="nil"/>
                    <w:tr2bl w:val="nil"/>
                  </w:tcBorders>
                  <w:shd w:val="clear" w:color="auto" w:fill="auto"/>
                  <w:vAlign w:val="center"/>
                </w:tcPr>
                <w:p w14:paraId="5F89507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43.17</w:t>
                  </w:r>
                </w:p>
              </w:tc>
              <w:tc>
                <w:tcPr>
                  <w:tcW w:w="897" w:type="dxa"/>
                  <w:tcBorders>
                    <w:tl2br w:val="nil"/>
                    <w:tr2bl w:val="nil"/>
                  </w:tcBorders>
                  <w:shd w:val="clear" w:color="auto" w:fill="auto"/>
                  <w:vAlign w:val="center"/>
                </w:tcPr>
                <w:p w14:paraId="758B28A8">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0.37</w:t>
                  </w:r>
                </w:p>
              </w:tc>
              <w:tc>
                <w:tcPr>
                  <w:tcW w:w="680" w:type="dxa"/>
                  <w:tcBorders>
                    <w:tl2br w:val="nil"/>
                    <w:tr2bl w:val="nil"/>
                  </w:tcBorders>
                  <w:shd w:val="clear" w:color="auto" w:fill="auto"/>
                  <w:vAlign w:val="center"/>
                </w:tcPr>
                <w:p w14:paraId="488889F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w:t>
                  </w:r>
                  <w:r>
                    <w:rPr>
                      <w:rFonts w:hint="eastAsia" w:cs="Times New Roman"/>
                      <w:color w:val="auto"/>
                      <w:lang w:val="en-US" w:eastAsia="zh-CN"/>
                    </w:rPr>
                    <w:t>4</w:t>
                  </w:r>
                  <w:r>
                    <w:rPr>
                      <w:rFonts w:hint="eastAsia" w:ascii="Times New Roman" w:hAnsi="Times New Roman" w:eastAsia="宋体" w:cs="Times New Roman"/>
                      <w:color w:val="auto"/>
                      <w:lang w:val="en-US" w:eastAsia="zh-CN"/>
                    </w:rPr>
                    <w:t>8（S）</w:t>
                  </w:r>
                </w:p>
              </w:tc>
              <w:tc>
                <w:tcPr>
                  <w:tcW w:w="770" w:type="dxa"/>
                  <w:tcBorders>
                    <w:tl2br w:val="nil"/>
                    <w:tr2bl w:val="nil"/>
                  </w:tcBorders>
                  <w:shd w:val="clear" w:color="auto" w:fill="auto"/>
                  <w:vAlign w:val="center"/>
                </w:tcPr>
                <w:p w14:paraId="417FF253">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0.778</w:t>
                  </w:r>
                </w:p>
              </w:tc>
              <w:tc>
                <w:tcPr>
                  <w:tcW w:w="784" w:type="dxa"/>
                  <w:tcBorders>
                    <w:tl2br w:val="nil"/>
                    <w:tr2bl w:val="nil"/>
                  </w:tcBorders>
                  <w:shd w:val="clear" w:color="auto" w:fill="auto"/>
                  <w:vAlign w:val="center"/>
                </w:tcPr>
                <w:p w14:paraId="42E62CD1">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0.139</w:t>
                  </w:r>
                </w:p>
              </w:tc>
              <w:tc>
                <w:tcPr>
                  <w:tcW w:w="772" w:type="dxa"/>
                  <w:tcBorders>
                    <w:tl2br w:val="nil"/>
                    <w:tr2bl w:val="nil"/>
                  </w:tcBorders>
                  <w:shd w:val="clear" w:color="auto" w:fill="auto"/>
                  <w:vAlign w:val="center"/>
                </w:tcPr>
                <w:p w14:paraId="432FB368">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w:t>
                  </w:r>
                </w:p>
              </w:tc>
              <w:tc>
                <w:tcPr>
                  <w:tcW w:w="690" w:type="dxa"/>
                  <w:tcBorders>
                    <w:tl2br w:val="nil"/>
                    <w:tr2bl w:val="nil"/>
                  </w:tcBorders>
                  <w:shd w:val="clear" w:color="auto" w:fill="auto"/>
                  <w:vAlign w:val="center"/>
                </w:tcPr>
                <w:p w14:paraId="30EC3BE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0.81</w:t>
                  </w:r>
                </w:p>
              </w:tc>
            </w:tr>
            <w:tr w14:paraId="3EDF4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FFFFFF"/>
                  <w:vAlign w:val="center"/>
                </w:tcPr>
                <w:p w14:paraId="33BBC211">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磷渣</w:t>
                  </w:r>
                </w:p>
              </w:tc>
              <w:tc>
                <w:tcPr>
                  <w:tcW w:w="764" w:type="dxa"/>
                  <w:tcBorders>
                    <w:tl2br w:val="nil"/>
                    <w:tr2bl w:val="nil"/>
                  </w:tcBorders>
                  <w:shd w:val="clear" w:color="auto" w:fill="auto"/>
                  <w:vAlign w:val="center"/>
                </w:tcPr>
                <w:p w14:paraId="4E0A890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1896F87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78.115</w:t>
                  </w:r>
                </w:p>
              </w:tc>
              <w:tc>
                <w:tcPr>
                  <w:tcW w:w="891" w:type="dxa"/>
                  <w:tcBorders>
                    <w:tl2br w:val="nil"/>
                    <w:tr2bl w:val="nil"/>
                  </w:tcBorders>
                  <w:shd w:val="clear" w:color="auto" w:fill="auto"/>
                  <w:vAlign w:val="center"/>
                </w:tcPr>
                <w:p w14:paraId="2584188F">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11.62</w:t>
                  </w:r>
                </w:p>
              </w:tc>
              <w:tc>
                <w:tcPr>
                  <w:tcW w:w="839" w:type="dxa"/>
                  <w:tcBorders>
                    <w:tl2br w:val="nil"/>
                    <w:tr2bl w:val="nil"/>
                  </w:tcBorders>
                  <w:shd w:val="clear" w:color="auto" w:fill="auto"/>
                  <w:vAlign w:val="center"/>
                </w:tcPr>
                <w:p w14:paraId="4C780A1E">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2.45</w:t>
                  </w:r>
                </w:p>
              </w:tc>
              <w:tc>
                <w:tcPr>
                  <w:tcW w:w="770" w:type="dxa"/>
                  <w:tcBorders>
                    <w:tl2br w:val="nil"/>
                    <w:tr2bl w:val="nil"/>
                  </w:tcBorders>
                  <w:shd w:val="clear" w:color="auto" w:fill="auto"/>
                  <w:vAlign w:val="center"/>
                </w:tcPr>
                <w:p w14:paraId="0DD05E07">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81.56</w:t>
                  </w:r>
                </w:p>
              </w:tc>
              <w:tc>
                <w:tcPr>
                  <w:tcW w:w="898" w:type="dxa"/>
                  <w:tcBorders>
                    <w:tl2br w:val="nil"/>
                    <w:tr2bl w:val="nil"/>
                  </w:tcBorders>
                  <w:shd w:val="clear" w:color="auto" w:fill="auto"/>
                  <w:vAlign w:val="center"/>
                </w:tcPr>
                <w:p w14:paraId="537A2975">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2.65</w:t>
                  </w:r>
                </w:p>
              </w:tc>
              <w:tc>
                <w:tcPr>
                  <w:tcW w:w="897" w:type="dxa"/>
                  <w:tcBorders>
                    <w:tl2br w:val="nil"/>
                    <w:tr2bl w:val="nil"/>
                  </w:tcBorders>
                  <w:shd w:val="clear" w:color="auto" w:fill="auto"/>
                  <w:vAlign w:val="center"/>
                </w:tcPr>
                <w:p w14:paraId="78EFF203">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1.25</w:t>
                  </w:r>
                </w:p>
              </w:tc>
              <w:tc>
                <w:tcPr>
                  <w:tcW w:w="896" w:type="dxa"/>
                  <w:tcBorders>
                    <w:tl2br w:val="nil"/>
                    <w:tr2bl w:val="nil"/>
                  </w:tcBorders>
                  <w:shd w:val="clear" w:color="auto" w:fill="auto"/>
                  <w:vAlign w:val="center"/>
                </w:tcPr>
                <w:p w14:paraId="4DADC16B">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3.50</w:t>
                  </w:r>
                </w:p>
              </w:tc>
              <w:tc>
                <w:tcPr>
                  <w:tcW w:w="897" w:type="dxa"/>
                  <w:tcBorders>
                    <w:tl2br w:val="nil"/>
                    <w:tr2bl w:val="nil"/>
                  </w:tcBorders>
                  <w:shd w:val="clear" w:color="auto" w:fill="auto"/>
                  <w:vAlign w:val="center"/>
                </w:tcPr>
                <w:p w14:paraId="0FBFE0C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1.25</w:t>
                  </w:r>
                </w:p>
              </w:tc>
              <w:tc>
                <w:tcPr>
                  <w:tcW w:w="680" w:type="dxa"/>
                  <w:tcBorders>
                    <w:tl2br w:val="nil"/>
                    <w:tr2bl w:val="nil"/>
                  </w:tcBorders>
                  <w:shd w:val="clear" w:color="auto" w:fill="auto"/>
                  <w:vAlign w:val="center"/>
                </w:tcPr>
                <w:p w14:paraId="079C80A9">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0.31</w:t>
                  </w:r>
                </w:p>
              </w:tc>
              <w:tc>
                <w:tcPr>
                  <w:tcW w:w="770" w:type="dxa"/>
                  <w:tcBorders>
                    <w:tl2br w:val="nil"/>
                    <w:tr2bl w:val="nil"/>
                  </w:tcBorders>
                  <w:shd w:val="clear" w:color="auto" w:fill="auto"/>
                  <w:vAlign w:val="center"/>
                </w:tcPr>
                <w:p w14:paraId="4CD85BEA">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0.0482</w:t>
                  </w:r>
                </w:p>
              </w:tc>
              <w:tc>
                <w:tcPr>
                  <w:tcW w:w="784" w:type="dxa"/>
                  <w:tcBorders>
                    <w:tl2br w:val="nil"/>
                    <w:tr2bl w:val="nil"/>
                  </w:tcBorders>
                  <w:shd w:val="clear" w:color="auto" w:fill="auto"/>
                  <w:vAlign w:val="center"/>
                </w:tcPr>
                <w:p w14:paraId="67E94896">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c>
                <w:tcPr>
                  <w:tcW w:w="772" w:type="dxa"/>
                  <w:tcBorders>
                    <w:tl2br w:val="nil"/>
                    <w:tr2bl w:val="nil"/>
                  </w:tcBorders>
                  <w:shd w:val="clear" w:color="auto" w:fill="auto"/>
                  <w:vAlign w:val="center"/>
                </w:tcPr>
                <w:p w14:paraId="37BE85F1">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0.64</w:t>
                  </w:r>
                </w:p>
              </w:tc>
              <w:tc>
                <w:tcPr>
                  <w:tcW w:w="690" w:type="dxa"/>
                  <w:tcBorders>
                    <w:tl2br w:val="nil"/>
                    <w:tr2bl w:val="nil"/>
                  </w:tcBorders>
                  <w:shd w:val="clear" w:color="auto" w:fill="auto"/>
                  <w:vAlign w:val="center"/>
                </w:tcPr>
                <w:p w14:paraId="23369AE3">
                  <w:pPr>
                    <w:pStyle w:val="43"/>
                    <w:bidi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0.34</w:t>
                  </w:r>
                </w:p>
              </w:tc>
            </w:tr>
            <w:tr w14:paraId="600D54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tcBorders>
                    <w:tl2br w:val="nil"/>
                    <w:tr2bl w:val="nil"/>
                  </w:tcBorders>
                  <w:shd w:val="clear" w:color="auto" w:fill="FFFFFF"/>
                  <w:vAlign w:val="center"/>
                </w:tcPr>
                <w:p w14:paraId="3ADF9FE0">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赤泥</w:t>
                  </w:r>
                </w:p>
              </w:tc>
              <w:tc>
                <w:tcPr>
                  <w:tcW w:w="764" w:type="dxa"/>
                  <w:tcBorders>
                    <w:tl2br w:val="nil"/>
                    <w:tr2bl w:val="nil"/>
                  </w:tcBorders>
                  <w:shd w:val="clear" w:color="auto" w:fill="auto"/>
                  <w:vAlign w:val="center"/>
                </w:tcPr>
                <w:p w14:paraId="4665AA7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tcBorders>
                    <w:tl2br w:val="nil"/>
                    <w:tr2bl w:val="nil"/>
                  </w:tcBorders>
                  <w:shd w:val="clear" w:color="auto" w:fill="auto"/>
                  <w:vAlign w:val="center"/>
                </w:tcPr>
                <w:p w14:paraId="5BF433E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3.22</w:t>
                  </w:r>
                </w:p>
              </w:tc>
              <w:tc>
                <w:tcPr>
                  <w:tcW w:w="891" w:type="dxa"/>
                  <w:tcBorders>
                    <w:tl2br w:val="nil"/>
                    <w:tr2bl w:val="nil"/>
                  </w:tcBorders>
                  <w:shd w:val="clear" w:color="auto" w:fill="auto"/>
                  <w:vAlign w:val="center"/>
                </w:tcPr>
                <w:p w14:paraId="3E78EEB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25.61</w:t>
                  </w:r>
                </w:p>
              </w:tc>
              <w:tc>
                <w:tcPr>
                  <w:tcW w:w="839" w:type="dxa"/>
                  <w:tcBorders>
                    <w:tl2br w:val="nil"/>
                    <w:tr2bl w:val="nil"/>
                  </w:tcBorders>
                  <w:shd w:val="clear" w:color="auto" w:fill="auto"/>
                  <w:vAlign w:val="center"/>
                </w:tcPr>
                <w:p w14:paraId="3245B68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tcBorders>
                    <w:tl2br w:val="nil"/>
                    <w:tr2bl w:val="nil"/>
                  </w:tcBorders>
                  <w:shd w:val="clear" w:color="auto" w:fill="auto"/>
                  <w:vAlign w:val="center"/>
                </w:tcPr>
                <w:p w14:paraId="34F9F40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5.45</w:t>
                  </w:r>
                </w:p>
              </w:tc>
              <w:tc>
                <w:tcPr>
                  <w:tcW w:w="898" w:type="dxa"/>
                  <w:tcBorders>
                    <w:tl2br w:val="nil"/>
                    <w:tr2bl w:val="nil"/>
                  </w:tcBorders>
                  <w:shd w:val="clear" w:color="auto" w:fill="auto"/>
                  <w:vAlign w:val="center"/>
                </w:tcPr>
                <w:p w14:paraId="050BB3B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26.51</w:t>
                  </w:r>
                </w:p>
              </w:tc>
              <w:tc>
                <w:tcPr>
                  <w:tcW w:w="897" w:type="dxa"/>
                  <w:tcBorders>
                    <w:tl2br w:val="nil"/>
                    <w:tr2bl w:val="nil"/>
                  </w:tcBorders>
                  <w:shd w:val="clear" w:color="auto" w:fill="auto"/>
                  <w:vAlign w:val="center"/>
                </w:tcPr>
                <w:p w14:paraId="7FB2B69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56.67</w:t>
                  </w:r>
                </w:p>
              </w:tc>
              <w:tc>
                <w:tcPr>
                  <w:tcW w:w="896" w:type="dxa"/>
                  <w:tcBorders>
                    <w:tl2br w:val="nil"/>
                    <w:tr2bl w:val="nil"/>
                  </w:tcBorders>
                  <w:shd w:val="clear" w:color="auto" w:fill="auto"/>
                  <w:vAlign w:val="center"/>
                </w:tcPr>
                <w:p w14:paraId="5E599B1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1.92</w:t>
                  </w:r>
                </w:p>
              </w:tc>
              <w:tc>
                <w:tcPr>
                  <w:tcW w:w="897" w:type="dxa"/>
                  <w:tcBorders>
                    <w:tl2br w:val="nil"/>
                    <w:tr2bl w:val="nil"/>
                  </w:tcBorders>
                  <w:shd w:val="clear" w:color="auto" w:fill="auto"/>
                  <w:vAlign w:val="center"/>
                </w:tcPr>
                <w:p w14:paraId="46A4B38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0.07</w:t>
                  </w:r>
                </w:p>
              </w:tc>
              <w:tc>
                <w:tcPr>
                  <w:tcW w:w="680" w:type="dxa"/>
                  <w:tcBorders>
                    <w:tl2br w:val="nil"/>
                    <w:tr2bl w:val="nil"/>
                  </w:tcBorders>
                  <w:shd w:val="clear" w:color="auto" w:fill="auto"/>
                  <w:vAlign w:val="center"/>
                </w:tcPr>
                <w:p w14:paraId="0F45A3B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0.012（S）</w:t>
                  </w:r>
                </w:p>
              </w:tc>
              <w:tc>
                <w:tcPr>
                  <w:tcW w:w="770" w:type="dxa"/>
                  <w:tcBorders>
                    <w:tl2br w:val="nil"/>
                    <w:tr2bl w:val="nil"/>
                  </w:tcBorders>
                  <w:shd w:val="clear" w:color="auto" w:fill="auto"/>
                  <w:vAlign w:val="center"/>
                </w:tcPr>
                <w:p w14:paraId="42C94F0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tcBorders>
                    <w:tl2br w:val="nil"/>
                    <w:tr2bl w:val="nil"/>
                  </w:tcBorders>
                  <w:shd w:val="clear" w:color="auto" w:fill="auto"/>
                  <w:vAlign w:val="center"/>
                </w:tcPr>
                <w:p w14:paraId="30ED9A0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0.015</w:t>
                  </w:r>
                </w:p>
              </w:tc>
              <w:tc>
                <w:tcPr>
                  <w:tcW w:w="772" w:type="dxa"/>
                  <w:tcBorders>
                    <w:tl2br w:val="nil"/>
                    <w:tr2bl w:val="nil"/>
                  </w:tcBorders>
                  <w:shd w:val="clear" w:color="auto" w:fill="auto"/>
                  <w:vAlign w:val="center"/>
                </w:tcPr>
                <w:p w14:paraId="343B162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0.06</w:t>
                  </w:r>
                </w:p>
              </w:tc>
              <w:tc>
                <w:tcPr>
                  <w:tcW w:w="690" w:type="dxa"/>
                  <w:tcBorders>
                    <w:tl2br w:val="nil"/>
                    <w:tr2bl w:val="nil"/>
                  </w:tcBorders>
                  <w:shd w:val="clear" w:color="auto" w:fill="auto"/>
                  <w:vAlign w:val="center"/>
                </w:tcPr>
                <w:p w14:paraId="73CB199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2.52</w:t>
                  </w:r>
                </w:p>
              </w:tc>
            </w:tr>
            <w:tr w14:paraId="2E50DB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auto"/>
                  <w:vAlign w:val="center"/>
                </w:tcPr>
                <w:p w14:paraId="7CCDCEF0">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水渣</w:t>
                  </w:r>
                </w:p>
              </w:tc>
              <w:tc>
                <w:tcPr>
                  <w:tcW w:w="764" w:type="dxa"/>
                  <w:shd w:val="clear" w:color="auto" w:fill="auto"/>
                  <w:vAlign w:val="center"/>
                </w:tcPr>
                <w:p w14:paraId="43EA79A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2.241</w:t>
                  </w:r>
                </w:p>
              </w:tc>
              <w:tc>
                <w:tcPr>
                  <w:tcW w:w="891" w:type="dxa"/>
                  <w:shd w:val="clear" w:color="auto" w:fill="auto"/>
                  <w:vAlign w:val="center"/>
                </w:tcPr>
                <w:p w14:paraId="7A6D98F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24.913</w:t>
                  </w:r>
                </w:p>
              </w:tc>
              <w:tc>
                <w:tcPr>
                  <w:tcW w:w="891" w:type="dxa"/>
                  <w:shd w:val="clear" w:color="auto" w:fill="auto"/>
                  <w:vAlign w:val="center"/>
                </w:tcPr>
                <w:p w14:paraId="583BEE0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8.38</w:t>
                  </w:r>
                </w:p>
              </w:tc>
              <w:tc>
                <w:tcPr>
                  <w:tcW w:w="839" w:type="dxa"/>
                  <w:shd w:val="clear" w:color="auto" w:fill="auto"/>
                  <w:vAlign w:val="center"/>
                </w:tcPr>
                <w:p w14:paraId="7785EF8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5.25</w:t>
                  </w:r>
                </w:p>
              </w:tc>
              <w:tc>
                <w:tcPr>
                  <w:tcW w:w="770" w:type="dxa"/>
                  <w:shd w:val="clear" w:color="auto" w:fill="auto"/>
                  <w:vAlign w:val="center"/>
                </w:tcPr>
                <w:p w14:paraId="4AE5864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21.52</w:t>
                  </w:r>
                </w:p>
              </w:tc>
              <w:tc>
                <w:tcPr>
                  <w:tcW w:w="898" w:type="dxa"/>
                  <w:shd w:val="clear" w:color="auto" w:fill="auto"/>
                  <w:vAlign w:val="center"/>
                </w:tcPr>
                <w:p w14:paraId="084842E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11.82</w:t>
                  </w:r>
                </w:p>
              </w:tc>
              <w:tc>
                <w:tcPr>
                  <w:tcW w:w="897" w:type="dxa"/>
                  <w:shd w:val="clear" w:color="auto" w:fill="auto"/>
                  <w:vAlign w:val="center"/>
                </w:tcPr>
                <w:p w14:paraId="6364FB6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3.32</w:t>
                  </w:r>
                </w:p>
              </w:tc>
              <w:tc>
                <w:tcPr>
                  <w:tcW w:w="896" w:type="dxa"/>
                  <w:shd w:val="clear" w:color="auto" w:fill="auto"/>
                  <w:vAlign w:val="center"/>
                </w:tcPr>
                <w:p w14:paraId="7676E20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48.35</w:t>
                  </w:r>
                </w:p>
              </w:tc>
              <w:tc>
                <w:tcPr>
                  <w:tcW w:w="897" w:type="dxa"/>
                  <w:shd w:val="clear" w:color="auto" w:fill="auto"/>
                  <w:vAlign w:val="center"/>
                </w:tcPr>
                <w:p w14:paraId="1E39389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4.38</w:t>
                  </w:r>
                </w:p>
              </w:tc>
              <w:tc>
                <w:tcPr>
                  <w:tcW w:w="680" w:type="dxa"/>
                  <w:shd w:val="clear" w:color="auto" w:fill="auto"/>
                  <w:vAlign w:val="center"/>
                </w:tcPr>
                <w:p w14:paraId="2B58F5B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0.23</w:t>
                  </w:r>
                </w:p>
              </w:tc>
              <w:tc>
                <w:tcPr>
                  <w:tcW w:w="770" w:type="dxa"/>
                  <w:shd w:val="clear" w:color="auto" w:fill="auto"/>
                  <w:vAlign w:val="center"/>
                </w:tcPr>
                <w:p w14:paraId="57A5929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1B42B83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2" w:type="dxa"/>
                  <w:shd w:val="clear" w:color="auto" w:fill="auto"/>
                  <w:vAlign w:val="center"/>
                </w:tcPr>
                <w:p w14:paraId="4DAB7A4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1.05</w:t>
                  </w:r>
                </w:p>
              </w:tc>
              <w:tc>
                <w:tcPr>
                  <w:tcW w:w="690" w:type="dxa"/>
                  <w:shd w:val="clear" w:color="auto" w:fill="auto"/>
                  <w:vAlign w:val="center"/>
                </w:tcPr>
                <w:p w14:paraId="4EF9F96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0.35</w:t>
                  </w:r>
                </w:p>
              </w:tc>
            </w:tr>
            <w:tr w14:paraId="0D39B5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auto"/>
                  <w:vAlign w:val="center"/>
                </w:tcPr>
                <w:p w14:paraId="1CE7871F">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lang w:val="en-US" w:eastAsia="zh-CN"/>
                    </w:rPr>
                    <w:t>矿渣粉（高炉</w:t>
                  </w:r>
                  <w:r>
                    <w:rPr>
                      <w:rFonts w:hint="eastAsia" w:cs="Times New Roman"/>
                      <w:b w:val="0"/>
                      <w:bCs w:val="0"/>
                      <w:color w:val="auto"/>
                      <w:lang w:val="en-US" w:eastAsia="zh-CN"/>
                    </w:rPr>
                    <w:t>干</w:t>
                  </w:r>
                  <w:r>
                    <w:rPr>
                      <w:rFonts w:hint="eastAsia" w:ascii="Times New Roman" w:hAnsi="Times New Roman" w:cs="Times New Roman"/>
                      <w:b w:val="0"/>
                      <w:bCs w:val="0"/>
                      <w:color w:val="auto"/>
                      <w:lang w:val="en-US" w:eastAsia="zh-CN"/>
                    </w:rPr>
                    <w:t>渣）</w:t>
                  </w:r>
                </w:p>
              </w:tc>
              <w:tc>
                <w:tcPr>
                  <w:tcW w:w="764" w:type="dxa"/>
                  <w:shd w:val="clear" w:color="auto" w:fill="auto"/>
                  <w:vAlign w:val="center"/>
                </w:tcPr>
                <w:p w14:paraId="2A7349C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0E972EC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14.210</w:t>
                  </w:r>
                </w:p>
              </w:tc>
              <w:tc>
                <w:tcPr>
                  <w:tcW w:w="891" w:type="dxa"/>
                  <w:shd w:val="clear" w:color="auto" w:fill="auto"/>
                  <w:vAlign w:val="center"/>
                </w:tcPr>
                <w:p w14:paraId="0461B48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0.62</w:t>
                  </w:r>
                </w:p>
              </w:tc>
              <w:tc>
                <w:tcPr>
                  <w:tcW w:w="839" w:type="dxa"/>
                  <w:shd w:val="clear" w:color="auto" w:fill="auto"/>
                  <w:vAlign w:val="center"/>
                </w:tcPr>
                <w:p w14:paraId="24DE7DE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p>
              </w:tc>
              <w:tc>
                <w:tcPr>
                  <w:tcW w:w="770" w:type="dxa"/>
                  <w:shd w:val="clear" w:color="auto" w:fill="auto"/>
                  <w:vAlign w:val="center"/>
                </w:tcPr>
                <w:p w14:paraId="19575B2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48.56</w:t>
                  </w:r>
                </w:p>
              </w:tc>
              <w:tc>
                <w:tcPr>
                  <w:tcW w:w="898" w:type="dxa"/>
                  <w:shd w:val="clear" w:color="auto" w:fill="auto"/>
                  <w:vAlign w:val="center"/>
                </w:tcPr>
                <w:p w14:paraId="7B25860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26.35</w:t>
                  </w:r>
                </w:p>
              </w:tc>
              <w:tc>
                <w:tcPr>
                  <w:tcW w:w="897" w:type="dxa"/>
                  <w:shd w:val="clear" w:color="auto" w:fill="auto"/>
                  <w:vAlign w:val="center"/>
                </w:tcPr>
                <w:p w14:paraId="131563C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5.69</w:t>
                  </w:r>
                </w:p>
              </w:tc>
              <w:tc>
                <w:tcPr>
                  <w:tcW w:w="896" w:type="dxa"/>
                  <w:shd w:val="clear" w:color="auto" w:fill="auto"/>
                  <w:vAlign w:val="center"/>
                </w:tcPr>
                <w:p w14:paraId="10C0459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6.46</w:t>
                  </w:r>
                </w:p>
              </w:tc>
              <w:tc>
                <w:tcPr>
                  <w:tcW w:w="897" w:type="dxa"/>
                  <w:shd w:val="clear" w:color="auto" w:fill="auto"/>
                  <w:vAlign w:val="center"/>
                </w:tcPr>
                <w:p w14:paraId="41CB66D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0.265</w:t>
                  </w:r>
                </w:p>
              </w:tc>
              <w:tc>
                <w:tcPr>
                  <w:tcW w:w="680" w:type="dxa"/>
                  <w:shd w:val="clear" w:color="auto" w:fill="auto"/>
                  <w:vAlign w:val="center"/>
                </w:tcPr>
                <w:p w14:paraId="4C1B075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0.29</w:t>
                  </w:r>
                </w:p>
              </w:tc>
              <w:tc>
                <w:tcPr>
                  <w:tcW w:w="770" w:type="dxa"/>
                  <w:shd w:val="clear" w:color="auto" w:fill="auto"/>
                  <w:vAlign w:val="center"/>
                </w:tcPr>
                <w:p w14:paraId="5EE9224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5E276A5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c>
                <w:tcPr>
                  <w:tcW w:w="772" w:type="dxa"/>
                  <w:shd w:val="clear" w:color="auto" w:fill="auto"/>
                  <w:vAlign w:val="center"/>
                </w:tcPr>
                <w:p w14:paraId="72B6A96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1.26</w:t>
                  </w:r>
                </w:p>
              </w:tc>
              <w:tc>
                <w:tcPr>
                  <w:tcW w:w="690" w:type="dxa"/>
                  <w:shd w:val="clear" w:color="auto" w:fill="auto"/>
                  <w:vAlign w:val="center"/>
                </w:tcPr>
                <w:p w14:paraId="1CDBCF7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0.34</w:t>
                  </w:r>
                </w:p>
              </w:tc>
            </w:tr>
            <w:tr w14:paraId="51D05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auto"/>
                  <w:vAlign w:val="center"/>
                </w:tcPr>
                <w:p w14:paraId="3873B0B6">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lang w:val="en-US" w:eastAsia="zh-CN"/>
                    </w:rPr>
                    <w:t>电炉渣</w:t>
                  </w:r>
                </w:p>
              </w:tc>
              <w:tc>
                <w:tcPr>
                  <w:tcW w:w="764" w:type="dxa"/>
                  <w:shd w:val="clear" w:color="auto" w:fill="auto"/>
                  <w:vAlign w:val="center"/>
                </w:tcPr>
                <w:p w14:paraId="33CCBA3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0AC9D3D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12.355</w:t>
                  </w:r>
                </w:p>
              </w:tc>
              <w:tc>
                <w:tcPr>
                  <w:tcW w:w="891" w:type="dxa"/>
                  <w:shd w:val="clear" w:color="auto" w:fill="auto"/>
                  <w:vAlign w:val="center"/>
                </w:tcPr>
                <w:p w14:paraId="01C20A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4.52</w:t>
                  </w:r>
                </w:p>
              </w:tc>
              <w:tc>
                <w:tcPr>
                  <w:tcW w:w="839" w:type="dxa"/>
                  <w:shd w:val="clear" w:color="auto" w:fill="auto"/>
                  <w:vAlign w:val="center"/>
                </w:tcPr>
                <w:p w14:paraId="60D2804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2.36</w:t>
                  </w:r>
                </w:p>
              </w:tc>
              <w:tc>
                <w:tcPr>
                  <w:tcW w:w="770" w:type="dxa"/>
                  <w:shd w:val="clear" w:color="auto" w:fill="auto"/>
                  <w:vAlign w:val="center"/>
                </w:tcPr>
                <w:p w14:paraId="4DD37D2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49.67</w:t>
                  </w:r>
                </w:p>
              </w:tc>
              <w:tc>
                <w:tcPr>
                  <w:tcW w:w="898" w:type="dxa"/>
                  <w:shd w:val="clear" w:color="auto" w:fill="auto"/>
                  <w:vAlign w:val="center"/>
                </w:tcPr>
                <w:p w14:paraId="6F1BB0A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22.64</w:t>
                  </w:r>
                </w:p>
              </w:tc>
              <w:tc>
                <w:tcPr>
                  <w:tcW w:w="897" w:type="dxa"/>
                  <w:shd w:val="clear" w:color="auto" w:fill="auto"/>
                  <w:vAlign w:val="center"/>
                </w:tcPr>
                <w:p w14:paraId="58154D1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10.56</w:t>
                  </w:r>
                </w:p>
              </w:tc>
              <w:tc>
                <w:tcPr>
                  <w:tcW w:w="896" w:type="dxa"/>
                  <w:shd w:val="clear" w:color="auto" w:fill="auto"/>
                  <w:vAlign w:val="center"/>
                </w:tcPr>
                <w:p w14:paraId="3B82611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8.69</w:t>
                  </w:r>
                </w:p>
              </w:tc>
              <w:tc>
                <w:tcPr>
                  <w:tcW w:w="897" w:type="dxa"/>
                  <w:shd w:val="clear" w:color="auto" w:fill="auto"/>
                  <w:vAlign w:val="center"/>
                </w:tcPr>
                <w:p w14:paraId="26D2394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1.13</w:t>
                  </w:r>
                </w:p>
              </w:tc>
              <w:tc>
                <w:tcPr>
                  <w:tcW w:w="680" w:type="dxa"/>
                  <w:shd w:val="clear" w:color="auto" w:fill="auto"/>
                  <w:vAlign w:val="center"/>
                </w:tcPr>
                <w:p w14:paraId="7DF061B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0.36</w:t>
                  </w:r>
                </w:p>
              </w:tc>
              <w:tc>
                <w:tcPr>
                  <w:tcW w:w="770" w:type="dxa"/>
                  <w:shd w:val="clear" w:color="auto" w:fill="auto"/>
                  <w:vAlign w:val="center"/>
                </w:tcPr>
                <w:p w14:paraId="5CB92A3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411FCFA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0.008</w:t>
                  </w:r>
                </w:p>
              </w:tc>
              <w:tc>
                <w:tcPr>
                  <w:tcW w:w="772" w:type="dxa"/>
                  <w:shd w:val="clear" w:color="auto" w:fill="auto"/>
                  <w:vAlign w:val="center"/>
                </w:tcPr>
                <w:p w14:paraId="5C4AD39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1.36</w:t>
                  </w:r>
                </w:p>
              </w:tc>
              <w:tc>
                <w:tcPr>
                  <w:tcW w:w="690" w:type="dxa"/>
                  <w:shd w:val="clear" w:color="auto" w:fill="auto"/>
                  <w:vAlign w:val="center"/>
                </w:tcPr>
                <w:p w14:paraId="3C4669A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0.45</w:t>
                  </w:r>
                </w:p>
              </w:tc>
            </w:tr>
            <w:tr w14:paraId="5E0676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4C4D0A20">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脱硫石膏</w:t>
                  </w:r>
                </w:p>
              </w:tc>
              <w:tc>
                <w:tcPr>
                  <w:tcW w:w="764" w:type="dxa"/>
                  <w:shd w:val="clear" w:color="auto" w:fill="auto"/>
                  <w:vAlign w:val="center"/>
                </w:tcPr>
                <w:p w14:paraId="2D1100C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553F060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32.568</w:t>
                  </w:r>
                </w:p>
              </w:tc>
              <w:tc>
                <w:tcPr>
                  <w:tcW w:w="891" w:type="dxa"/>
                  <w:shd w:val="clear" w:color="auto" w:fill="auto"/>
                  <w:vAlign w:val="center"/>
                </w:tcPr>
                <w:p w14:paraId="3F7E626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13.92</w:t>
                  </w:r>
                </w:p>
              </w:tc>
              <w:tc>
                <w:tcPr>
                  <w:tcW w:w="839" w:type="dxa"/>
                  <w:shd w:val="clear" w:color="auto" w:fill="auto"/>
                  <w:vAlign w:val="center"/>
                </w:tcPr>
                <w:p w14:paraId="00FCAA3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19.56</w:t>
                  </w:r>
                </w:p>
              </w:tc>
              <w:tc>
                <w:tcPr>
                  <w:tcW w:w="770" w:type="dxa"/>
                  <w:shd w:val="clear" w:color="auto" w:fill="auto"/>
                  <w:vAlign w:val="center"/>
                </w:tcPr>
                <w:p w14:paraId="2CDF2C5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2.06</w:t>
                  </w:r>
                </w:p>
              </w:tc>
              <w:tc>
                <w:tcPr>
                  <w:tcW w:w="898" w:type="dxa"/>
                  <w:shd w:val="clear" w:color="auto" w:fill="auto"/>
                  <w:vAlign w:val="center"/>
                </w:tcPr>
                <w:p w14:paraId="124B4FF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1.29</w:t>
                  </w:r>
                </w:p>
              </w:tc>
              <w:tc>
                <w:tcPr>
                  <w:tcW w:w="897" w:type="dxa"/>
                  <w:shd w:val="clear" w:color="auto" w:fill="auto"/>
                  <w:vAlign w:val="center"/>
                </w:tcPr>
                <w:p w14:paraId="59F54BD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3.26</w:t>
                  </w:r>
                </w:p>
              </w:tc>
              <w:tc>
                <w:tcPr>
                  <w:tcW w:w="896" w:type="dxa"/>
                  <w:shd w:val="clear" w:color="auto" w:fill="auto"/>
                  <w:vAlign w:val="center"/>
                </w:tcPr>
                <w:p w14:paraId="20DB30C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22.90</w:t>
                  </w:r>
                </w:p>
              </w:tc>
              <w:tc>
                <w:tcPr>
                  <w:tcW w:w="897" w:type="dxa"/>
                  <w:shd w:val="clear" w:color="auto" w:fill="auto"/>
                  <w:vAlign w:val="center"/>
                </w:tcPr>
                <w:p w14:paraId="7C14891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0.48</w:t>
                  </w:r>
                </w:p>
              </w:tc>
              <w:tc>
                <w:tcPr>
                  <w:tcW w:w="680" w:type="dxa"/>
                  <w:shd w:val="clear" w:color="auto" w:fill="auto"/>
                  <w:vAlign w:val="center"/>
                </w:tcPr>
                <w:p w14:paraId="6C50BC8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42.56</w:t>
                  </w:r>
                </w:p>
              </w:tc>
              <w:tc>
                <w:tcPr>
                  <w:tcW w:w="770" w:type="dxa"/>
                  <w:shd w:val="clear" w:color="auto" w:fill="auto"/>
                  <w:vAlign w:val="center"/>
                </w:tcPr>
                <w:p w14:paraId="65262FC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78C60AE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0.012</w:t>
                  </w:r>
                </w:p>
              </w:tc>
              <w:tc>
                <w:tcPr>
                  <w:tcW w:w="772" w:type="dxa"/>
                  <w:shd w:val="clear" w:color="auto" w:fill="auto"/>
                  <w:vAlign w:val="center"/>
                </w:tcPr>
                <w:p w14:paraId="712F3E7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w:t>
                  </w:r>
                </w:p>
              </w:tc>
              <w:tc>
                <w:tcPr>
                  <w:tcW w:w="690" w:type="dxa"/>
                  <w:shd w:val="clear" w:color="auto" w:fill="auto"/>
                  <w:vAlign w:val="center"/>
                </w:tcPr>
                <w:p w14:paraId="670E5FE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0.19</w:t>
                  </w:r>
                </w:p>
              </w:tc>
            </w:tr>
            <w:tr w14:paraId="50B56D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11E04A1B">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磷石膏</w:t>
                  </w:r>
                </w:p>
              </w:tc>
              <w:tc>
                <w:tcPr>
                  <w:tcW w:w="764" w:type="dxa"/>
                  <w:shd w:val="clear" w:color="auto" w:fill="auto"/>
                  <w:vAlign w:val="center"/>
                </w:tcPr>
                <w:p w14:paraId="1926AE2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2F89BF7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15.658</w:t>
                  </w:r>
                </w:p>
              </w:tc>
              <w:tc>
                <w:tcPr>
                  <w:tcW w:w="891" w:type="dxa"/>
                  <w:shd w:val="clear" w:color="auto" w:fill="auto"/>
                  <w:vAlign w:val="center"/>
                </w:tcPr>
                <w:p w14:paraId="0C35F38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13.61</w:t>
                  </w:r>
                </w:p>
              </w:tc>
              <w:tc>
                <w:tcPr>
                  <w:tcW w:w="839" w:type="dxa"/>
                  <w:shd w:val="clear" w:color="auto" w:fill="auto"/>
                  <w:vAlign w:val="center"/>
                </w:tcPr>
                <w:p w14:paraId="3008709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24.56</w:t>
                  </w:r>
                </w:p>
              </w:tc>
              <w:tc>
                <w:tcPr>
                  <w:tcW w:w="770" w:type="dxa"/>
                  <w:shd w:val="clear" w:color="auto" w:fill="auto"/>
                  <w:vAlign w:val="center"/>
                </w:tcPr>
                <w:p w14:paraId="74C7337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4.36</w:t>
                  </w:r>
                </w:p>
              </w:tc>
              <w:tc>
                <w:tcPr>
                  <w:tcW w:w="898" w:type="dxa"/>
                  <w:shd w:val="clear" w:color="auto" w:fill="auto"/>
                  <w:vAlign w:val="center"/>
                </w:tcPr>
                <w:p w14:paraId="52EBF98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0.89</w:t>
                  </w:r>
                </w:p>
              </w:tc>
              <w:tc>
                <w:tcPr>
                  <w:tcW w:w="897" w:type="dxa"/>
                  <w:shd w:val="clear" w:color="auto" w:fill="auto"/>
                  <w:vAlign w:val="center"/>
                </w:tcPr>
                <w:p w14:paraId="6C73943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0.48</w:t>
                  </w:r>
                </w:p>
              </w:tc>
              <w:tc>
                <w:tcPr>
                  <w:tcW w:w="896" w:type="dxa"/>
                  <w:shd w:val="clear" w:color="auto" w:fill="auto"/>
                  <w:vAlign w:val="center"/>
                </w:tcPr>
                <w:p w14:paraId="3B8CC48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30.46</w:t>
                  </w:r>
                </w:p>
              </w:tc>
              <w:tc>
                <w:tcPr>
                  <w:tcW w:w="897" w:type="dxa"/>
                  <w:shd w:val="clear" w:color="auto" w:fill="auto"/>
                  <w:vAlign w:val="center"/>
                </w:tcPr>
                <w:p w14:paraId="1A53EED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0.46</w:t>
                  </w:r>
                </w:p>
              </w:tc>
              <w:tc>
                <w:tcPr>
                  <w:tcW w:w="680" w:type="dxa"/>
                  <w:shd w:val="clear" w:color="auto" w:fill="auto"/>
                  <w:vAlign w:val="center"/>
                </w:tcPr>
                <w:p w14:paraId="397AB6A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39.57</w:t>
                  </w:r>
                </w:p>
              </w:tc>
              <w:tc>
                <w:tcPr>
                  <w:tcW w:w="770" w:type="dxa"/>
                  <w:shd w:val="clear" w:color="auto" w:fill="auto"/>
                  <w:vAlign w:val="center"/>
                </w:tcPr>
                <w:p w14:paraId="464D836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4833360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0.0003</w:t>
                  </w:r>
                </w:p>
              </w:tc>
              <w:tc>
                <w:tcPr>
                  <w:tcW w:w="772" w:type="dxa"/>
                  <w:shd w:val="clear" w:color="auto" w:fill="auto"/>
                  <w:vAlign w:val="center"/>
                </w:tcPr>
                <w:p w14:paraId="265BC06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0.19</w:t>
                  </w:r>
                </w:p>
              </w:tc>
              <w:tc>
                <w:tcPr>
                  <w:tcW w:w="690" w:type="dxa"/>
                  <w:shd w:val="clear" w:color="auto" w:fill="auto"/>
                  <w:vAlign w:val="center"/>
                </w:tcPr>
                <w:p w14:paraId="6881CBB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0.27</w:t>
                  </w:r>
                </w:p>
              </w:tc>
            </w:tr>
            <w:tr w14:paraId="3C806B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2F591705">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钛石膏</w:t>
                  </w:r>
                </w:p>
              </w:tc>
              <w:tc>
                <w:tcPr>
                  <w:tcW w:w="764" w:type="dxa"/>
                  <w:shd w:val="clear" w:color="auto" w:fill="auto"/>
                  <w:vAlign w:val="center"/>
                </w:tcPr>
                <w:p w14:paraId="4D79314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7CC5ABE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0.264</w:t>
                  </w:r>
                </w:p>
              </w:tc>
              <w:tc>
                <w:tcPr>
                  <w:tcW w:w="891" w:type="dxa"/>
                  <w:shd w:val="clear" w:color="auto" w:fill="auto"/>
                  <w:vAlign w:val="center"/>
                </w:tcPr>
                <w:p w14:paraId="70C0A75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16.53</w:t>
                  </w:r>
                </w:p>
              </w:tc>
              <w:tc>
                <w:tcPr>
                  <w:tcW w:w="839" w:type="dxa"/>
                  <w:shd w:val="clear" w:color="auto" w:fill="auto"/>
                  <w:vAlign w:val="center"/>
                </w:tcPr>
                <w:p w14:paraId="228690A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21.56</w:t>
                  </w:r>
                </w:p>
              </w:tc>
              <w:tc>
                <w:tcPr>
                  <w:tcW w:w="770" w:type="dxa"/>
                  <w:shd w:val="clear" w:color="auto" w:fill="auto"/>
                  <w:vAlign w:val="center"/>
                </w:tcPr>
                <w:p w14:paraId="6290E0D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2.36</w:t>
                  </w:r>
                </w:p>
              </w:tc>
              <w:tc>
                <w:tcPr>
                  <w:tcW w:w="898" w:type="dxa"/>
                  <w:shd w:val="clear" w:color="auto" w:fill="auto"/>
                  <w:vAlign w:val="center"/>
                </w:tcPr>
                <w:p w14:paraId="53D4357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1.35</w:t>
                  </w:r>
                </w:p>
              </w:tc>
              <w:tc>
                <w:tcPr>
                  <w:tcW w:w="897" w:type="dxa"/>
                  <w:shd w:val="clear" w:color="auto" w:fill="auto"/>
                  <w:vAlign w:val="center"/>
                </w:tcPr>
                <w:p w14:paraId="46E8C55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4.68</w:t>
                  </w:r>
                </w:p>
              </w:tc>
              <w:tc>
                <w:tcPr>
                  <w:tcW w:w="896" w:type="dxa"/>
                  <w:shd w:val="clear" w:color="auto" w:fill="auto"/>
                  <w:vAlign w:val="center"/>
                </w:tcPr>
                <w:p w14:paraId="735CE8F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26.59</w:t>
                  </w:r>
                </w:p>
              </w:tc>
              <w:tc>
                <w:tcPr>
                  <w:tcW w:w="897" w:type="dxa"/>
                  <w:shd w:val="clear" w:color="auto" w:fill="auto"/>
                  <w:vAlign w:val="center"/>
                </w:tcPr>
                <w:p w14:paraId="58ACEE4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1.56</w:t>
                  </w:r>
                </w:p>
              </w:tc>
              <w:tc>
                <w:tcPr>
                  <w:tcW w:w="680" w:type="dxa"/>
                  <w:shd w:val="clear" w:color="auto" w:fill="auto"/>
                  <w:vAlign w:val="center"/>
                </w:tcPr>
                <w:p w14:paraId="078D054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36.40</w:t>
                  </w:r>
                </w:p>
              </w:tc>
              <w:tc>
                <w:tcPr>
                  <w:tcW w:w="770" w:type="dxa"/>
                  <w:shd w:val="clear" w:color="auto" w:fill="auto"/>
                  <w:vAlign w:val="center"/>
                </w:tcPr>
                <w:p w14:paraId="7723E33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1392C39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0.021</w:t>
                  </w:r>
                </w:p>
              </w:tc>
              <w:tc>
                <w:tcPr>
                  <w:tcW w:w="772" w:type="dxa"/>
                  <w:shd w:val="clear" w:color="auto" w:fill="auto"/>
                  <w:vAlign w:val="center"/>
                </w:tcPr>
                <w:p w14:paraId="25AB8DB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020D40B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339B4E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2C5CC371">
                  <w:pPr>
                    <w:pStyle w:val="43"/>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氟石膏</w:t>
                  </w:r>
                </w:p>
              </w:tc>
              <w:tc>
                <w:tcPr>
                  <w:tcW w:w="764" w:type="dxa"/>
                  <w:shd w:val="clear" w:color="auto" w:fill="auto"/>
                  <w:vAlign w:val="center"/>
                </w:tcPr>
                <w:p w14:paraId="13BAC33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57C71C1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249.560</w:t>
                  </w:r>
                </w:p>
              </w:tc>
              <w:tc>
                <w:tcPr>
                  <w:tcW w:w="891" w:type="dxa"/>
                  <w:shd w:val="clear" w:color="auto" w:fill="auto"/>
                  <w:vAlign w:val="center"/>
                </w:tcPr>
                <w:p w14:paraId="4E58CE2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1.16</w:t>
                  </w:r>
                </w:p>
              </w:tc>
              <w:tc>
                <w:tcPr>
                  <w:tcW w:w="839" w:type="dxa"/>
                  <w:shd w:val="clear" w:color="auto" w:fill="auto"/>
                  <w:vAlign w:val="center"/>
                </w:tcPr>
                <w:p w14:paraId="30C7E26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4.36</w:t>
                  </w:r>
                </w:p>
              </w:tc>
              <w:tc>
                <w:tcPr>
                  <w:tcW w:w="770" w:type="dxa"/>
                  <w:shd w:val="clear" w:color="auto" w:fill="auto"/>
                  <w:vAlign w:val="center"/>
                </w:tcPr>
                <w:p w14:paraId="057CB46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1.46</w:t>
                  </w:r>
                </w:p>
              </w:tc>
              <w:tc>
                <w:tcPr>
                  <w:tcW w:w="898" w:type="dxa"/>
                  <w:shd w:val="clear" w:color="auto" w:fill="auto"/>
                  <w:vAlign w:val="center"/>
                </w:tcPr>
                <w:p w14:paraId="12BD20A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0.86</w:t>
                  </w:r>
                </w:p>
              </w:tc>
              <w:tc>
                <w:tcPr>
                  <w:tcW w:w="897" w:type="dxa"/>
                  <w:shd w:val="clear" w:color="auto" w:fill="auto"/>
                  <w:vAlign w:val="center"/>
                </w:tcPr>
                <w:p w14:paraId="085AD3E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1.26</w:t>
                  </w:r>
                </w:p>
              </w:tc>
              <w:tc>
                <w:tcPr>
                  <w:tcW w:w="896" w:type="dxa"/>
                  <w:shd w:val="clear" w:color="auto" w:fill="auto"/>
                  <w:vAlign w:val="center"/>
                </w:tcPr>
                <w:p w14:paraId="65E7ED7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35.14</w:t>
                  </w:r>
                </w:p>
              </w:tc>
              <w:tc>
                <w:tcPr>
                  <w:tcW w:w="897" w:type="dxa"/>
                  <w:shd w:val="clear" w:color="auto" w:fill="auto"/>
                  <w:vAlign w:val="center"/>
                </w:tcPr>
                <w:p w14:paraId="023F63D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0.86</w:t>
                  </w:r>
                </w:p>
              </w:tc>
              <w:tc>
                <w:tcPr>
                  <w:tcW w:w="680" w:type="dxa"/>
                  <w:shd w:val="clear" w:color="auto" w:fill="auto"/>
                  <w:vAlign w:val="center"/>
                </w:tcPr>
                <w:p w14:paraId="13CCA69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52.46</w:t>
                  </w:r>
                </w:p>
              </w:tc>
              <w:tc>
                <w:tcPr>
                  <w:tcW w:w="770" w:type="dxa"/>
                  <w:shd w:val="clear" w:color="auto" w:fill="auto"/>
                  <w:vAlign w:val="center"/>
                </w:tcPr>
                <w:p w14:paraId="555DD2D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1.53</w:t>
                  </w:r>
                </w:p>
              </w:tc>
              <w:tc>
                <w:tcPr>
                  <w:tcW w:w="784" w:type="dxa"/>
                  <w:shd w:val="clear" w:color="auto" w:fill="auto"/>
                  <w:vAlign w:val="center"/>
                </w:tcPr>
                <w:p w14:paraId="11B194F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c>
                <w:tcPr>
                  <w:tcW w:w="772" w:type="dxa"/>
                  <w:shd w:val="clear" w:color="auto" w:fill="auto"/>
                  <w:vAlign w:val="center"/>
                </w:tcPr>
                <w:p w14:paraId="5110A57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04B7793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5DCFE0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auto"/>
                  <w:vAlign w:val="center"/>
                </w:tcPr>
                <w:p w14:paraId="018DDB7C">
                  <w:pPr>
                    <w:pStyle w:val="43"/>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冶炼废渣</w:t>
                  </w:r>
                </w:p>
              </w:tc>
              <w:tc>
                <w:tcPr>
                  <w:tcW w:w="764" w:type="dxa"/>
                  <w:shd w:val="clear" w:color="auto" w:fill="auto"/>
                  <w:vAlign w:val="center"/>
                </w:tcPr>
                <w:p w14:paraId="258A644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1045350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412.560</w:t>
                  </w:r>
                </w:p>
              </w:tc>
              <w:tc>
                <w:tcPr>
                  <w:tcW w:w="891" w:type="dxa"/>
                  <w:shd w:val="clear" w:color="auto" w:fill="auto"/>
                  <w:vAlign w:val="center"/>
                </w:tcPr>
                <w:p w14:paraId="06119FD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21.14</w:t>
                  </w:r>
                </w:p>
              </w:tc>
              <w:tc>
                <w:tcPr>
                  <w:tcW w:w="839" w:type="dxa"/>
                  <w:shd w:val="clear" w:color="auto" w:fill="auto"/>
                  <w:vAlign w:val="center"/>
                </w:tcPr>
                <w:p w14:paraId="6D602D2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2.36</w:t>
                  </w:r>
                </w:p>
              </w:tc>
              <w:tc>
                <w:tcPr>
                  <w:tcW w:w="770" w:type="dxa"/>
                  <w:shd w:val="clear" w:color="auto" w:fill="auto"/>
                  <w:vAlign w:val="center"/>
                </w:tcPr>
                <w:p w14:paraId="2A5F028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56.25</w:t>
                  </w:r>
                </w:p>
              </w:tc>
              <w:tc>
                <w:tcPr>
                  <w:tcW w:w="898" w:type="dxa"/>
                  <w:shd w:val="clear" w:color="auto" w:fill="auto"/>
                  <w:vAlign w:val="center"/>
                </w:tcPr>
                <w:p w14:paraId="462E6D7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12.15</w:t>
                  </w:r>
                </w:p>
              </w:tc>
              <w:tc>
                <w:tcPr>
                  <w:tcW w:w="897" w:type="dxa"/>
                  <w:shd w:val="clear" w:color="auto" w:fill="auto"/>
                  <w:vAlign w:val="center"/>
                </w:tcPr>
                <w:p w14:paraId="5472EC1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33.16</w:t>
                  </w:r>
                </w:p>
              </w:tc>
              <w:tc>
                <w:tcPr>
                  <w:tcW w:w="896" w:type="dxa"/>
                  <w:shd w:val="clear" w:color="auto" w:fill="auto"/>
                  <w:vAlign w:val="center"/>
                </w:tcPr>
                <w:p w14:paraId="6BEC123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2.23</w:t>
                  </w:r>
                </w:p>
              </w:tc>
              <w:tc>
                <w:tcPr>
                  <w:tcW w:w="897" w:type="dxa"/>
                  <w:shd w:val="clear" w:color="auto" w:fill="auto"/>
                  <w:vAlign w:val="center"/>
                </w:tcPr>
                <w:p w14:paraId="2673450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3.26</w:t>
                  </w:r>
                </w:p>
              </w:tc>
              <w:tc>
                <w:tcPr>
                  <w:tcW w:w="680" w:type="dxa"/>
                  <w:shd w:val="clear" w:color="auto" w:fill="auto"/>
                  <w:vAlign w:val="center"/>
                </w:tcPr>
                <w:p w14:paraId="6E27F8B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0.47</w:t>
                  </w:r>
                </w:p>
              </w:tc>
              <w:tc>
                <w:tcPr>
                  <w:tcW w:w="770" w:type="dxa"/>
                  <w:shd w:val="clear" w:color="auto" w:fill="auto"/>
                  <w:vAlign w:val="center"/>
                </w:tcPr>
                <w:p w14:paraId="1BE83EA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3C5C51E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0.009</w:t>
                  </w:r>
                </w:p>
              </w:tc>
              <w:tc>
                <w:tcPr>
                  <w:tcW w:w="772" w:type="dxa"/>
                  <w:shd w:val="clear" w:color="auto" w:fill="auto"/>
                  <w:vAlign w:val="center"/>
                </w:tcPr>
                <w:p w14:paraId="6DEF214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1.09</w:t>
                  </w:r>
                </w:p>
              </w:tc>
              <w:tc>
                <w:tcPr>
                  <w:tcW w:w="690" w:type="dxa"/>
                  <w:shd w:val="clear" w:color="auto" w:fill="auto"/>
                  <w:vAlign w:val="center"/>
                </w:tcPr>
                <w:p w14:paraId="660183C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0.54</w:t>
                  </w:r>
                </w:p>
              </w:tc>
            </w:tr>
            <w:tr w14:paraId="67C01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753692A0">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飞灰</w:t>
                  </w:r>
                  <w:r>
                    <w:rPr>
                      <w:rFonts w:hint="eastAsia" w:cs="Times New Roman"/>
                      <w:color w:val="auto"/>
                      <w:lang w:val="en-US" w:eastAsia="zh-CN"/>
                    </w:rPr>
                    <w:t>（煤灰）</w:t>
                  </w:r>
                </w:p>
              </w:tc>
              <w:tc>
                <w:tcPr>
                  <w:tcW w:w="764" w:type="dxa"/>
                  <w:shd w:val="clear" w:color="auto" w:fill="auto"/>
                  <w:vAlign w:val="center"/>
                </w:tcPr>
                <w:p w14:paraId="5F78BBE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w:t>
                  </w:r>
                </w:p>
              </w:tc>
              <w:tc>
                <w:tcPr>
                  <w:tcW w:w="891" w:type="dxa"/>
                  <w:shd w:val="clear" w:color="auto" w:fill="auto"/>
                  <w:vAlign w:val="center"/>
                </w:tcPr>
                <w:p w14:paraId="27398AC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14.2</w:t>
                  </w:r>
                </w:p>
              </w:tc>
              <w:tc>
                <w:tcPr>
                  <w:tcW w:w="891" w:type="dxa"/>
                  <w:shd w:val="clear" w:color="auto" w:fill="auto"/>
                  <w:vAlign w:val="center"/>
                </w:tcPr>
                <w:p w14:paraId="0CACFFD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2.36</w:t>
                  </w:r>
                </w:p>
              </w:tc>
              <w:tc>
                <w:tcPr>
                  <w:tcW w:w="839" w:type="dxa"/>
                  <w:shd w:val="clear" w:color="auto" w:fill="auto"/>
                  <w:vAlign w:val="center"/>
                </w:tcPr>
                <w:p w14:paraId="48ECB21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30.13</w:t>
                  </w:r>
                </w:p>
              </w:tc>
              <w:tc>
                <w:tcPr>
                  <w:tcW w:w="770" w:type="dxa"/>
                  <w:shd w:val="clear" w:color="auto" w:fill="auto"/>
                  <w:vAlign w:val="center"/>
                </w:tcPr>
                <w:p w14:paraId="2DC5CB7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7CACF28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276926E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2CBD2A4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5D6CCB3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15FF196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0.54</w:t>
                  </w:r>
                </w:p>
              </w:tc>
              <w:tc>
                <w:tcPr>
                  <w:tcW w:w="770" w:type="dxa"/>
                  <w:shd w:val="clear" w:color="auto" w:fill="auto"/>
                  <w:vAlign w:val="center"/>
                </w:tcPr>
                <w:p w14:paraId="0536103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0.023</w:t>
                  </w:r>
                </w:p>
              </w:tc>
              <w:tc>
                <w:tcPr>
                  <w:tcW w:w="784" w:type="dxa"/>
                  <w:shd w:val="clear" w:color="auto" w:fill="auto"/>
                  <w:vAlign w:val="center"/>
                </w:tcPr>
                <w:p w14:paraId="5E3B989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0.02</w:t>
                  </w:r>
                </w:p>
              </w:tc>
              <w:tc>
                <w:tcPr>
                  <w:tcW w:w="772" w:type="dxa"/>
                  <w:shd w:val="clear" w:color="auto" w:fill="auto"/>
                  <w:vAlign w:val="center"/>
                </w:tcPr>
                <w:p w14:paraId="0E6B4AD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1AE141C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34EB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753CE231">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生物质燃料</w:t>
                  </w:r>
                </w:p>
              </w:tc>
              <w:tc>
                <w:tcPr>
                  <w:tcW w:w="764" w:type="dxa"/>
                  <w:shd w:val="clear" w:color="auto" w:fill="auto"/>
                  <w:vAlign w:val="center"/>
                </w:tcPr>
                <w:p w14:paraId="637AE8A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12C6B19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3.285</w:t>
                  </w:r>
                </w:p>
              </w:tc>
              <w:tc>
                <w:tcPr>
                  <w:tcW w:w="891" w:type="dxa"/>
                  <w:shd w:val="clear" w:color="auto" w:fill="auto"/>
                  <w:vAlign w:val="center"/>
                </w:tcPr>
                <w:p w14:paraId="40A6A31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15.62</w:t>
                  </w:r>
                </w:p>
              </w:tc>
              <w:tc>
                <w:tcPr>
                  <w:tcW w:w="839" w:type="dxa"/>
                  <w:shd w:val="clear" w:color="auto" w:fill="auto"/>
                  <w:vAlign w:val="center"/>
                </w:tcPr>
                <w:p w14:paraId="3A1E3A9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shd w:val="clear" w:color="auto" w:fill="auto"/>
                  <w:vAlign w:val="center"/>
                </w:tcPr>
                <w:p w14:paraId="71A5EE9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4CAA244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50BE350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1B950E5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108883E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2AC1591D">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0.2</w:t>
                  </w:r>
                  <w:r>
                    <w:rPr>
                      <w:rFonts w:hint="eastAsia" w:ascii="Times New Roman" w:hAnsi="Times New Roman" w:eastAsia="宋体" w:cs="Times New Roman"/>
                      <w:color w:val="auto"/>
                      <w:lang w:val="en-US" w:eastAsia="zh-CN"/>
                    </w:rPr>
                    <w:t>（S）</w:t>
                  </w:r>
                </w:p>
              </w:tc>
              <w:tc>
                <w:tcPr>
                  <w:tcW w:w="770" w:type="dxa"/>
                  <w:shd w:val="clear" w:color="auto" w:fill="auto"/>
                  <w:vAlign w:val="center"/>
                </w:tcPr>
                <w:p w14:paraId="7B8B0693">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0.02</w:t>
                  </w:r>
                </w:p>
              </w:tc>
              <w:tc>
                <w:tcPr>
                  <w:tcW w:w="784" w:type="dxa"/>
                  <w:shd w:val="clear" w:color="auto" w:fill="auto"/>
                  <w:vAlign w:val="center"/>
                </w:tcPr>
                <w:p w14:paraId="1ED4B63E">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0.05</w:t>
                  </w:r>
                </w:p>
              </w:tc>
              <w:tc>
                <w:tcPr>
                  <w:tcW w:w="772" w:type="dxa"/>
                  <w:shd w:val="clear" w:color="auto" w:fill="auto"/>
                  <w:vAlign w:val="center"/>
                </w:tcPr>
                <w:p w14:paraId="42750DE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1C4D55C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095BF1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3AA262ED">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废纺</w:t>
                  </w:r>
                </w:p>
              </w:tc>
              <w:tc>
                <w:tcPr>
                  <w:tcW w:w="764" w:type="dxa"/>
                  <w:shd w:val="clear" w:color="auto" w:fill="auto"/>
                  <w:vAlign w:val="center"/>
                </w:tcPr>
                <w:p w14:paraId="18771CB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0.078</w:t>
                  </w:r>
                </w:p>
              </w:tc>
              <w:tc>
                <w:tcPr>
                  <w:tcW w:w="891" w:type="dxa"/>
                  <w:shd w:val="clear" w:color="auto" w:fill="auto"/>
                  <w:vAlign w:val="center"/>
                </w:tcPr>
                <w:p w14:paraId="4FEC9E5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0.385</w:t>
                  </w:r>
                </w:p>
              </w:tc>
              <w:tc>
                <w:tcPr>
                  <w:tcW w:w="891" w:type="dxa"/>
                  <w:shd w:val="clear" w:color="auto" w:fill="auto"/>
                  <w:vAlign w:val="center"/>
                </w:tcPr>
                <w:p w14:paraId="4C0E42C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0.22</w:t>
                  </w:r>
                </w:p>
              </w:tc>
              <w:tc>
                <w:tcPr>
                  <w:tcW w:w="839" w:type="dxa"/>
                  <w:shd w:val="clear" w:color="auto" w:fill="auto"/>
                  <w:vAlign w:val="center"/>
                </w:tcPr>
                <w:p w14:paraId="2189C37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shd w:val="clear" w:color="auto" w:fill="auto"/>
                  <w:vAlign w:val="center"/>
                </w:tcPr>
                <w:p w14:paraId="0DB8CE8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1C1872D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1295942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2FE84BA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2309EB9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00E02DA4">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0.38</w:t>
                  </w:r>
                  <w:r>
                    <w:rPr>
                      <w:rFonts w:hint="eastAsia" w:ascii="Times New Roman" w:hAnsi="Times New Roman" w:eastAsia="宋体" w:cs="Times New Roman"/>
                      <w:color w:val="auto"/>
                      <w:lang w:val="en-US" w:eastAsia="zh-CN"/>
                    </w:rPr>
                    <w:t>（S）</w:t>
                  </w:r>
                </w:p>
              </w:tc>
              <w:tc>
                <w:tcPr>
                  <w:tcW w:w="770" w:type="dxa"/>
                  <w:shd w:val="clear" w:color="auto" w:fill="auto"/>
                  <w:vAlign w:val="center"/>
                </w:tcPr>
                <w:p w14:paraId="5FCED606">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0.02</w:t>
                  </w:r>
                </w:p>
              </w:tc>
              <w:tc>
                <w:tcPr>
                  <w:tcW w:w="784" w:type="dxa"/>
                  <w:shd w:val="clear" w:color="auto" w:fill="auto"/>
                  <w:vAlign w:val="center"/>
                </w:tcPr>
                <w:p w14:paraId="220CA48A">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0.01</w:t>
                  </w:r>
                </w:p>
              </w:tc>
              <w:tc>
                <w:tcPr>
                  <w:tcW w:w="772" w:type="dxa"/>
                  <w:shd w:val="clear" w:color="auto" w:fill="auto"/>
                  <w:vAlign w:val="center"/>
                </w:tcPr>
                <w:p w14:paraId="33BA48A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4B47125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3D675F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0088E5FA">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废塑料</w:t>
                  </w:r>
                </w:p>
              </w:tc>
              <w:tc>
                <w:tcPr>
                  <w:tcW w:w="764" w:type="dxa"/>
                  <w:shd w:val="clear" w:color="auto" w:fill="auto"/>
                  <w:vAlign w:val="center"/>
                </w:tcPr>
                <w:p w14:paraId="28D0E02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0.17</w:t>
                  </w:r>
                </w:p>
              </w:tc>
              <w:tc>
                <w:tcPr>
                  <w:tcW w:w="891" w:type="dxa"/>
                  <w:shd w:val="clear" w:color="auto" w:fill="auto"/>
                  <w:vAlign w:val="center"/>
                </w:tcPr>
                <w:p w14:paraId="704D600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4.66</w:t>
                  </w:r>
                </w:p>
              </w:tc>
              <w:tc>
                <w:tcPr>
                  <w:tcW w:w="891" w:type="dxa"/>
                  <w:shd w:val="clear" w:color="auto" w:fill="auto"/>
                  <w:vAlign w:val="center"/>
                </w:tcPr>
                <w:p w14:paraId="5B05F8D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1.15</w:t>
                  </w:r>
                </w:p>
              </w:tc>
              <w:tc>
                <w:tcPr>
                  <w:tcW w:w="839" w:type="dxa"/>
                  <w:shd w:val="clear" w:color="auto" w:fill="auto"/>
                  <w:vAlign w:val="center"/>
                </w:tcPr>
                <w:p w14:paraId="776059B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shd w:val="clear" w:color="auto" w:fill="auto"/>
                  <w:vAlign w:val="center"/>
                </w:tcPr>
                <w:p w14:paraId="0868BC0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783F8477">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3361777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0C4CDCD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64F27D8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356FF839">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0.5</w:t>
                  </w:r>
                  <w:r>
                    <w:rPr>
                      <w:rFonts w:hint="eastAsia" w:ascii="Times New Roman" w:hAnsi="Times New Roman" w:eastAsia="宋体" w:cs="Times New Roman"/>
                      <w:color w:val="auto"/>
                      <w:lang w:val="en-US" w:eastAsia="zh-CN"/>
                    </w:rPr>
                    <w:t>（S）</w:t>
                  </w:r>
                </w:p>
              </w:tc>
              <w:tc>
                <w:tcPr>
                  <w:tcW w:w="770" w:type="dxa"/>
                  <w:shd w:val="clear" w:color="auto" w:fill="auto"/>
                  <w:vAlign w:val="center"/>
                </w:tcPr>
                <w:p w14:paraId="1DFB73EC">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0.016</w:t>
                  </w:r>
                </w:p>
              </w:tc>
              <w:tc>
                <w:tcPr>
                  <w:tcW w:w="784" w:type="dxa"/>
                  <w:shd w:val="clear" w:color="auto" w:fill="auto"/>
                  <w:vAlign w:val="center"/>
                </w:tcPr>
                <w:p w14:paraId="34DA308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3.16</w:t>
                  </w:r>
                </w:p>
              </w:tc>
              <w:tc>
                <w:tcPr>
                  <w:tcW w:w="772" w:type="dxa"/>
                  <w:shd w:val="clear" w:color="auto" w:fill="auto"/>
                  <w:vAlign w:val="center"/>
                </w:tcPr>
                <w:p w14:paraId="5E8C68D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4F25ED0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57945E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70905D2E">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废橡胶</w:t>
                  </w:r>
                </w:p>
              </w:tc>
              <w:tc>
                <w:tcPr>
                  <w:tcW w:w="764" w:type="dxa"/>
                  <w:shd w:val="clear" w:color="auto" w:fill="auto"/>
                  <w:vAlign w:val="center"/>
                </w:tcPr>
                <w:p w14:paraId="7105E37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412DB46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14.23</w:t>
                  </w:r>
                </w:p>
              </w:tc>
              <w:tc>
                <w:tcPr>
                  <w:tcW w:w="891" w:type="dxa"/>
                  <w:shd w:val="clear" w:color="auto" w:fill="auto"/>
                  <w:vAlign w:val="center"/>
                </w:tcPr>
                <w:p w14:paraId="5EF1B9AA">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3.21</w:t>
                  </w:r>
                </w:p>
              </w:tc>
              <w:tc>
                <w:tcPr>
                  <w:tcW w:w="839" w:type="dxa"/>
                  <w:shd w:val="clear" w:color="auto" w:fill="auto"/>
                  <w:vAlign w:val="center"/>
                </w:tcPr>
                <w:p w14:paraId="52866C4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shd w:val="clear" w:color="auto" w:fill="auto"/>
                  <w:vAlign w:val="center"/>
                </w:tcPr>
                <w:p w14:paraId="4CCE9F86">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1A9002B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1553239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65DE19C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5785740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4781EAC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3.47（S）</w:t>
                  </w:r>
                </w:p>
              </w:tc>
              <w:tc>
                <w:tcPr>
                  <w:tcW w:w="770" w:type="dxa"/>
                  <w:shd w:val="clear" w:color="auto" w:fill="auto"/>
                  <w:vAlign w:val="center"/>
                </w:tcPr>
                <w:p w14:paraId="77099CCE">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0.005</w:t>
                  </w:r>
                </w:p>
              </w:tc>
              <w:tc>
                <w:tcPr>
                  <w:tcW w:w="784" w:type="dxa"/>
                  <w:shd w:val="clear" w:color="auto" w:fill="auto"/>
                  <w:vAlign w:val="center"/>
                </w:tcPr>
                <w:p w14:paraId="249C187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0.25</w:t>
                  </w:r>
                </w:p>
              </w:tc>
              <w:tc>
                <w:tcPr>
                  <w:tcW w:w="772" w:type="dxa"/>
                  <w:shd w:val="clear" w:color="auto" w:fill="auto"/>
                  <w:vAlign w:val="center"/>
                </w:tcPr>
                <w:p w14:paraId="026CD34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72FEB42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73B71A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18B4FAF9">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废皮革</w:t>
                  </w:r>
                </w:p>
              </w:tc>
              <w:tc>
                <w:tcPr>
                  <w:tcW w:w="764" w:type="dxa"/>
                  <w:shd w:val="clear" w:color="auto" w:fill="auto"/>
                  <w:vAlign w:val="center"/>
                </w:tcPr>
                <w:p w14:paraId="727315C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4DC79C4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13.26</w:t>
                  </w:r>
                </w:p>
              </w:tc>
              <w:tc>
                <w:tcPr>
                  <w:tcW w:w="891" w:type="dxa"/>
                  <w:shd w:val="clear" w:color="auto" w:fill="auto"/>
                  <w:vAlign w:val="center"/>
                </w:tcPr>
                <w:p w14:paraId="6EED7AC5">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1.01</w:t>
                  </w:r>
                </w:p>
              </w:tc>
              <w:tc>
                <w:tcPr>
                  <w:tcW w:w="839" w:type="dxa"/>
                  <w:shd w:val="clear" w:color="auto" w:fill="auto"/>
                  <w:vAlign w:val="center"/>
                </w:tcPr>
                <w:p w14:paraId="69B2229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shd w:val="clear" w:color="auto" w:fill="auto"/>
                  <w:vAlign w:val="center"/>
                </w:tcPr>
                <w:p w14:paraId="0DDC130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4A5419E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427B519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645B4774">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5D3723F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180F0F42">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2.15</w:t>
                  </w:r>
                </w:p>
              </w:tc>
              <w:tc>
                <w:tcPr>
                  <w:tcW w:w="770" w:type="dxa"/>
                  <w:shd w:val="clear" w:color="auto" w:fill="auto"/>
                  <w:vAlign w:val="center"/>
                </w:tcPr>
                <w:p w14:paraId="383E2DDC">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0.014</w:t>
                  </w:r>
                </w:p>
              </w:tc>
              <w:tc>
                <w:tcPr>
                  <w:tcW w:w="784" w:type="dxa"/>
                  <w:shd w:val="clear" w:color="auto" w:fill="auto"/>
                  <w:vAlign w:val="center"/>
                </w:tcPr>
                <w:p w14:paraId="634D1FDD">
                  <w:pPr>
                    <w:pStyle w:val="43"/>
                    <w:bidi w:val="0"/>
                    <w:jc w:val="center"/>
                    <w:rPr>
                      <w:rFonts w:hint="default" w:ascii="Times New Roman" w:hAnsi="Times New Roman" w:eastAsia="宋体" w:cs="Times New Roman"/>
                      <w:color w:val="auto"/>
                      <w:lang w:val="en-US" w:eastAsia="zh-CN"/>
                    </w:rPr>
                  </w:pPr>
                  <w:r>
                    <w:rPr>
                      <w:rFonts w:hint="eastAsia" w:cs="Times New Roman"/>
                      <w:color w:val="auto"/>
                      <w:lang w:val="en-US" w:eastAsia="zh-CN"/>
                    </w:rPr>
                    <w:t>0.133</w:t>
                  </w:r>
                </w:p>
              </w:tc>
              <w:tc>
                <w:tcPr>
                  <w:tcW w:w="772" w:type="dxa"/>
                  <w:shd w:val="clear" w:color="auto" w:fill="auto"/>
                  <w:vAlign w:val="center"/>
                </w:tcPr>
                <w:p w14:paraId="0AA71D1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1B7F188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00F9E1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1309" w:type="dxa"/>
                  <w:shd w:val="clear" w:color="auto" w:fill="FFFFFF"/>
                  <w:vAlign w:val="center"/>
                </w:tcPr>
                <w:p w14:paraId="633AA084">
                  <w:pPr>
                    <w:pStyle w:val="43"/>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炭黑</w:t>
                  </w:r>
                </w:p>
              </w:tc>
              <w:tc>
                <w:tcPr>
                  <w:tcW w:w="764" w:type="dxa"/>
                  <w:shd w:val="clear" w:color="auto" w:fill="auto"/>
                  <w:vAlign w:val="center"/>
                </w:tcPr>
                <w:p w14:paraId="19DE9DEB">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1" w:type="dxa"/>
                  <w:shd w:val="clear" w:color="auto" w:fill="auto"/>
                  <w:vAlign w:val="center"/>
                </w:tcPr>
                <w:p w14:paraId="5F4B3F1E">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174.37</w:t>
                  </w:r>
                </w:p>
              </w:tc>
              <w:tc>
                <w:tcPr>
                  <w:tcW w:w="891" w:type="dxa"/>
                  <w:shd w:val="clear" w:color="auto" w:fill="auto"/>
                  <w:vAlign w:val="center"/>
                </w:tcPr>
                <w:p w14:paraId="41C5320C">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1.15</w:t>
                  </w:r>
                </w:p>
              </w:tc>
              <w:tc>
                <w:tcPr>
                  <w:tcW w:w="839" w:type="dxa"/>
                  <w:shd w:val="clear" w:color="auto" w:fill="auto"/>
                  <w:vAlign w:val="center"/>
                </w:tcPr>
                <w:p w14:paraId="183DBBA9">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70" w:type="dxa"/>
                  <w:shd w:val="clear" w:color="auto" w:fill="auto"/>
                  <w:vAlign w:val="center"/>
                </w:tcPr>
                <w:p w14:paraId="03239CC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8" w:type="dxa"/>
                  <w:shd w:val="clear" w:color="auto" w:fill="auto"/>
                  <w:vAlign w:val="center"/>
                </w:tcPr>
                <w:p w14:paraId="2D17EF3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00A09308">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6" w:type="dxa"/>
                  <w:shd w:val="clear" w:color="auto" w:fill="auto"/>
                  <w:vAlign w:val="center"/>
                </w:tcPr>
                <w:p w14:paraId="445D9851">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897" w:type="dxa"/>
                  <w:shd w:val="clear" w:color="auto" w:fill="auto"/>
                  <w:vAlign w:val="center"/>
                </w:tcPr>
                <w:p w14:paraId="135A0C4F">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80" w:type="dxa"/>
                  <w:shd w:val="clear" w:color="auto" w:fill="auto"/>
                  <w:vAlign w:val="center"/>
                </w:tcPr>
                <w:p w14:paraId="0A1642A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1.57（S）</w:t>
                  </w:r>
                </w:p>
              </w:tc>
              <w:tc>
                <w:tcPr>
                  <w:tcW w:w="770" w:type="dxa"/>
                  <w:shd w:val="clear" w:color="auto" w:fill="auto"/>
                  <w:vAlign w:val="center"/>
                </w:tcPr>
                <w:p w14:paraId="021C00E2">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784" w:type="dxa"/>
                  <w:shd w:val="clear" w:color="auto" w:fill="auto"/>
                  <w:vAlign w:val="center"/>
                </w:tcPr>
                <w:p w14:paraId="03867EDD">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0.79</w:t>
                  </w:r>
                </w:p>
              </w:tc>
              <w:tc>
                <w:tcPr>
                  <w:tcW w:w="772" w:type="dxa"/>
                  <w:shd w:val="clear" w:color="auto" w:fill="auto"/>
                  <w:vAlign w:val="center"/>
                </w:tcPr>
                <w:p w14:paraId="29163A23">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90" w:type="dxa"/>
                  <w:shd w:val="clear" w:color="auto" w:fill="auto"/>
                  <w:vAlign w:val="center"/>
                </w:tcPr>
                <w:p w14:paraId="311D4F30">
                  <w:pPr>
                    <w:pStyle w:val="4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bl>
          <w:p w14:paraId="283A32B2">
            <w:pPr>
              <w:rPr>
                <w:rFonts w:hint="eastAsia"/>
                <w:lang w:val="en-US" w:eastAsia="zh-CN"/>
              </w:rPr>
            </w:pPr>
          </w:p>
          <w:p w14:paraId="158D42FC">
            <w:pPr>
              <w:rPr>
                <w:rFonts w:hint="eastAsia"/>
                <w:lang w:val="en-US" w:eastAsia="zh-CN"/>
              </w:rPr>
            </w:pPr>
          </w:p>
          <w:p w14:paraId="3C18A147">
            <w:pPr>
              <w:rPr>
                <w:rFonts w:hint="eastAsia"/>
                <w:lang w:val="en-US" w:eastAsia="zh-CN"/>
              </w:rPr>
            </w:pPr>
          </w:p>
          <w:p w14:paraId="5857B308">
            <w:pPr>
              <w:rPr>
                <w:rFonts w:hint="eastAsia"/>
                <w:lang w:val="en-US" w:eastAsia="zh-CN"/>
              </w:rPr>
            </w:pPr>
          </w:p>
          <w:p w14:paraId="1F8352B9">
            <w:pPr>
              <w:rPr>
                <w:rFonts w:hint="eastAsia"/>
                <w:lang w:val="en-US" w:eastAsia="zh-CN"/>
              </w:rPr>
            </w:pPr>
          </w:p>
          <w:p w14:paraId="370BE24A">
            <w:pPr>
              <w:rPr>
                <w:rFonts w:hint="eastAsia"/>
                <w:lang w:val="en-US" w:eastAsia="zh-CN"/>
              </w:rPr>
            </w:pPr>
          </w:p>
          <w:p w14:paraId="48FC107D">
            <w:pPr>
              <w:rPr>
                <w:rFonts w:hint="eastAsia"/>
                <w:lang w:val="en-US" w:eastAsia="zh-CN"/>
              </w:rPr>
            </w:pPr>
          </w:p>
          <w:p w14:paraId="093E9DDD">
            <w:pPr>
              <w:rPr>
                <w:rFonts w:hint="eastAsia"/>
                <w:lang w:val="en-US" w:eastAsia="zh-CN"/>
              </w:rPr>
            </w:pPr>
          </w:p>
          <w:p w14:paraId="4F43CA8E">
            <w:pPr>
              <w:rPr>
                <w:rFonts w:hint="eastAsia"/>
                <w:lang w:val="en-US" w:eastAsia="zh-CN"/>
              </w:rPr>
            </w:pPr>
          </w:p>
          <w:p w14:paraId="028D1068">
            <w:pPr>
              <w:rPr>
                <w:rFonts w:hint="eastAsia"/>
                <w:lang w:val="en-US" w:eastAsia="zh-CN"/>
              </w:rPr>
            </w:pPr>
          </w:p>
          <w:p w14:paraId="32410408">
            <w:pPr>
              <w:rPr>
                <w:rFonts w:hint="eastAsia"/>
                <w:lang w:val="en-US" w:eastAsia="zh-CN"/>
              </w:rPr>
            </w:pPr>
          </w:p>
          <w:p w14:paraId="3266309B">
            <w:pPr>
              <w:rPr>
                <w:rFonts w:hint="eastAsia"/>
                <w:lang w:val="en-US" w:eastAsia="zh-CN"/>
              </w:rPr>
            </w:pPr>
          </w:p>
          <w:p w14:paraId="68F858C9">
            <w:pPr>
              <w:rPr>
                <w:rFonts w:hint="eastAsia"/>
                <w:lang w:val="en-US" w:eastAsia="zh-CN"/>
              </w:rPr>
            </w:pPr>
          </w:p>
        </w:tc>
      </w:tr>
    </w:tbl>
    <w:p w14:paraId="2BDE9CF0">
      <w:pPr>
        <w:pStyle w:val="23"/>
        <w:ind w:left="0" w:leftChars="0" w:firstLine="0" w:firstLineChars="0"/>
        <w:rPr>
          <w:rFonts w:hint="eastAsia" w:eastAsia="宋体"/>
          <w:lang w:val="en-US" w:eastAsia="zh-CN"/>
        </w:rPr>
      </w:pPr>
    </w:p>
    <w:p w14:paraId="708CFD3E">
      <w:pPr>
        <w:rPr>
          <w:rFonts w:hint="eastAsia" w:eastAsia="宋体"/>
          <w:lang w:val="en-US" w:eastAsia="zh-CN"/>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1"/>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330"/>
      </w:tblGrid>
      <w:tr w14:paraId="26188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noWrap w:val="0"/>
            <w:vAlign w:val="center"/>
          </w:tcPr>
          <w:p w14:paraId="17212CB0">
            <w:pPr>
              <w:adjustRightInd w:val="0"/>
              <w:snapToGrid w:val="0"/>
              <w:jc w:val="center"/>
              <w:rPr>
                <w:rFonts w:hint="default" w:ascii="Times New Roman" w:hAnsi="Times New Roman" w:cs="Times New Roman"/>
                <w:color w:val="auto"/>
                <w:kern w:val="0"/>
              </w:rPr>
            </w:pPr>
          </w:p>
        </w:tc>
        <w:tc>
          <w:tcPr>
            <w:tcW w:w="8330" w:type="dxa"/>
            <w:noWrap w:val="0"/>
            <w:vAlign w:val="center"/>
          </w:tcPr>
          <w:p w14:paraId="6233E71F">
            <w:pPr>
              <w:pStyle w:val="4"/>
              <w:pageBreakBefore w:val="0"/>
              <w:widowControl w:val="0"/>
              <w:numPr>
                <w:ilvl w:val="0"/>
                <w:numId w:val="0"/>
              </w:numPr>
              <w:kinsoku/>
              <w:wordWrap/>
              <w:overflowPunct/>
              <w:topLinePunct w:val="0"/>
              <w:autoSpaceDE/>
              <w:autoSpaceDN/>
              <w:bidi w:val="0"/>
              <w:snapToGrid/>
              <w:ind w:leftChars="0" w:firstLine="482" w:firstLineChars="200"/>
              <w:textAlignment w:val="auto"/>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七</w:t>
            </w:r>
            <w:r>
              <w:rPr>
                <w:rFonts w:hint="default" w:ascii="Times New Roman" w:hAnsi="Times New Roman" w:eastAsia="宋体" w:cs="Times New Roman"/>
                <w:b/>
                <w:bCs w:val="0"/>
                <w:color w:val="auto"/>
              </w:rPr>
              <w:t>、</w:t>
            </w:r>
            <w:r>
              <w:rPr>
                <w:rFonts w:hint="eastAsia" w:ascii="Times New Roman" w:hAnsi="Times New Roman" w:eastAsia="宋体" w:cs="Times New Roman"/>
                <w:b/>
                <w:bCs w:val="0"/>
                <w:color w:val="auto"/>
                <w:lang w:val="en-US" w:eastAsia="zh-CN"/>
              </w:rPr>
              <w:t>平衡</w:t>
            </w:r>
            <w:r>
              <w:rPr>
                <w:rFonts w:hint="eastAsia" w:eastAsia="宋体" w:cs="Times New Roman"/>
                <w:b/>
                <w:bCs w:val="0"/>
                <w:color w:val="auto"/>
                <w:lang w:val="en-US" w:eastAsia="zh-CN"/>
              </w:rPr>
              <w:t>分析</w:t>
            </w:r>
          </w:p>
          <w:p w14:paraId="2AFA5A52">
            <w:pPr>
              <w:bidi w:val="0"/>
              <w:ind w:firstLine="482" w:firstLineChars="200"/>
              <w:rPr>
                <w:rFonts w:hint="default" w:ascii="Times New Roman" w:hAnsi="Times New Roman" w:cs="Times New Roman"/>
                <w:b/>
                <w:bCs/>
                <w:color w:val="auto"/>
                <w:lang w:val="en-US" w:eastAsia="zh-CN"/>
              </w:rPr>
            </w:pPr>
            <w:r>
              <w:rPr>
                <w:rFonts w:hint="eastAsia" w:cs="Times New Roman"/>
                <w:b/>
                <w:bCs/>
                <w:color w:val="auto"/>
                <w:lang w:val="en-US" w:eastAsia="zh-CN"/>
              </w:rPr>
              <w:t>1、热平衡</w:t>
            </w:r>
          </w:p>
          <w:p w14:paraId="3688C3DD">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本</w:t>
            </w:r>
            <w:r>
              <w:rPr>
                <w:rFonts w:hint="default" w:ascii="Times New Roman" w:hAnsi="Times New Roman" w:cs="Times New Roman"/>
                <w:color w:val="auto"/>
                <w:lang w:val="en-US" w:eastAsia="zh-CN"/>
              </w:rPr>
              <w:t>项目替代燃料前后，水泥熟料生产线热平衡如下：</w:t>
            </w:r>
          </w:p>
          <w:p w14:paraId="1EC1457A">
            <w:pPr>
              <w:pStyle w:val="45"/>
              <w:bidi w:val="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表2-</w:t>
            </w:r>
            <w:r>
              <w:rPr>
                <w:rFonts w:hint="eastAsia" w:eastAsia="宋体" w:cs="Times New Roman"/>
                <w:b/>
                <w:bCs/>
                <w:color w:val="auto"/>
                <w:kern w:val="2"/>
                <w:sz w:val="24"/>
                <w:szCs w:val="24"/>
                <w:lang w:val="en-US" w:eastAsia="zh-CN" w:bidi="ar-SA"/>
              </w:rPr>
              <w:t>10</w:t>
            </w:r>
            <w:r>
              <w:rPr>
                <w:rFonts w:hint="default" w:ascii="Times New Roman" w:hAnsi="Times New Roman" w:eastAsia="宋体" w:cs="Times New Roman"/>
                <w:b/>
                <w:bCs/>
                <w:color w:val="auto"/>
                <w:kern w:val="2"/>
                <w:sz w:val="24"/>
                <w:szCs w:val="24"/>
                <w:lang w:val="en-US" w:eastAsia="zh-CN" w:bidi="ar-SA"/>
              </w:rPr>
              <w:t xml:space="preserve"> 项目</w:t>
            </w:r>
            <w:r>
              <w:rPr>
                <w:rFonts w:hint="eastAsia" w:ascii="Times New Roman" w:hAnsi="Times New Roman" w:eastAsia="宋体" w:cs="Times New Roman"/>
                <w:b/>
                <w:bCs/>
                <w:color w:val="auto"/>
                <w:kern w:val="2"/>
                <w:sz w:val="24"/>
                <w:szCs w:val="24"/>
                <w:lang w:val="en-US" w:eastAsia="zh-CN" w:bidi="ar-SA"/>
              </w:rPr>
              <w:t>实施前后</w:t>
            </w:r>
            <w:r>
              <w:rPr>
                <w:rFonts w:hint="default" w:ascii="Times New Roman" w:hAnsi="Times New Roman" w:eastAsia="宋体" w:cs="Times New Roman"/>
                <w:b/>
                <w:bCs/>
                <w:color w:val="auto"/>
                <w:kern w:val="2"/>
                <w:sz w:val="24"/>
                <w:szCs w:val="24"/>
                <w:lang w:val="en-US" w:eastAsia="zh-CN" w:bidi="ar-SA"/>
              </w:rPr>
              <w:t>水泥熟料生产线热平衡表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015"/>
              <w:gridCol w:w="1022"/>
              <w:gridCol w:w="1232"/>
              <w:gridCol w:w="976"/>
              <w:gridCol w:w="865"/>
              <w:gridCol w:w="1135"/>
              <w:gridCol w:w="1138"/>
            </w:tblGrid>
            <w:tr w14:paraId="67CA98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455" w:type="pct"/>
                  <w:gridSpan w:val="4"/>
                  <w:tcBorders>
                    <w:tl2br w:val="nil"/>
                    <w:tr2bl w:val="nil"/>
                  </w:tcBorders>
                  <w:noWrap w:val="0"/>
                  <w:tcMar>
                    <w:top w:w="0" w:type="dxa"/>
                    <w:left w:w="108" w:type="dxa"/>
                    <w:bottom w:w="0" w:type="dxa"/>
                    <w:right w:w="108" w:type="dxa"/>
                  </w:tcMar>
                  <w:vAlign w:val="center"/>
                </w:tcPr>
                <w:p w14:paraId="51D8ED38">
                  <w:pPr>
                    <w:pStyle w:val="43"/>
                    <w:bidi w:val="0"/>
                    <w:spacing w:line="240" w:lineRule="auto"/>
                    <w:jc w:val="center"/>
                    <w:rPr>
                      <w:rFonts w:hint="default" w:ascii="Times New Roman" w:hAnsi="Times New Roman" w:eastAsia="宋体" w:cs="Times New Roman"/>
                      <w:b/>
                      <w:bCs/>
                      <w:color w:val="auto"/>
                      <w:sz w:val="18"/>
                      <w:szCs w:val="18"/>
                      <w:lang w:val="en-US" w:eastAsia="zh-CN"/>
                    </w:rPr>
                  </w:pPr>
                  <w:r>
                    <w:rPr>
                      <w:rFonts w:hint="default" w:ascii="Times New Roman" w:hAnsi="Times New Roman" w:cs="Times New Roman"/>
                      <w:b/>
                      <w:bCs/>
                      <w:color w:val="auto"/>
                      <w:sz w:val="18"/>
                      <w:szCs w:val="18"/>
                      <w:lang w:val="en-US" w:eastAsia="zh-CN"/>
                    </w:rPr>
                    <w:t>燃料替代前</w:t>
                  </w:r>
                </w:p>
              </w:tc>
              <w:tc>
                <w:tcPr>
                  <w:tcW w:w="2544" w:type="pct"/>
                  <w:gridSpan w:val="4"/>
                  <w:tcBorders>
                    <w:tl2br w:val="nil"/>
                    <w:tr2bl w:val="nil"/>
                  </w:tcBorders>
                  <w:noWrap w:val="0"/>
                  <w:tcMar>
                    <w:top w:w="0" w:type="dxa"/>
                    <w:left w:w="108" w:type="dxa"/>
                    <w:bottom w:w="0" w:type="dxa"/>
                    <w:right w:w="108" w:type="dxa"/>
                  </w:tcMar>
                  <w:vAlign w:val="center"/>
                </w:tcPr>
                <w:p w14:paraId="5F64167A">
                  <w:pPr>
                    <w:pStyle w:val="43"/>
                    <w:bidi w:val="0"/>
                    <w:spacing w:line="240" w:lineRule="auto"/>
                    <w:jc w:val="center"/>
                    <w:rPr>
                      <w:rFonts w:hint="default" w:ascii="Times New Roman" w:hAnsi="Times New Roman" w:eastAsia="宋体" w:cs="Times New Roman"/>
                      <w:b/>
                      <w:bCs/>
                      <w:color w:val="auto"/>
                      <w:sz w:val="18"/>
                      <w:szCs w:val="18"/>
                      <w:lang w:val="en-US" w:eastAsia="zh-CN"/>
                    </w:rPr>
                  </w:pPr>
                  <w:r>
                    <w:rPr>
                      <w:rFonts w:hint="default" w:ascii="Times New Roman" w:hAnsi="Times New Roman" w:cs="Times New Roman"/>
                      <w:b/>
                      <w:bCs/>
                      <w:color w:val="auto"/>
                      <w:sz w:val="18"/>
                      <w:szCs w:val="18"/>
                      <w:lang w:val="en-US" w:eastAsia="zh-CN"/>
                    </w:rPr>
                    <w:t>燃料替代后</w:t>
                  </w:r>
                </w:p>
              </w:tc>
            </w:tr>
            <w:tr w14:paraId="347AA2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433" w:type="pct"/>
                  <w:tcBorders>
                    <w:tl2br w:val="nil"/>
                    <w:tr2bl w:val="nil"/>
                  </w:tcBorders>
                  <w:noWrap w:val="0"/>
                  <w:tcMar>
                    <w:top w:w="0" w:type="dxa"/>
                    <w:left w:w="108" w:type="dxa"/>
                    <w:bottom w:w="0" w:type="dxa"/>
                    <w:right w:w="108" w:type="dxa"/>
                  </w:tcMar>
                  <w:vAlign w:val="center"/>
                </w:tcPr>
                <w:p w14:paraId="1DEC1288">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燃料</w:t>
                  </w:r>
                </w:p>
              </w:tc>
              <w:tc>
                <w:tcPr>
                  <w:tcW w:w="628" w:type="pct"/>
                  <w:tcBorders>
                    <w:tl2br w:val="nil"/>
                    <w:tr2bl w:val="nil"/>
                  </w:tcBorders>
                  <w:noWrap w:val="0"/>
                  <w:tcMar>
                    <w:top w:w="0" w:type="dxa"/>
                    <w:left w:w="108" w:type="dxa"/>
                    <w:bottom w:w="0" w:type="dxa"/>
                    <w:right w:w="108" w:type="dxa"/>
                  </w:tcMar>
                  <w:vAlign w:val="center"/>
                </w:tcPr>
                <w:p w14:paraId="2CCB0196">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消耗量</w:t>
                  </w:r>
                </w:p>
                <w:p w14:paraId="011CE466">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（t/a）</w:t>
                  </w:r>
                </w:p>
              </w:tc>
              <w:tc>
                <w:tcPr>
                  <w:tcW w:w="631" w:type="pct"/>
                  <w:tcBorders>
                    <w:tl2br w:val="nil"/>
                    <w:tr2bl w:val="nil"/>
                  </w:tcBorders>
                  <w:noWrap w:val="0"/>
                  <w:tcMar>
                    <w:top w:w="0" w:type="dxa"/>
                    <w:left w:w="108" w:type="dxa"/>
                    <w:bottom w:w="0" w:type="dxa"/>
                    <w:right w:w="108" w:type="dxa"/>
                  </w:tcMar>
                  <w:vAlign w:val="center"/>
                </w:tcPr>
                <w:p w14:paraId="26C6674F">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热值</w:t>
                  </w:r>
                </w:p>
                <w:p w14:paraId="0D2BFFA1">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（kcal/kg）</w:t>
                  </w:r>
                </w:p>
              </w:tc>
              <w:tc>
                <w:tcPr>
                  <w:tcW w:w="761" w:type="pct"/>
                  <w:tcBorders>
                    <w:tl2br w:val="nil"/>
                    <w:tr2bl w:val="nil"/>
                  </w:tcBorders>
                  <w:noWrap w:val="0"/>
                  <w:tcMar>
                    <w:top w:w="0" w:type="dxa"/>
                    <w:left w:w="108" w:type="dxa"/>
                    <w:bottom w:w="0" w:type="dxa"/>
                    <w:right w:w="108" w:type="dxa"/>
                  </w:tcMar>
                  <w:vAlign w:val="center"/>
                </w:tcPr>
                <w:p w14:paraId="5A1BF42D">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总热值</w:t>
                  </w:r>
                </w:p>
                <w:p w14:paraId="7DD50757">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（kcal）</w:t>
                  </w:r>
                </w:p>
              </w:tc>
              <w:tc>
                <w:tcPr>
                  <w:tcW w:w="604" w:type="pct"/>
                  <w:tcBorders>
                    <w:tl2br w:val="nil"/>
                    <w:tr2bl w:val="nil"/>
                  </w:tcBorders>
                  <w:noWrap w:val="0"/>
                  <w:tcMar>
                    <w:top w:w="0" w:type="dxa"/>
                    <w:left w:w="108" w:type="dxa"/>
                    <w:bottom w:w="0" w:type="dxa"/>
                    <w:right w:w="108" w:type="dxa"/>
                  </w:tcMar>
                  <w:vAlign w:val="center"/>
                </w:tcPr>
                <w:p w14:paraId="144EBE9F">
                  <w:pPr>
                    <w:pStyle w:val="43"/>
                    <w:bidi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燃料</w:t>
                  </w:r>
                </w:p>
              </w:tc>
              <w:tc>
                <w:tcPr>
                  <w:tcW w:w="535" w:type="pct"/>
                  <w:tcBorders>
                    <w:tl2br w:val="nil"/>
                    <w:tr2bl w:val="nil"/>
                  </w:tcBorders>
                  <w:noWrap w:val="0"/>
                  <w:tcMar>
                    <w:top w:w="0" w:type="dxa"/>
                    <w:left w:w="108" w:type="dxa"/>
                    <w:bottom w:w="0" w:type="dxa"/>
                    <w:right w:w="108" w:type="dxa"/>
                  </w:tcMar>
                  <w:vAlign w:val="center"/>
                </w:tcPr>
                <w:p w14:paraId="484A564F">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消耗量</w:t>
                  </w:r>
                </w:p>
                <w:p w14:paraId="117BD65D">
                  <w:pPr>
                    <w:pStyle w:val="43"/>
                    <w:bidi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（t/a）</w:t>
                  </w:r>
                </w:p>
              </w:tc>
              <w:tc>
                <w:tcPr>
                  <w:tcW w:w="701" w:type="pct"/>
                  <w:tcBorders>
                    <w:tl2br w:val="nil"/>
                    <w:tr2bl w:val="nil"/>
                  </w:tcBorders>
                  <w:noWrap w:val="0"/>
                  <w:tcMar>
                    <w:top w:w="0" w:type="dxa"/>
                    <w:left w:w="108" w:type="dxa"/>
                    <w:bottom w:w="0" w:type="dxa"/>
                    <w:right w:w="108" w:type="dxa"/>
                  </w:tcMar>
                  <w:vAlign w:val="center"/>
                </w:tcPr>
                <w:p w14:paraId="25A546E2">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热值</w:t>
                  </w:r>
                </w:p>
                <w:p w14:paraId="57938139">
                  <w:pPr>
                    <w:pStyle w:val="43"/>
                    <w:bidi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（kcal/kg）</w:t>
                  </w:r>
                </w:p>
              </w:tc>
              <w:tc>
                <w:tcPr>
                  <w:tcW w:w="703" w:type="pct"/>
                  <w:tcBorders>
                    <w:tl2br w:val="nil"/>
                    <w:tr2bl w:val="nil"/>
                  </w:tcBorders>
                  <w:noWrap w:val="0"/>
                  <w:tcMar>
                    <w:top w:w="0" w:type="dxa"/>
                    <w:left w:w="108" w:type="dxa"/>
                    <w:bottom w:w="0" w:type="dxa"/>
                    <w:right w:w="108" w:type="dxa"/>
                  </w:tcMar>
                  <w:vAlign w:val="center"/>
                </w:tcPr>
                <w:p w14:paraId="5C6B4716">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总热值</w:t>
                  </w:r>
                </w:p>
                <w:p w14:paraId="19F663F8">
                  <w:pPr>
                    <w:pStyle w:val="43"/>
                    <w:bidi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（kcal）</w:t>
                  </w:r>
                </w:p>
              </w:tc>
            </w:tr>
            <w:tr w14:paraId="3D38DC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2F960BB9">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燃煤</w:t>
                  </w:r>
                </w:p>
              </w:tc>
              <w:tc>
                <w:tcPr>
                  <w:tcW w:w="628" w:type="pct"/>
                  <w:tcBorders>
                    <w:tl2br w:val="nil"/>
                    <w:tr2bl w:val="nil"/>
                  </w:tcBorders>
                  <w:shd w:val="clear" w:color="auto" w:fill="auto"/>
                  <w:noWrap w:val="0"/>
                  <w:tcMar>
                    <w:top w:w="0" w:type="dxa"/>
                    <w:left w:w="108" w:type="dxa"/>
                    <w:bottom w:w="0" w:type="dxa"/>
                    <w:right w:w="108" w:type="dxa"/>
                  </w:tcMar>
                  <w:vAlign w:val="center"/>
                </w:tcPr>
                <w:p w14:paraId="7528EF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173400</w:t>
                  </w:r>
                </w:p>
              </w:tc>
              <w:tc>
                <w:tcPr>
                  <w:tcW w:w="631" w:type="pct"/>
                  <w:tcBorders>
                    <w:tl2br w:val="nil"/>
                    <w:tr2bl w:val="nil"/>
                  </w:tcBorders>
                  <w:shd w:val="clear" w:color="auto" w:fill="auto"/>
                  <w:noWrap w:val="0"/>
                  <w:tcMar>
                    <w:top w:w="0" w:type="dxa"/>
                    <w:left w:w="108" w:type="dxa"/>
                    <w:bottom w:w="0" w:type="dxa"/>
                    <w:right w:w="108" w:type="dxa"/>
                  </w:tcMar>
                  <w:vAlign w:val="center"/>
                </w:tcPr>
                <w:p w14:paraId="4DDC4D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761" w:type="pct"/>
                  <w:tcBorders>
                    <w:tl2br w:val="nil"/>
                    <w:tr2bl w:val="nil"/>
                  </w:tcBorders>
                  <w:shd w:val="clear" w:color="auto" w:fill="auto"/>
                  <w:noWrap w:val="0"/>
                  <w:tcMar>
                    <w:top w:w="0" w:type="dxa"/>
                    <w:left w:w="108" w:type="dxa"/>
                    <w:bottom w:w="0" w:type="dxa"/>
                    <w:right w:w="108" w:type="dxa"/>
                  </w:tcMar>
                  <w:vAlign w:val="center"/>
                </w:tcPr>
                <w:p w14:paraId="0E7C72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1.0404E+12</w:t>
                  </w:r>
                </w:p>
              </w:tc>
              <w:tc>
                <w:tcPr>
                  <w:tcW w:w="604" w:type="pct"/>
                  <w:tcBorders>
                    <w:tl2br w:val="nil"/>
                    <w:tr2bl w:val="nil"/>
                  </w:tcBorders>
                  <w:shd w:val="clear" w:color="auto" w:fill="auto"/>
                  <w:noWrap w:val="0"/>
                  <w:tcMar>
                    <w:top w:w="0" w:type="dxa"/>
                    <w:left w:w="108" w:type="dxa"/>
                    <w:bottom w:w="0" w:type="dxa"/>
                    <w:right w:w="108" w:type="dxa"/>
                  </w:tcMar>
                  <w:vAlign w:val="center"/>
                </w:tcPr>
                <w:p w14:paraId="74DC71E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燃煤</w:t>
                  </w:r>
                </w:p>
              </w:tc>
              <w:tc>
                <w:tcPr>
                  <w:tcW w:w="535" w:type="pct"/>
                  <w:tcBorders>
                    <w:tl2br w:val="nil"/>
                    <w:tr2bl w:val="nil"/>
                  </w:tcBorders>
                  <w:shd w:val="clear" w:color="auto" w:fill="auto"/>
                  <w:noWrap w:val="0"/>
                  <w:tcMar>
                    <w:top w:w="0" w:type="dxa"/>
                    <w:left w:w="108" w:type="dxa"/>
                    <w:bottom w:w="0" w:type="dxa"/>
                    <w:right w:w="108" w:type="dxa"/>
                  </w:tcMar>
                  <w:vAlign w:val="center"/>
                </w:tcPr>
                <w:p w14:paraId="6E9C98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169058</w:t>
                  </w:r>
                </w:p>
              </w:tc>
              <w:tc>
                <w:tcPr>
                  <w:tcW w:w="701" w:type="pct"/>
                  <w:tcBorders>
                    <w:tl2br w:val="nil"/>
                    <w:tr2bl w:val="nil"/>
                  </w:tcBorders>
                  <w:shd w:val="clear" w:color="auto" w:fill="auto"/>
                  <w:noWrap w:val="0"/>
                  <w:tcMar>
                    <w:top w:w="0" w:type="dxa"/>
                    <w:left w:w="108" w:type="dxa"/>
                    <w:bottom w:w="0" w:type="dxa"/>
                    <w:right w:w="108" w:type="dxa"/>
                  </w:tcMar>
                  <w:vAlign w:val="center"/>
                </w:tcPr>
                <w:p w14:paraId="37B08D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45D83D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1.0144E+12</w:t>
                  </w:r>
                </w:p>
              </w:tc>
            </w:tr>
            <w:tr w14:paraId="1C9E9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5BE832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RDF</w:t>
                  </w:r>
                </w:p>
              </w:tc>
              <w:tc>
                <w:tcPr>
                  <w:tcW w:w="628" w:type="pct"/>
                  <w:tcBorders>
                    <w:tl2br w:val="nil"/>
                    <w:tr2bl w:val="nil"/>
                  </w:tcBorders>
                  <w:shd w:val="clear" w:color="auto" w:fill="auto"/>
                  <w:noWrap w:val="0"/>
                  <w:tcMar>
                    <w:top w:w="0" w:type="dxa"/>
                    <w:left w:w="108" w:type="dxa"/>
                    <w:bottom w:w="0" w:type="dxa"/>
                    <w:right w:w="108" w:type="dxa"/>
                  </w:tcMar>
                  <w:vAlign w:val="center"/>
                </w:tcPr>
                <w:p w14:paraId="6385921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631" w:type="pct"/>
                  <w:tcBorders>
                    <w:tl2br w:val="nil"/>
                    <w:tr2bl w:val="nil"/>
                  </w:tcBorders>
                  <w:shd w:val="clear" w:color="auto" w:fill="auto"/>
                  <w:noWrap w:val="0"/>
                  <w:tcMar>
                    <w:top w:w="0" w:type="dxa"/>
                    <w:left w:w="108" w:type="dxa"/>
                    <w:bottom w:w="0" w:type="dxa"/>
                    <w:right w:w="108" w:type="dxa"/>
                  </w:tcMar>
                  <w:vAlign w:val="center"/>
                </w:tcPr>
                <w:p w14:paraId="0D59DA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761" w:type="pct"/>
                  <w:tcBorders>
                    <w:tl2br w:val="nil"/>
                    <w:tr2bl w:val="nil"/>
                  </w:tcBorders>
                  <w:shd w:val="clear" w:color="auto" w:fill="auto"/>
                  <w:noWrap w:val="0"/>
                  <w:tcMar>
                    <w:top w:w="0" w:type="dxa"/>
                    <w:left w:w="108" w:type="dxa"/>
                    <w:bottom w:w="0" w:type="dxa"/>
                    <w:right w:w="108" w:type="dxa"/>
                  </w:tcMar>
                  <w:vAlign w:val="center"/>
                </w:tcPr>
                <w:p w14:paraId="705FEE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2.5E+11</w:t>
                  </w:r>
                </w:p>
              </w:tc>
              <w:tc>
                <w:tcPr>
                  <w:tcW w:w="604" w:type="pct"/>
                  <w:tcBorders>
                    <w:tl2br w:val="nil"/>
                    <w:tr2bl w:val="nil"/>
                  </w:tcBorders>
                  <w:shd w:val="clear" w:color="auto" w:fill="auto"/>
                  <w:noWrap w:val="0"/>
                  <w:tcMar>
                    <w:top w:w="0" w:type="dxa"/>
                    <w:left w:w="108" w:type="dxa"/>
                    <w:bottom w:w="0" w:type="dxa"/>
                    <w:right w:w="108" w:type="dxa"/>
                  </w:tcMar>
                  <w:vAlign w:val="center"/>
                </w:tcPr>
                <w:p w14:paraId="24E36D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RDF</w:t>
                  </w:r>
                </w:p>
              </w:tc>
              <w:tc>
                <w:tcPr>
                  <w:tcW w:w="535" w:type="pct"/>
                  <w:tcBorders>
                    <w:tl2br w:val="nil"/>
                    <w:tr2bl w:val="nil"/>
                  </w:tcBorders>
                  <w:shd w:val="clear" w:color="auto" w:fill="auto"/>
                  <w:noWrap w:val="0"/>
                  <w:tcMar>
                    <w:top w:w="0" w:type="dxa"/>
                    <w:left w:w="108" w:type="dxa"/>
                    <w:bottom w:w="0" w:type="dxa"/>
                    <w:right w:w="108" w:type="dxa"/>
                  </w:tcMar>
                  <w:vAlign w:val="center"/>
                </w:tcPr>
                <w:p w14:paraId="7C8FF3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15000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1CCA03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3AE91F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7.5000E+10</w:t>
                  </w:r>
                </w:p>
              </w:tc>
            </w:tr>
            <w:tr w14:paraId="62D72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75916A90">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03CACC4E">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6DA56B7E">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43FA89E1">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auto"/>
                  <w:noWrap w:val="0"/>
                  <w:tcMar>
                    <w:top w:w="0" w:type="dxa"/>
                    <w:left w:w="108" w:type="dxa"/>
                    <w:bottom w:w="0" w:type="dxa"/>
                    <w:right w:w="108" w:type="dxa"/>
                  </w:tcMar>
                  <w:vAlign w:val="center"/>
                </w:tcPr>
                <w:p w14:paraId="601F739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飞灰（煤灰）</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7681565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10200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333EE5B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5500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54546E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5.6100E+10</w:t>
                  </w:r>
                </w:p>
              </w:tc>
            </w:tr>
            <w:tr w14:paraId="3AE267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0CDEDBD2">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248943CF">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5FF2CB26">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28B10A3B">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FFFFFF"/>
                  <w:noWrap w:val="0"/>
                  <w:tcMar>
                    <w:top w:w="0" w:type="dxa"/>
                    <w:left w:w="108" w:type="dxa"/>
                    <w:bottom w:w="0" w:type="dxa"/>
                    <w:right w:w="108" w:type="dxa"/>
                  </w:tcMar>
                  <w:vAlign w:val="center"/>
                </w:tcPr>
                <w:p w14:paraId="23EEFFE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废纺</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2834573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03E7DC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5CC760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4.0000E+10</w:t>
                  </w:r>
                </w:p>
              </w:tc>
            </w:tr>
            <w:tr w14:paraId="74246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35E70BD4">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2058022F">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36919C52">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4B244DD8">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FFFFFF"/>
                  <w:noWrap w:val="0"/>
                  <w:tcMar>
                    <w:top w:w="0" w:type="dxa"/>
                    <w:left w:w="108" w:type="dxa"/>
                    <w:bottom w:w="0" w:type="dxa"/>
                    <w:right w:w="108" w:type="dxa"/>
                  </w:tcMar>
                  <w:vAlign w:val="center"/>
                </w:tcPr>
                <w:p w14:paraId="1BF0076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废塑料</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75DC4C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40BAA1C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7500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1631E0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3.7500E+09</w:t>
                  </w:r>
                </w:p>
              </w:tc>
            </w:tr>
            <w:tr w14:paraId="11C77B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26AE8D83">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469190E8">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36C960AB">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4B376351">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FFFFFF"/>
                  <w:noWrap w:val="0"/>
                  <w:tcMar>
                    <w:top w:w="0" w:type="dxa"/>
                    <w:left w:w="108" w:type="dxa"/>
                    <w:bottom w:w="0" w:type="dxa"/>
                    <w:right w:w="108" w:type="dxa"/>
                  </w:tcMar>
                  <w:vAlign w:val="center"/>
                </w:tcPr>
                <w:p w14:paraId="48C55EA8">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废橡胶</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5C7CA36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05299C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7000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2104FA2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7.7000E+09</w:t>
                  </w:r>
                </w:p>
              </w:tc>
            </w:tr>
            <w:tr w14:paraId="2848D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42D5459D">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079D5314">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0465EE7F">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74E2900A">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FFFFFF"/>
                  <w:noWrap w:val="0"/>
                  <w:tcMar>
                    <w:top w:w="0" w:type="dxa"/>
                    <w:left w:w="108" w:type="dxa"/>
                    <w:bottom w:w="0" w:type="dxa"/>
                    <w:right w:w="108" w:type="dxa"/>
                  </w:tcMar>
                  <w:vAlign w:val="center"/>
                </w:tcPr>
                <w:p w14:paraId="66B6DF7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废皮革</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6FC47B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083274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3391E4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9.0000E+08</w:t>
                  </w:r>
                </w:p>
              </w:tc>
            </w:tr>
            <w:tr w14:paraId="6213D5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5D26160C">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4BC7606F">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055C18BE">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3FAD24A7">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FFFFFF"/>
                  <w:noWrap w:val="0"/>
                  <w:tcMar>
                    <w:top w:w="0" w:type="dxa"/>
                    <w:left w:w="108" w:type="dxa"/>
                    <w:bottom w:w="0" w:type="dxa"/>
                    <w:right w:w="108" w:type="dxa"/>
                  </w:tcMar>
                  <w:vAlign w:val="center"/>
                </w:tcPr>
                <w:p w14:paraId="78EFE65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炭黑</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14F0C89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07FBAB5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7ECB77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8.0000E+10</w:t>
                  </w:r>
                </w:p>
              </w:tc>
            </w:tr>
            <w:tr w14:paraId="214438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33" w:type="pct"/>
                  <w:tcBorders>
                    <w:tl2br w:val="nil"/>
                    <w:tr2bl w:val="nil"/>
                  </w:tcBorders>
                  <w:shd w:val="clear" w:color="auto" w:fill="auto"/>
                  <w:noWrap w:val="0"/>
                  <w:tcMar>
                    <w:top w:w="0" w:type="dxa"/>
                    <w:left w:w="108" w:type="dxa"/>
                    <w:bottom w:w="0" w:type="dxa"/>
                    <w:right w:w="108" w:type="dxa"/>
                  </w:tcMar>
                  <w:vAlign w:val="center"/>
                </w:tcPr>
                <w:p w14:paraId="5A03D700">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28" w:type="pct"/>
                  <w:tcBorders>
                    <w:tl2br w:val="nil"/>
                    <w:tr2bl w:val="nil"/>
                  </w:tcBorders>
                  <w:shd w:val="clear" w:color="auto" w:fill="auto"/>
                  <w:noWrap w:val="0"/>
                  <w:tcMar>
                    <w:top w:w="0" w:type="dxa"/>
                    <w:left w:w="108" w:type="dxa"/>
                    <w:bottom w:w="0" w:type="dxa"/>
                    <w:right w:w="108" w:type="dxa"/>
                  </w:tcMar>
                  <w:vAlign w:val="center"/>
                </w:tcPr>
                <w:p w14:paraId="39ECF35A">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31" w:type="pct"/>
                  <w:tcBorders>
                    <w:tl2br w:val="nil"/>
                    <w:tr2bl w:val="nil"/>
                  </w:tcBorders>
                  <w:shd w:val="clear" w:color="auto" w:fill="auto"/>
                  <w:noWrap w:val="0"/>
                  <w:tcMar>
                    <w:top w:w="0" w:type="dxa"/>
                    <w:left w:w="108" w:type="dxa"/>
                    <w:bottom w:w="0" w:type="dxa"/>
                    <w:right w:w="108" w:type="dxa"/>
                  </w:tcMar>
                  <w:vAlign w:val="center"/>
                </w:tcPr>
                <w:p w14:paraId="6FF6A429">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761" w:type="pct"/>
                  <w:tcBorders>
                    <w:tl2br w:val="nil"/>
                    <w:tr2bl w:val="nil"/>
                  </w:tcBorders>
                  <w:shd w:val="clear" w:color="auto" w:fill="auto"/>
                  <w:noWrap w:val="0"/>
                  <w:tcMar>
                    <w:top w:w="0" w:type="dxa"/>
                    <w:left w:w="108" w:type="dxa"/>
                    <w:bottom w:w="0" w:type="dxa"/>
                    <w:right w:w="108" w:type="dxa"/>
                  </w:tcMar>
                  <w:vAlign w:val="center"/>
                </w:tcPr>
                <w:p w14:paraId="0A0B1476">
                  <w:pPr>
                    <w:spacing w:line="240" w:lineRule="auto"/>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04" w:type="pct"/>
                  <w:tcBorders>
                    <w:tl2br w:val="nil"/>
                    <w:tr2bl w:val="nil"/>
                  </w:tcBorders>
                  <w:shd w:val="clear" w:color="auto" w:fill="FFFFFF"/>
                  <w:noWrap w:val="0"/>
                  <w:tcMar>
                    <w:top w:w="0" w:type="dxa"/>
                    <w:left w:w="108" w:type="dxa"/>
                    <w:bottom w:w="0" w:type="dxa"/>
                    <w:right w:w="108" w:type="dxa"/>
                  </w:tcMar>
                  <w:vAlign w:val="center"/>
                </w:tcPr>
                <w:p w14:paraId="3987441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生物质燃料</w:t>
                  </w:r>
                </w:p>
              </w:tc>
              <w:tc>
                <w:tcPr>
                  <w:tcW w:w="535" w:type="pct"/>
                  <w:tcBorders>
                    <w:tl2br w:val="nil"/>
                    <w:tr2bl w:val="nil"/>
                  </w:tcBorders>
                  <w:shd w:val="clear" w:color="auto" w:fill="FFFFFF"/>
                  <w:noWrap w:val="0"/>
                  <w:tcMar>
                    <w:top w:w="0" w:type="dxa"/>
                    <w:left w:w="108" w:type="dxa"/>
                    <w:bottom w:w="0" w:type="dxa"/>
                    <w:right w:w="108" w:type="dxa"/>
                  </w:tcMar>
                  <w:vAlign w:val="center"/>
                </w:tcPr>
                <w:p w14:paraId="573EA0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701" w:type="pct"/>
                  <w:tcBorders>
                    <w:tl2br w:val="nil"/>
                    <w:tr2bl w:val="nil"/>
                  </w:tcBorders>
                  <w:shd w:val="clear" w:color="auto" w:fill="auto"/>
                  <w:noWrap w:val="0"/>
                  <w:tcMar>
                    <w:top w:w="0" w:type="dxa"/>
                    <w:left w:w="108" w:type="dxa"/>
                    <w:bottom w:w="0" w:type="dxa"/>
                    <w:right w:w="108" w:type="dxa"/>
                  </w:tcMar>
                  <w:vAlign w:val="center"/>
                </w:tcPr>
                <w:p w14:paraId="766F41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4200</w:t>
                  </w:r>
                </w:p>
              </w:tc>
              <w:tc>
                <w:tcPr>
                  <w:tcW w:w="703" w:type="pct"/>
                  <w:tcBorders>
                    <w:tl2br w:val="nil"/>
                    <w:tr2bl w:val="nil"/>
                  </w:tcBorders>
                  <w:shd w:val="clear" w:color="auto" w:fill="auto"/>
                  <w:noWrap w:val="0"/>
                  <w:tcMar>
                    <w:top w:w="0" w:type="dxa"/>
                    <w:left w:w="108" w:type="dxa"/>
                    <w:bottom w:w="0" w:type="dxa"/>
                    <w:right w:w="108" w:type="dxa"/>
                  </w:tcMar>
                  <w:vAlign w:val="center"/>
                </w:tcPr>
                <w:p w14:paraId="4F89535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1.2600E+10</w:t>
                  </w:r>
                </w:p>
              </w:tc>
            </w:tr>
            <w:tr w14:paraId="1900A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693" w:type="pct"/>
                  <w:gridSpan w:val="3"/>
                  <w:tcBorders>
                    <w:tl2br w:val="nil"/>
                    <w:tr2bl w:val="nil"/>
                  </w:tcBorders>
                  <w:noWrap w:val="0"/>
                  <w:tcMar>
                    <w:top w:w="0" w:type="dxa"/>
                    <w:left w:w="108" w:type="dxa"/>
                    <w:bottom w:w="0" w:type="dxa"/>
                    <w:right w:w="108" w:type="dxa"/>
                  </w:tcMar>
                  <w:vAlign w:val="center"/>
                </w:tcPr>
                <w:p w14:paraId="51611DD6">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合计</w:t>
                  </w:r>
                </w:p>
              </w:tc>
              <w:tc>
                <w:tcPr>
                  <w:tcW w:w="761" w:type="pct"/>
                  <w:tcBorders>
                    <w:tl2br w:val="nil"/>
                    <w:tr2bl w:val="nil"/>
                  </w:tcBorders>
                  <w:noWrap w:val="0"/>
                  <w:tcMar>
                    <w:top w:w="0" w:type="dxa"/>
                    <w:left w:w="108" w:type="dxa"/>
                    <w:bottom w:w="0" w:type="dxa"/>
                    <w:right w:w="108" w:type="dxa"/>
                  </w:tcMar>
                  <w:vAlign w:val="center"/>
                </w:tcPr>
                <w:p w14:paraId="51B2747E">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1.2904E+12</w:t>
                  </w:r>
                </w:p>
              </w:tc>
              <w:tc>
                <w:tcPr>
                  <w:tcW w:w="1841" w:type="pct"/>
                  <w:gridSpan w:val="3"/>
                  <w:tcBorders>
                    <w:tl2br w:val="nil"/>
                    <w:tr2bl w:val="nil"/>
                  </w:tcBorders>
                  <w:noWrap w:val="0"/>
                  <w:tcMar>
                    <w:top w:w="0" w:type="dxa"/>
                    <w:left w:w="108" w:type="dxa"/>
                    <w:bottom w:w="0" w:type="dxa"/>
                    <w:right w:w="108" w:type="dxa"/>
                  </w:tcMar>
                  <w:vAlign w:val="center"/>
                </w:tcPr>
                <w:p w14:paraId="6AA33748">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合计</w:t>
                  </w:r>
                </w:p>
              </w:tc>
              <w:tc>
                <w:tcPr>
                  <w:tcW w:w="703" w:type="pct"/>
                  <w:tcBorders>
                    <w:tl2br w:val="nil"/>
                    <w:tr2bl w:val="nil"/>
                  </w:tcBorders>
                  <w:noWrap w:val="0"/>
                  <w:tcMar>
                    <w:top w:w="0" w:type="dxa"/>
                    <w:left w:w="108" w:type="dxa"/>
                    <w:bottom w:w="0" w:type="dxa"/>
                    <w:right w:w="108" w:type="dxa"/>
                  </w:tcMar>
                  <w:vAlign w:val="center"/>
                </w:tcPr>
                <w:p w14:paraId="37A925FA">
                  <w:pPr>
                    <w:pStyle w:val="43"/>
                    <w:bidi w:val="0"/>
                    <w:spacing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1.2904E+12</w:t>
                  </w:r>
                </w:p>
              </w:tc>
            </w:tr>
          </w:tbl>
          <w:p w14:paraId="0D1996A8">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通过热平衡分析，项目</w:t>
            </w:r>
            <w:r>
              <w:rPr>
                <w:rFonts w:hint="eastAsia" w:cs="Times New Roman"/>
                <w:color w:val="auto"/>
                <w:lang w:val="en-US" w:eastAsia="zh-CN"/>
              </w:rPr>
              <w:t>实施后增加替代燃料用量35000</w:t>
            </w:r>
            <w:r>
              <w:rPr>
                <w:rFonts w:hint="default" w:ascii="Times New Roman" w:hAnsi="Times New Roman" w:cs="Times New Roman"/>
                <w:color w:val="auto"/>
                <w:kern w:val="0"/>
                <w:szCs w:val="24"/>
                <w:lang w:val="en-US" w:eastAsia="zh-CN"/>
              </w:rPr>
              <w:t>t/a，</w:t>
            </w:r>
            <w:r>
              <w:rPr>
                <w:rFonts w:hint="eastAsia" w:cs="Times New Roman"/>
                <w:color w:val="auto"/>
                <w:kern w:val="0"/>
                <w:szCs w:val="24"/>
                <w:lang w:val="en-US" w:eastAsia="zh-CN"/>
              </w:rPr>
              <w:t>可减少燃煤用量4342</w:t>
            </w:r>
            <w:r>
              <w:rPr>
                <w:rFonts w:hint="default" w:ascii="Times New Roman" w:hAnsi="Times New Roman" w:cs="Times New Roman"/>
                <w:color w:val="auto"/>
                <w:kern w:val="0"/>
                <w:szCs w:val="24"/>
                <w:lang w:val="en-US" w:eastAsia="zh-CN"/>
              </w:rPr>
              <w:t>t/a。</w:t>
            </w:r>
          </w:p>
          <w:p w14:paraId="222E48C8">
            <w:pPr>
              <w:bidi w:val="0"/>
              <w:ind w:firstLine="482" w:firstLineChars="200"/>
              <w:rPr>
                <w:rFonts w:hint="default" w:ascii="Times New Roman" w:hAnsi="Times New Roman" w:cs="Times New Roman"/>
                <w:b/>
                <w:bCs/>
                <w:color w:val="FF0000"/>
                <w:lang w:val="en-US" w:eastAsia="zh-CN"/>
              </w:rPr>
            </w:pPr>
            <w:r>
              <w:rPr>
                <w:rFonts w:hint="eastAsia" w:cs="Times New Roman"/>
                <w:b/>
                <w:bCs/>
                <w:color w:val="000000" w:themeColor="text1"/>
                <w:lang w:val="en-US" w:eastAsia="zh-CN"/>
                <w14:textFill>
                  <w14:solidFill>
                    <w14:schemeClr w14:val="tx1"/>
                  </w14:solidFill>
                </w14:textFill>
              </w:rPr>
              <w:t>2、物料平衡</w:t>
            </w:r>
          </w:p>
          <w:p w14:paraId="4767AFD2">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kern w:val="0"/>
                <w:szCs w:val="24"/>
                <w:lang w:val="en-US" w:eastAsia="zh-CN"/>
              </w:rPr>
              <w:t>项目建设后，</w:t>
            </w:r>
            <w:r>
              <w:rPr>
                <w:rFonts w:hint="default" w:ascii="Times New Roman" w:hAnsi="Times New Roman" w:cs="Times New Roman"/>
                <w:color w:val="auto"/>
                <w:lang w:val="en-US" w:eastAsia="zh-CN"/>
              </w:rPr>
              <w:t>不增加熟料和水泥的产能。项目建成后熟料</w:t>
            </w:r>
            <w:r>
              <w:rPr>
                <w:rFonts w:hint="eastAsia" w:cs="Times New Roman"/>
                <w:color w:val="auto"/>
                <w:lang w:val="en-US" w:eastAsia="zh-CN"/>
              </w:rPr>
              <w:t>及水泥</w:t>
            </w:r>
            <w:r>
              <w:rPr>
                <w:rFonts w:hint="default" w:ascii="Times New Roman" w:hAnsi="Times New Roman" w:cs="Times New Roman"/>
                <w:color w:val="auto"/>
                <w:lang w:val="en-US" w:eastAsia="zh-CN"/>
              </w:rPr>
              <w:t>生产物料平衡见下表。</w:t>
            </w:r>
          </w:p>
          <w:p w14:paraId="0B18323B">
            <w:pPr>
              <w:pStyle w:val="45"/>
              <w:bidi w:val="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表2-</w:t>
            </w:r>
            <w:r>
              <w:rPr>
                <w:rFonts w:hint="eastAsia" w:ascii="Times New Roman" w:hAnsi="Times New Roman" w:eastAsia="宋体" w:cs="Times New Roman"/>
                <w:b/>
                <w:bCs/>
                <w:color w:val="auto"/>
                <w:kern w:val="2"/>
                <w:sz w:val="24"/>
                <w:szCs w:val="24"/>
                <w:lang w:val="en-US" w:eastAsia="zh-CN" w:bidi="ar-SA"/>
              </w:rPr>
              <w:t>1</w:t>
            </w:r>
            <w:r>
              <w:rPr>
                <w:rFonts w:hint="eastAsia"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kern w:val="2"/>
                <w:sz w:val="24"/>
                <w:szCs w:val="24"/>
                <w:lang w:val="en-US" w:eastAsia="zh-CN" w:bidi="ar-SA"/>
              </w:rPr>
              <w:t xml:space="preserve"> 项目建设</w:t>
            </w:r>
            <w:r>
              <w:rPr>
                <w:rFonts w:hint="eastAsia" w:eastAsia="宋体" w:cs="Times New Roman"/>
                <w:b/>
                <w:bCs/>
                <w:color w:val="auto"/>
                <w:kern w:val="2"/>
                <w:sz w:val="24"/>
                <w:szCs w:val="24"/>
                <w:lang w:val="en-US" w:eastAsia="zh-CN" w:bidi="ar-SA"/>
              </w:rPr>
              <w:t>后</w:t>
            </w:r>
            <w:r>
              <w:rPr>
                <w:rFonts w:hint="default" w:ascii="Times New Roman" w:hAnsi="Times New Roman" w:eastAsia="宋体" w:cs="Times New Roman"/>
                <w:b/>
                <w:bCs/>
                <w:color w:val="auto"/>
                <w:kern w:val="2"/>
                <w:sz w:val="24"/>
                <w:szCs w:val="24"/>
                <w:lang w:val="en-US" w:eastAsia="zh-CN" w:bidi="ar-SA"/>
              </w:rPr>
              <w:t>水泥熟料生产物料平衡一览表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085"/>
              <w:gridCol w:w="1933"/>
              <w:gridCol w:w="2281"/>
              <w:gridCol w:w="1785"/>
            </w:tblGrid>
            <w:tr w14:paraId="3DC1B7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2485" w:type="pct"/>
                  <w:gridSpan w:val="2"/>
                  <w:tcBorders>
                    <w:tl2br w:val="nil"/>
                    <w:tr2bl w:val="nil"/>
                  </w:tcBorders>
                  <w:noWrap w:val="0"/>
                  <w:tcMar>
                    <w:top w:w="0" w:type="dxa"/>
                    <w:left w:w="108" w:type="dxa"/>
                    <w:bottom w:w="0" w:type="dxa"/>
                    <w:right w:w="108" w:type="dxa"/>
                  </w:tcMar>
                  <w:vAlign w:val="center"/>
                </w:tcPr>
                <w:p w14:paraId="7AD6A8D8">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投入</w:t>
                  </w:r>
                </w:p>
              </w:tc>
              <w:tc>
                <w:tcPr>
                  <w:tcW w:w="2514" w:type="pct"/>
                  <w:gridSpan w:val="2"/>
                  <w:tcBorders>
                    <w:tl2br w:val="nil"/>
                    <w:tr2bl w:val="nil"/>
                  </w:tcBorders>
                  <w:noWrap w:val="0"/>
                  <w:tcMar>
                    <w:top w:w="0" w:type="dxa"/>
                    <w:left w:w="108" w:type="dxa"/>
                    <w:bottom w:w="0" w:type="dxa"/>
                    <w:right w:w="108" w:type="dxa"/>
                  </w:tcMar>
                  <w:vAlign w:val="center"/>
                </w:tcPr>
                <w:p w14:paraId="7E0E6D72">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输出</w:t>
                  </w:r>
                </w:p>
              </w:tc>
            </w:tr>
            <w:tr w14:paraId="6C08F8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89" w:type="pct"/>
                  <w:tcBorders>
                    <w:tl2br w:val="nil"/>
                    <w:tr2bl w:val="nil"/>
                  </w:tcBorders>
                  <w:noWrap w:val="0"/>
                  <w:tcMar>
                    <w:top w:w="0" w:type="dxa"/>
                    <w:left w:w="108" w:type="dxa"/>
                    <w:bottom w:w="0" w:type="dxa"/>
                    <w:right w:w="108" w:type="dxa"/>
                  </w:tcMar>
                  <w:vAlign w:val="center"/>
                </w:tcPr>
                <w:p w14:paraId="09C639B7">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名称</w:t>
                  </w:r>
                </w:p>
              </w:tc>
              <w:tc>
                <w:tcPr>
                  <w:tcW w:w="1195" w:type="pct"/>
                  <w:tcBorders>
                    <w:tl2br w:val="nil"/>
                    <w:tr2bl w:val="nil"/>
                  </w:tcBorders>
                  <w:noWrap w:val="0"/>
                  <w:tcMar>
                    <w:top w:w="0" w:type="dxa"/>
                    <w:left w:w="108" w:type="dxa"/>
                    <w:bottom w:w="0" w:type="dxa"/>
                    <w:right w:w="108" w:type="dxa"/>
                  </w:tcMar>
                  <w:vAlign w:val="center"/>
                </w:tcPr>
                <w:p w14:paraId="7BA41889">
                  <w:pPr>
                    <w:pStyle w:val="46"/>
                    <w:bidi w:val="0"/>
                    <w:rPr>
                      <w:rFonts w:hint="default" w:ascii="Times New Roman" w:hAnsi="Times New Roman" w:cs="Times New Roman"/>
                      <w:color w:val="auto"/>
                      <w:lang w:val="en-US" w:eastAsia="zh-CN"/>
                    </w:rPr>
                  </w:pPr>
                  <w:r>
                    <w:rPr>
                      <w:rFonts w:hint="eastAsia" w:cs="Times New Roman"/>
                      <w:color w:val="auto"/>
                      <w:lang w:val="en-US" w:eastAsia="zh-CN"/>
                    </w:rPr>
                    <w:t>数量</w:t>
                  </w:r>
                  <w:r>
                    <w:rPr>
                      <w:rFonts w:hint="default" w:ascii="Times New Roman" w:hAnsi="Times New Roman" w:cs="Times New Roman"/>
                      <w:color w:val="auto"/>
                      <w:lang w:val="en-US" w:eastAsia="zh-CN"/>
                    </w:rPr>
                    <w:t>t/a</w:t>
                  </w:r>
                </w:p>
              </w:tc>
              <w:tc>
                <w:tcPr>
                  <w:tcW w:w="1410" w:type="pct"/>
                  <w:tcBorders>
                    <w:tl2br w:val="nil"/>
                    <w:tr2bl w:val="nil"/>
                  </w:tcBorders>
                  <w:noWrap w:val="0"/>
                  <w:tcMar>
                    <w:top w:w="0" w:type="dxa"/>
                    <w:left w:w="108" w:type="dxa"/>
                    <w:bottom w:w="0" w:type="dxa"/>
                    <w:right w:w="108" w:type="dxa"/>
                  </w:tcMar>
                  <w:vAlign w:val="center"/>
                </w:tcPr>
                <w:p w14:paraId="69C84509">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名称</w:t>
                  </w:r>
                </w:p>
              </w:tc>
              <w:tc>
                <w:tcPr>
                  <w:tcW w:w="1104" w:type="pct"/>
                  <w:tcBorders>
                    <w:tl2br w:val="nil"/>
                    <w:tr2bl w:val="nil"/>
                  </w:tcBorders>
                  <w:noWrap w:val="0"/>
                  <w:tcMar>
                    <w:top w:w="0" w:type="dxa"/>
                    <w:left w:w="108" w:type="dxa"/>
                    <w:bottom w:w="0" w:type="dxa"/>
                    <w:right w:w="108" w:type="dxa"/>
                  </w:tcMar>
                  <w:vAlign w:val="center"/>
                </w:tcPr>
                <w:p w14:paraId="77D9324E">
                  <w:pPr>
                    <w:pStyle w:val="46"/>
                    <w:bidi w:val="0"/>
                    <w:rPr>
                      <w:rFonts w:hint="default" w:ascii="Times New Roman" w:hAnsi="Times New Roman" w:cs="Times New Roman"/>
                      <w:color w:val="auto"/>
                      <w:lang w:val="en-US" w:eastAsia="zh-CN"/>
                    </w:rPr>
                  </w:pPr>
                  <w:r>
                    <w:rPr>
                      <w:rFonts w:hint="eastAsia" w:cs="Times New Roman"/>
                      <w:color w:val="auto"/>
                      <w:lang w:val="en-US" w:eastAsia="zh-CN"/>
                    </w:rPr>
                    <w:t>数量</w:t>
                  </w:r>
                  <w:r>
                    <w:rPr>
                      <w:rFonts w:hint="default" w:ascii="Times New Roman" w:hAnsi="Times New Roman" w:cs="Times New Roman"/>
                      <w:color w:val="auto"/>
                      <w:lang w:val="en-US" w:eastAsia="zh-CN"/>
                    </w:rPr>
                    <w:t>t/a</w:t>
                  </w:r>
                </w:p>
              </w:tc>
            </w:tr>
            <w:tr w14:paraId="437C5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72346576">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石灰石</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37674294">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1880000</w:t>
                  </w:r>
                </w:p>
              </w:tc>
              <w:tc>
                <w:tcPr>
                  <w:tcW w:w="1410" w:type="pct"/>
                  <w:tcBorders>
                    <w:tl2br w:val="nil"/>
                    <w:tr2bl w:val="nil"/>
                  </w:tcBorders>
                  <w:noWrap w:val="0"/>
                  <w:tcMar>
                    <w:top w:w="0" w:type="dxa"/>
                    <w:left w:w="108" w:type="dxa"/>
                    <w:bottom w:w="0" w:type="dxa"/>
                    <w:right w:w="108" w:type="dxa"/>
                  </w:tcMar>
                  <w:vAlign w:val="center"/>
                </w:tcPr>
                <w:p w14:paraId="6E1F14F4">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熟料</w:t>
                  </w:r>
                </w:p>
              </w:tc>
              <w:tc>
                <w:tcPr>
                  <w:tcW w:w="1104" w:type="pct"/>
                  <w:tcBorders>
                    <w:tl2br w:val="nil"/>
                    <w:tr2bl w:val="nil"/>
                  </w:tcBorders>
                  <w:noWrap w:val="0"/>
                  <w:tcMar>
                    <w:top w:w="0" w:type="dxa"/>
                    <w:left w:w="108" w:type="dxa"/>
                    <w:bottom w:w="0" w:type="dxa"/>
                    <w:right w:w="108" w:type="dxa"/>
                  </w:tcMar>
                  <w:vAlign w:val="center"/>
                </w:tcPr>
                <w:p w14:paraId="158763A8">
                  <w:pPr>
                    <w:pStyle w:val="46"/>
                    <w:bidi w:val="0"/>
                    <w:rPr>
                      <w:rFonts w:hint="default" w:ascii="Times New Roman" w:hAnsi="Times New Roman" w:cs="Times New Roman"/>
                      <w:color w:val="auto"/>
                      <w:lang w:val="en-US" w:eastAsia="zh-CN"/>
                    </w:rPr>
                  </w:pPr>
                  <w:r>
                    <w:rPr>
                      <w:rFonts w:hint="eastAsia" w:cs="Times New Roman"/>
                      <w:color w:val="auto"/>
                      <w:lang w:val="en-US" w:eastAsia="zh-CN"/>
                    </w:rPr>
                    <w:t>1550000</w:t>
                  </w:r>
                </w:p>
              </w:tc>
            </w:tr>
            <w:tr w14:paraId="290945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32D9743D">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粘土</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421AD710">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120000</w:t>
                  </w:r>
                </w:p>
              </w:tc>
              <w:tc>
                <w:tcPr>
                  <w:tcW w:w="1410" w:type="pct"/>
                  <w:tcBorders>
                    <w:tl2br w:val="nil"/>
                    <w:tr2bl w:val="nil"/>
                  </w:tcBorders>
                  <w:noWrap w:val="0"/>
                  <w:tcMar>
                    <w:top w:w="0" w:type="dxa"/>
                    <w:left w:w="108" w:type="dxa"/>
                    <w:bottom w:w="0" w:type="dxa"/>
                    <w:right w:w="108" w:type="dxa"/>
                  </w:tcMar>
                  <w:vAlign w:val="center"/>
                </w:tcPr>
                <w:p w14:paraId="34D569BD">
                  <w:pPr>
                    <w:pStyle w:val="46"/>
                    <w:bidi w:val="0"/>
                    <w:rPr>
                      <w:rFonts w:hint="default" w:ascii="Times New Roman" w:hAnsi="Times New Roman" w:cs="Times New Roman"/>
                      <w:color w:val="auto"/>
                      <w:lang w:val="en-US" w:eastAsia="zh-CN"/>
                    </w:rPr>
                  </w:pPr>
                  <w:r>
                    <w:rPr>
                      <w:rFonts w:hint="eastAsia" w:cs="Times New Roman"/>
                      <w:color w:val="auto"/>
                      <w:lang w:val="en-US" w:eastAsia="zh-CN"/>
                    </w:rPr>
                    <w:t>损失（烟气损失、粉尘排放损失等）</w:t>
                  </w:r>
                </w:p>
              </w:tc>
              <w:tc>
                <w:tcPr>
                  <w:tcW w:w="1104" w:type="pct"/>
                  <w:tcBorders>
                    <w:tl2br w:val="nil"/>
                    <w:tr2bl w:val="nil"/>
                  </w:tcBorders>
                  <w:noWrap w:val="0"/>
                  <w:tcMar>
                    <w:top w:w="0" w:type="dxa"/>
                    <w:left w:w="108" w:type="dxa"/>
                    <w:bottom w:w="0" w:type="dxa"/>
                    <w:right w:w="108" w:type="dxa"/>
                  </w:tcMar>
                  <w:vAlign w:val="center"/>
                </w:tcPr>
                <w:p w14:paraId="0551098D">
                  <w:pPr>
                    <w:pStyle w:val="46"/>
                    <w:bidi w:val="0"/>
                    <w:rPr>
                      <w:rFonts w:hint="default" w:ascii="Times New Roman" w:hAnsi="Times New Roman" w:cs="Times New Roman"/>
                      <w:color w:val="auto"/>
                      <w:lang w:val="en-US" w:eastAsia="zh-CN"/>
                    </w:rPr>
                  </w:pPr>
                  <w:r>
                    <w:rPr>
                      <w:rFonts w:hint="eastAsia" w:cs="Times New Roman"/>
                      <w:color w:val="auto"/>
                      <w:lang w:val="en-US" w:eastAsia="zh-CN"/>
                    </w:rPr>
                    <w:t>1144058</w:t>
                  </w:r>
                </w:p>
              </w:tc>
            </w:tr>
            <w:tr w14:paraId="502CC6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1905C4D1">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电石渣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7F358829">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2514" w:type="pct"/>
                  <w:gridSpan w:val="2"/>
                  <w:vMerge w:val="restart"/>
                  <w:tcBorders>
                    <w:tl2br w:val="nil"/>
                    <w:tr2bl w:val="nil"/>
                  </w:tcBorders>
                  <w:noWrap w:val="0"/>
                  <w:tcMar>
                    <w:top w:w="0" w:type="dxa"/>
                    <w:left w:w="108" w:type="dxa"/>
                    <w:bottom w:w="0" w:type="dxa"/>
                    <w:right w:w="108" w:type="dxa"/>
                  </w:tcMar>
                  <w:vAlign w:val="center"/>
                </w:tcPr>
                <w:p w14:paraId="3BECDE3F">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010E45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03468216">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造纸白泥</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4821C8D3">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800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5AFA052B">
                  <w:pPr>
                    <w:pStyle w:val="46"/>
                    <w:bidi w:val="0"/>
                    <w:rPr>
                      <w:rFonts w:hint="default" w:ascii="Times New Roman" w:hAnsi="Times New Roman" w:cs="Times New Roman"/>
                      <w:color w:val="auto"/>
                      <w:lang w:val="en-US" w:eastAsia="zh-CN"/>
                    </w:rPr>
                  </w:pPr>
                </w:p>
              </w:tc>
            </w:tr>
            <w:tr w14:paraId="454E50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6D20836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氟化钙污泥</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20138093">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080D7118">
                  <w:pPr>
                    <w:pStyle w:val="46"/>
                    <w:bidi w:val="0"/>
                    <w:rPr>
                      <w:rFonts w:hint="default" w:ascii="Times New Roman" w:hAnsi="Times New Roman" w:cs="Times New Roman"/>
                      <w:color w:val="auto"/>
                      <w:lang w:val="en-US" w:eastAsia="zh-CN"/>
                    </w:rPr>
                  </w:pPr>
                </w:p>
              </w:tc>
            </w:tr>
            <w:tr w14:paraId="7078A3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41D1218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磷渣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7F62B543">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200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58D064F6">
                  <w:pPr>
                    <w:pStyle w:val="46"/>
                    <w:bidi w:val="0"/>
                    <w:rPr>
                      <w:rFonts w:hint="default" w:ascii="Times New Roman" w:hAnsi="Times New Roman" w:cs="Times New Roman"/>
                      <w:color w:val="auto"/>
                      <w:lang w:val="en-US" w:eastAsia="zh-CN"/>
                    </w:rPr>
                  </w:pPr>
                </w:p>
              </w:tc>
            </w:tr>
            <w:tr w14:paraId="17131A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0EEE0232">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铁合金炉渣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2A70E78B">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3B44E8DF">
                  <w:pPr>
                    <w:pStyle w:val="46"/>
                    <w:bidi w:val="0"/>
                    <w:rPr>
                      <w:rFonts w:hint="default" w:ascii="Times New Roman" w:hAnsi="Times New Roman" w:cs="Times New Roman"/>
                      <w:color w:val="auto"/>
                      <w:lang w:val="en-US" w:eastAsia="zh-CN"/>
                    </w:rPr>
                  </w:pPr>
                </w:p>
              </w:tc>
            </w:tr>
            <w:tr w14:paraId="02212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4DE18E6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赤泥</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17056D5D">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2000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1DB69949">
                  <w:pPr>
                    <w:pStyle w:val="46"/>
                    <w:bidi w:val="0"/>
                    <w:rPr>
                      <w:rFonts w:hint="default" w:ascii="Times New Roman" w:hAnsi="Times New Roman" w:cs="Times New Roman"/>
                      <w:color w:val="auto"/>
                      <w:lang w:val="en-US" w:eastAsia="zh-CN"/>
                    </w:rPr>
                  </w:pPr>
                </w:p>
              </w:tc>
            </w:tr>
            <w:tr w14:paraId="555D76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1C26C13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煤矸石</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43EA20D3">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4500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1F71FACB">
                  <w:pPr>
                    <w:pStyle w:val="46"/>
                    <w:bidi w:val="0"/>
                    <w:rPr>
                      <w:rFonts w:hint="default" w:ascii="Times New Roman" w:hAnsi="Times New Roman" w:cs="Times New Roman"/>
                      <w:color w:val="auto"/>
                      <w:lang w:val="en-US" w:eastAsia="zh-CN"/>
                    </w:rPr>
                  </w:pPr>
                </w:p>
              </w:tc>
            </w:tr>
            <w:tr w14:paraId="25E4E8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0448C72E">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炉渣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5A45A50A">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25000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0D1FD697">
                  <w:pPr>
                    <w:pStyle w:val="46"/>
                    <w:bidi w:val="0"/>
                    <w:rPr>
                      <w:rFonts w:hint="default" w:ascii="Times New Roman" w:hAnsi="Times New Roman" w:cs="Times New Roman"/>
                      <w:color w:val="auto"/>
                      <w:lang w:val="en-US" w:eastAsia="zh-CN"/>
                    </w:rPr>
                  </w:pPr>
                </w:p>
              </w:tc>
            </w:tr>
            <w:tr w14:paraId="4DB28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35921C6A">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萤石选矿尾渣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6E4F81B9">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6000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7CEEF92F">
                  <w:pPr>
                    <w:pStyle w:val="46"/>
                    <w:bidi w:val="0"/>
                    <w:rPr>
                      <w:rFonts w:hint="default" w:ascii="Times New Roman" w:hAnsi="Times New Roman" w:cs="Times New Roman"/>
                      <w:color w:val="auto"/>
                      <w:lang w:val="en-US" w:eastAsia="zh-CN"/>
                    </w:rPr>
                  </w:pPr>
                </w:p>
              </w:tc>
            </w:tr>
            <w:tr w14:paraId="6F1CF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359B71E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铁矿选矿粉末</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12BD2F73">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651629D6">
                  <w:pPr>
                    <w:pStyle w:val="46"/>
                    <w:bidi w:val="0"/>
                    <w:rPr>
                      <w:rFonts w:hint="default" w:ascii="Times New Roman" w:hAnsi="Times New Roman" w:cs="Times New Roman"/>
                      <w:color w:val="auto"/>
                      <w:lang w:val="en-US" w:eastAsia="zh-CN"/>
                    </w:rPr>
                  </w:pPr>
                </w:p>
              </w:tc>
            </w:tr>
            <w:tr w14:paraId="7B617A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3B334224">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尾矿渣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56327A79">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45000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681246C0">
                  <w:pPr>
                    <w:pStyle w:val="46"/>
                    <w:bidi w:val="0"/>
                    <w:rPr>
                      <w:rFonts w:hint="default" w:ascii="Times New Roman" w:hAnsi="Times New Roman" w:cs="Times New Roman"/>
                      <w:color w:val="auto"/>
                      <w:lang w:val="en-US" w:eastAsia="zh-CN"/>
                    </w:rPr>
                  </w:pPr>
                </w:p>
              </w:tc>
            </w:tr>
            <w:tr w14:paraId="671EE5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14696FD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石英砂选矿污泥</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362C0D56">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180000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4637B00E">
                  <w:pPr>
                    <w:pStyle w:val="46"/>
                    <w:bidi w:val="0"/>
                    <w:rPr>
                      <w:rFonts w:hint="default" w:ascii="Times New Roman" w:hAnsi="Times New Roman" w:cs="Times New Roman"/>
                      <w:color w:val="auto"/>
                      <w:lang w:val="en-US" w:eastAsia="zh-CN"/>
                    </w:rPr>
                  </w:pPr>
                </w:p>
              </w:tc>
            </w:tr>
            <w:tr w14:paraId="66D00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0D9F032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煤</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576ED38D">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169058</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67B8A1C1">
                  <w:pPr>
                    <w:pStyle w:val="46"/>
                    <w:bidi w:val="0"/>
                    <w:rPr>
                      <w:rFonts w:hint="default" w:ascii="Times New Roman" w:hAnsi="Times New Roman" w:cs="Times New Roman"/>
                      <w:color w:val="auto"/>
                      <w:lang w:val="en-US" w:eastAsia="zh-CN"/>
                    </w:rPr>
                  </w:pPr>
                </w:p>
              </w:tc>
            </w:tr>
            <w:tr w14:paraId="3E4D2E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5DDF83C0">
                  <w:pPr>
                    <w:pStyle w:val="43"/>
                    <w:bidi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RDF</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0A3DA475">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15000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7B4722FD">
                  <w:pPr>
                    <w:pStyle w:val="46"/>
                    <w:bidi w:val="0"/>
                    <w:rPr>
                      <w:rFonts w:hint="default" w:ascii="Times New Roman" w:hAnsi="Times New Roman" w:cs="Times New Roman"/>
                      <w:color w:val="auto"/>
                      <w:lang w:val="en-US" w:eastAsia="zh-CN"/>
                    </w:rPr>
                  </w:pPr>
                </w:p>
              </w:tc>
            </w:tr>
            <w:tr w14:paraId="5F0BAC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7248753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废纺</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3BE713AB">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3EA3DFD9">
                  <w:pPr>
                    <w:pStyle w:val="46"/>
                    <w:bidi w:val="0"/>
                    <w:rPr>
                      <w:rFonts w:hint="default" w:ascii="Times New Roman" w:hAnsi="Times New Roman" w:cs="Times New Roman"/>
                      <w:color w:val="auto"/>
                      <w:lang w:val="en-US" w:eastAsia="zh-CN"/>
                    </w:rPr>
                  </w:pPr>
                </w:p>
              </w:tc>
            </w:tr>
            <w:tr w14:paraId="28200E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553B0B0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废塑料</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2951C7F5">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500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3D95659C">
                  <w:pPr>
                    <w:pStyle w:val="46"/>
                    <w:bidi w:val="0"/>
                    <w:rPr>
                      <w:rFonts w:hint="default" w:ascii="Times New Roman" w:hAnsi="Times New Roman" w:cs="Times New Roman"/>
                      <w:color w:val="auto"/>
                      <w:lang w:val="en-US" w:eastAsia="zh-CN"/>
                    </w:rPr>
                  </w:pPr>
                </w:p>
              </w:tc>
            </w:tr>
            <w:tr w14:paraId="4B64B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3A93AEF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废橡胶</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3AE8B3C4">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1100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2D9906D7">
                  <w:pPr>
                    <w:pStyle w:val="46"/>
                    <w:bidi w:val="0"/>
                    <w:rPr>
                      <w:rFonts w:hint="default" w:ascii="Times New Roman" w:hAnsi="Times New Roman" w:cs="Times New Roman"/>
                      <w:color w:val="auto"/>
                      <w:lang w:val="en-US" w:eastAsia="zh-CN"/>
                    </w:rPr>
                  </w:pPr>
                </w:p>
              </w:tc>
            </w:tr>
            <w:tr w14:paraId="1A9A64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163682A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废皮革</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343DA1EC">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200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15952581">
                  <w:pPr>
                    <w:pStyle w:val="46"/>
                    <w:bidi w:val="0"/>
                    <w:rPr>
                      <w:rFonts w:hint="default" w:ascii="Times New Roman" w:hAnsi="Times New Roman" w:cs="Times New Roman"/>
                      <w:color w:val="auto"/>
                      <w:lang w:val="en-US" w:eastAsia="zh-CN"/>
                    </w:rPr>
                  </w:pPr>
                </w:p>
              </w:tc>
            </w:tr>
            <w:tr w14:paraId="322AC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038D2E9F">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炭黑</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1F3ADF6B">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53CE0129">
                  <w:pPr>
                    <w:pStyle w:val="46"/>
                    <w:bidi w:val="0"/>
                    <w:rPr>
                      <w:rFonts w:hint="default" w:ascii="Times New Roman" w:hAnsi="Times New Roman" w:cs="Times New Roman"/>
                      <w:color w:val="auto"/>
                      <w:lang w:val="en-US" w:eastAsia="zh-CN"/>
                    </w:rPr>
                  </w:pPr>
                </w:p>
              </w:tc>
            </w:tr>
            <w:tr w14:paraId="4F9EB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7542247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生物质燃料</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5661D97E">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3000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69E0BA9C">
                  <w:pPr>
                    <w:pStyle w:val="46"/>
                    <w:bidi w:val="0"/>
                    <w:rPr>
                      <w:rFonts w:hint="default" w:ascii="Times New Roman" w:hAnsi="Times New Roman" w:cs="Times New Roman"/>
                      <w:color w:val="auto"/>
                      <w:lang w:val="en-US" w:eastAsia="zh-CN"/>
                    </w:rPr>
                  </w:pPr>
                </w:p>
              </w:tc>
            </w:tr>
            <w:tr w14:paraId="05C037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54F6DAD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飞灰</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1A06CD09">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10200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6BD5DDF8">
                  <w:pPr>
                    <w:pStyle w:val="46"/>
                    <w:bidi w:val="0"/>
                    <w:rPr>
                      <w:rFonts w:hint="default" w:ascii="Times New Roman" w:hAnsi="Times New Roman" w:cs="Times New Roman"/>
                      <w:color w:val="auto"/>
                      <w:lang w:val="en-US" w:eastAsia="zh-CN"/>
                    </w:rPr>
                  </w:pPr>
                </w:p>
              </w:tc>
            </w:tr>
            <w:tr w14:paraId="193168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auto"/>
                  <w:noWrap w:val="0"/>
                  <w:tcMar>
                    <w:top w:w="0" w:type="dxa"/>
                    <w:left w:w="108" w:type="dxa"/>
                    <w:bottom w:w="0" w:type="dxa"/>
                    <w:right w:w="108" w:type="dxa"/>
                  </w:tcMar>
                  <w:vAlign w:val="center"/>
                </w:tcPr>
                <w:p w14:paraId="75F6E715">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市政污泥</w:t>
                  </w:r>
                </w:p>
              </w:tc>
              <w:tc>
                <w:tcPr>
                  <w:tcW w:w="1195" w:type="pct"/>
                  <w:tcBorders>
                    <w:tl2br w:val="nil"/>
                    <w:tr2bl w:val="nil"/>
                  </w:tcBorders>
                  <w:shd w:val="clear" w:color="auto" w:fill="auto"/>
                  <w:noWrap w:val="0"/>
                  <w:tcMar>
                    <w:top w:w="0" w:type="dxa"/>
                    <w:left w:w="108" w:type="dxa"/>
                    <w:bottom w:w="0" w:type="dxa"/>
                    <w:right w:w="108" w:type="dxa"/>
                  </w:tcMar>
                  <w:vAlign w:val="center"/>
                </w:tcPr>
                <w:p w14:paraId="3F13CC72">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1F07F8DD">
                  <w:pPr>
                    <w:pStyle w:val="46"/>
                    <w:bidi w:val="0"/>
                    <w:rPr>
                      <w:rFonts w:hint="default" w:ascii="Times New Roman" w:hAnsi="Times New Roman" w:cs="Times New Roman"/>
                      <w:color w:val="auto"/>
                      <w:lang w:val="en-US" w:eastAsia="zh-CN"/>
                    </w:rPr>
                  </w:pPr>
                </w:p>
              </w:tc>
            </w:tr>
            <w:tr w14:paraId="21CB2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auto"/>
                  <w:noWrap w:val="0"/>
                  <w:tcMar>
                    <w:top w:w="0" w:type="dxa"/>
                    <w:left w:w="108" w:type="dxa"/>
                    <w:bottom w:w="0" w:type="dxa"/>
                    <w:right w:w="108" w:type="dxa"/>
                  </w:tcMar>
                  <w:vAlign w:val="center"/>
                </w:tcPr>
                <w:p w14:paraId="30EEF04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污染土</w:t>
                  </w:r>
                </w:p>
              </w:tc>
              <w:tc>
                <w:tcPr>
                  <w:tcW w:w="1195" w:type="pct"/>
                  <w:tcBorders>
                    <w:tl2br w:val="nil"/>
                    <w:tr2bl w:val="nil"/>
                  </w:tcBorders>
                  <w:shd w:val="clear" w:color="auto" w:fill="auto"/>
                  <w:noWrap w:val="0"/>
                  <w:tcMar>
                    <w:top w:w="0" w:type="dxa"/>
                    <w:left w:w="108" w:type="dxa"/>
                    <w:bottom w:w="0" w:type="dxa"/>
                    <w:right w:w="108" w:type="dxa"/>
                  </w:tcMar>
                  <w:vAlign w:val="center"/>
                </w:tcPr>
                <w:p w14:paraId="75D11995">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40000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44BD7F6B">
                  <w:pPr>
                    <w:pStyle w:val="46"/>
                    <w:bidi w:val="0"/>
                    <w:rPr>
                      <w:rFonts w:hint="default" w:ascii="Times New Roman" w:hAnsi="Times New Roman" w:cs="Times New Roman"/>
                      <w:color w:val="auto"/>
                      <w:lang w:val="en-US" w:eastAsia="zh-CN"/>
                    </w:rPr>
                  </w:pPr>
                </w:p>
              </w:tc>
            </w:tr>
            <w:tr w14:paraId="0ADD0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noWrap w:val="0"/>
                  <w:tcMar>
                    <w:top w:w="0" w:type="dxa"/>
                    <w:left w:w="108" w:type="dxa"/>
                    <w:bottom w:w="0" w:type="dxa"/>
                    <w:right w:w="108" w:type="dxa"/>
                  </w:tcMar>
                  <w:vAlign w:val="center"/>
                </w:tcPr>
                <w:p w14:paraId="67326A6D">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危险废物</w:t>
                  </w:r>
                </w:p>
              </w:tc>
              <w:tc>
                <w:tcPr>
                  <w:tcW w:w="1195" w:type="pct"/>
                  <w:tcBorders>
                    <w:tl2br w:val="nil"/>
                    <w:tr2bl w:val="nil"/>
                  </w:tcBorders>
                  <w:shd w:val="clear" w:color="auto" w:fill="auto"/>
                  <w:noWrap w:val="0"/>
                  <w:tcMar>
                    <w:top w:w="0" w:type="dxa"/>
                    <w:left w:w="108" w:type="dxa"/>
                    <w:bottom w:w="0" w:type="dxa"/>
                    <w:right w:w="108" w:type="dxa"/>
                  </w:tcMar>
                  <w:vAlign w:val="center"/>
                </w:tcPr>
                <w:p w14:paraId="4BD166B3">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100000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154BA6CD">
                  <w:pPr>
                    <w:pStyle w:val="46"/>
                    <w:bidi w:val="0"/>
                    <w:rPr>
                      <w:rFonts w:hint="default" w:ascii="Times New Roman" w:hAnsi="Times New Roman" w:cs="Times New Roman"/>
                      <w:color w:val="auto"/>
                      <w:lang w:val="en-US" w:eastAsia="zh-CN"/>
                    </w:rPr>
                  </w:pPr>
                </w:p>
              </w:tc>
            </w:tr>
            <w:tr w14:paraId="16664B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289" w:type="pct"/>
                  <w:tcBorders>
                    <w:tl2br w:val="nil"/>
                    <w:tr2bl w:val="nil"/>
                  </w:tcBorders>
                  <w:noWrap w:val="0"/>
                  <w:tcMar>
                    <w:top w:w="0" w:type="dxa"/>
                    <w:left w:w="108" w:type="dxa"/>
                    <w:bottom w:w="0" w:type="dxa"/>
                    <w:right w:w="108" w:type="dxa"/>
                  </w:tcMar>
                  <w:vAlign w:val="center"/>
                </w:tcPr>
                <w:p w14:paraId="67A1C54B">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合计</w:t>
                  </w:r>
                </w:p>
              </w:tc>
              <w:tc>
                <w:tcPr>
                  <w:tcW w:w="1195" w:type="pct"/>
                  <w:tcBorders>
                    <w:tl2br w:val="nil"/>
                    <w:tr2bl w:val="nil"/>
                  </w:tcBorders>
                  <w:noWrap w:val="0"/>
                  <w:tcMar>
                    <w:top w:w="0" w:type="dxa"/>
                    <w:left w:w="108" w:type="dxa"/>
                    <w:bottom w:w="0" w:type="dxa"/>
                    <w:right w:w="108" w:type="dxa"/>
                  </w:tcMar>
                  <w:vAlign w:val="center"/>
                </w:tcPr>
                <w:p w14:paraId="11BD7B92">
                  <w:pPr>
                    <w:pStyle w:val="46"/>
                    <w:bidi w:val="0"/>
                    <w:rPr>
                      <w:rFonts w:hint="default" w:ascii="Times New Roman" w:hAnsi="Times New Roman" w:cs="Times New Roman"/>
                      <w:color w:val="auto"/>
                      <w:lang w:val="en-US" w:eastAsia="zh-CN"/>
                    </w:rPr>
                  </w:pPr>
                  <w:r>
                    <w:rPr>
                      <w:rFonts w:hint="eastAsia" w:cs="Times New Roman"/>
                      <w:color w:val="auto"/>
                      <w:lang w:val="en-US" w:eastAsia="zh-CN"/>
                    </w:rPr>
                    <w:t>2694058</w:t>
                  </w:r>
                </w:p>
              </w:tc>
              <w:tc>
                <w:tcPr>
                  <w:tcW w:w="1410" w:type="pct"/>
                  <w:tcBorders>
                    <w:tl2br w:val="nil"/>
                    <w:tr2bl w:val="nil"/>
                  </w:tcBorders>
                  <w:noWrap w:val="0"/>
                  <w:tcMar>
                    <w:top w:w="0" w:type="dxa"/>
                    <w:left w:w="108" w:type="dxa"/>
                    <w:bottom w:w="0" w:type="dxa"/>
                    <w:right w:w="108" w:type="dxa"/>
                  </w:tcMar>
                  <w:vAlign w:val="center"/>
                </w:tcPr>
                <w:p w14:paraId="4422216A">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合计</w:t>
                  </w:r>
                </w:p>
              </w:tc>
              <w:tc>
                <w:tcPr>
                  <w:tcW w:w="1104" w:type="pct"/>
                  <w:tcBorders>
                    <w:tl2br w:val="nil"/>
                    <w:tr2bl w:val="nil"/>
                  </w:tcBorders>
                  <w:noWrap w:val="0"/>
                  <w:tcMar>
                    <w:top w:w="0" w:type="dxa"/>
                    <w:left w:w="108" w:type="dxa"/>
                    <w:bottom w:w="0" w:type="dxa"/>
                    <w:right w:w="108" w:type="dxa"/>
                  </w:tcMar>
                  <w:vAlign w:val="center"/>
                </w:tcPr>
                <w:p w14:paraId="22CFB5E6">
                  <w:pPr>
                    <w:pStyle w:val="46"/>
                    <w:bidi w:val="0"/>
                    <w:rPr>
                      <w:rFonts w:hint="default" w:ascii="Times New Roman" w:hAnsi="Times New Roman" w:cs="Times New Roman"/>
                      <w:color w:val="auto"/>
                      <w:lang w:val="en-US" w:eastAsia="zh-CN"/>
                    </w:rPr>
                  </w:pPr>
                  <w:r>
                    <w:rPr>
                      <w:rFonts w:hint="eastAsia" w:cs="Times New Roman"/>
                      <w:color w:val="auto"/>
                      <w:lang w:val="en-US" w:eastAsia="zh-CN"/>
                    </w:rPr>
                    <w:t>2694058</w:t>
                  </w:r>
                </w:p>
              </w:tc>
            </w:tr>
          </w:tbl>
          <w:p w14:paraId="72403755">
            <w:pPr>
              <w:pStyle w:val="45"/>
              <w:bidi w:val="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表2-</w:t>
            </w:r>
            <w:r>
              <w:rPr>
                <w:rFonts w:hint="eastAsia" w:ascii="Times New Roman" w:hAnsi="Times New Roman" w:eastAsia="宋体" w:cs="Times New Roman"/>
                <w:b/>
                <w:bCs/>
                <w:color w:val="auto"/>
                <w:kern w:val="2"/>
                <w:sz w:val="24"/>
                <w:szCs w:val="24"/>
                <w:lang w:val="en-US" w:eastAsia="zh-CN" w:bidi="ar-SA"/>
              </w:rPr>
              <w:t>1</w:t>
            </w:r>
            <w:r>
              <w:rPr>
                <w:rFonts w:hint="eastAsia" w:eastAsia="宋体" w:cs="Times New Roman"/>
                <w:b/>
                <w:bCs/>
                <w:color w:val="auto"/>
                <w:kern w:val="2"/>
                <w:sz w:val="24"/>
                <w:szCs w:val="24"/>
                <w:lang w:val="en-US" w:eastAsia="zh-CN" w:bidi="ar-SA"/>
              </w:rPr>
              <w:t>2</w:t>
            </w:r>
            <w:r>
              <w:rPr>
                <w:rFonts w:hint="default" w:ascii="Times New Roman" w:hAnsi="Times New Roman" w:eastAsia="宋体" w:cs="Times New Roman"/>
                <w:b/>
                <w:bCs/>
                <w:color w:val="auto"/>
                <w:kern w:val="2"/>
                <w:sz w:val="24"/>
                <w:szCs w:val="24"/>
                <w:lang w:val="en-US" w:eastAsia="zh-CN" w:bidi="ar-SA"/>
              </w:rPr>
              <w:t xml:space="preserve"> 项目建设</w:t>
            </w:r>
            <w:r>
              <w:rPr>
                <w:rFonts w:hint="eastAsia" w:eastAsia="宋体" w:cs="Times New Roman"/>
                <w:b/>
                <w:bCs/>
                <w:color w:val="auto"/>
                <w:kern w:val="2"/>
                <w:sz w:val="24"/>
                <w:szCs w:val="24"/>
                <w:lang w:val="en-US" w:eastAsia="zh-CN" w:bidi="ar-SA"/>
              </w:rPr>
              <w:t>后</w:t>
            </w:r>
            <w:r>
              <w:rPr>
                <w:rFonts w:hint="default" w:ascii="Times New Roman" w:hAnsi="Times New Roman" w:eastAsia="宋体" w:cs="Times New Roman"/>
                <w:b/>
                <w:bCs/>
                <w:color w:val="auto"/>
                <w:kern w:val="2"/>
                <w:sz w:val="24"/>
                <w:szCs w:val="24"/>
                <w:lang w:val="en-US" w:eastAsia="zh-CN" w:bidi="ar-SA"/>
              </w:rPr>
              <w:t>水泥生产物料平衡一览表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085"/>
              <w:gridCol w:w="1933"/>
              <w:gridCol w:w="2281"/>
              <w:gridCol w:w="1785"/>
            </w:tblGrid>
            <w:tr w14:paraId="519D4C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2485" w:type="pct"/>
                  <w:gridSpan w:val="2"/>
                  <w:tcBorders>
                    <w:tl2br w:val="nil"/>
                    <w:tr2bl w:val="nil"/>
                  </w:tcBorders>
                  <w:noWrap w:val="0"/>
                  <w:tcMar>
                    <w:top w:w="0" w:type="dxa"/>
                    <w:left w:w="108" w:type="dxa"/>
                    <w:bottom w:w="0" w:type="dxa"/>
                    <w:right w:w="108" w:type="dxa"/>
                  </w:tcMar>
                  <w:vAlign w:val="center"/>
                </w:tcPr>
                <w:p w14:paraId="2299DB71">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投入</w:t>
                  </w:r>
                </w:p>
              </w:tc>
              <w:tc>
                <w:tcPr>
                  <w:tcW w:w="2514" w:type="pct"/>
                  <w:gridSpan w:val="2"/>
                  <w:tcBorders>
                    <w:tl2br w:val="nil"/>
                    <w:tr2bl w:val="nil"/>
                  </w:tcBorders>
                  <w:noWrap w:val="0"/>
                  <w:tcMar>
                    <w:top w:w="0" w:type="dxa"/>
                    <w:left w:w="108" w:type="dxa"/>
                    <w:bottom w:w="0" w:type="dxa"/>
                    <w:right w:w="108" w:type="dxa"/>
                  </w:tcMar>
                  <w:vAlign w:val="center"/>
                </w:tcPr>
                <w:p w14:paraId="3232D02D">
                  <w:pPr>
                    <w:pStyle w:val="4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输出</w:t>
                  </w:r>
                </w:p>
              </w:tc>
            </w:tr>
            <w:tr w14:paraId="33CB09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1289" w:type="pct"/>
                  <w:tcBorders>
                    <w:tl2br w:val="nil"/>
                    <w:tr2bl w:val="nil"/>
                  </w:tcBorders>
                  <w:noWrap w:val="0"/>
                  <w:tcMar>
                    <w:top w:w="0" w:type="dxa"/>
                    <w:left w:w="108" w:type="dxa"/>
                    <w:bottom w:w="0" w:type="dxa"/>
                    <w:right w:w="108" w:type="dxa"/>
                  </w:tcMar>
                  <w:vAlign w:val="center"/>
                </w:tcPr>
                <w:p w14:paraId="2151B84E">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名称</w:t>
                  </w:r>
                </w:p>
              </w:tc>
              <w:tc>
                <w:tcPr>
                  <w:tcW w:w="1195" w:type="pct"/>
                  <w:tcBorders>
                    <w:tl2br w:val="nil"/>
                    <w:tr2bl w:val="nil"/>
                  </w:tcBorders>
                  <w:noWrap w:val="0"/>
                  <w:tcMar>
                    <w:top w:w="0" w:type="dxa"/>
                    <w:left w:w="108" w:type="dxa"/>
                    <w:bottom w:w="0" w:type="dxa"/>
                    <w:right w:w="108" w:type="dxa"/>
                  </w:tcMar>
                  <w:vAlign w:val="center"/>
                </w:tcPr>
                <w:p w14:paraId="4080758B">
                  <w:pPr>
                    <w:pStyle w:val="46"/>
                    <w:bidi w:val="0"/>
                    <w:rPr>
                      <w:rFonts w:hint="default" w:ascii="Times New Roman" w:hAnsi="Times New Roman" w:cs="Times New Roman"/>
                      <w:color w:val="auto"/>
                      <w:lang w:val="en-US" w:eastAsia="zh-CN"/>
                    </w:rPr>
                  </w:pPr>
                  <w:r>
                    <w:rPr>
                      <w:rFonts w:hint="eastAsia" w:cs="Times New Roman"/>
                      <w:color w:val="auto"/>
                      <w:lang w:val="en-US" w:eastAsia="zh-CN"/>
                    </w:rPr>
                    <w:t>数量</w:t>
                  </w:r>
                  <w:r>
                    <w:rPr>
                      <w:rFonts w:hint="default" w:ascii="Times New Roman" w:hAnsi="Times New Roman" w:cs="Times New Roman"/>
                      <w:color w:val="auto"/>
                      <w:lang w:val="en-US" w:eastAsia="zh-CN"/>
                    </w:rPr>
                    <w:t>t/a</w:t>
                  </w:r>
                </w:p>
              </w:tc>
              <w:tc>
                <w:tcPr>
                  <w:tcW w:w="1410" w:type="pct"/>
                  <w:tcBorders>
                    <w:tl2br w:val="nil"/>
                    <w:tr2bl w:val="nil"/>
                  </w:tcBorders>
                  <w:noWrap w:val="0"/>
                  <w:tcMar>
                    <w:top w:w="0" w:type="dxa"/>
                    <w:left w:w="108" w:type="dxa"/>
                    <w:bottom w:w="0" w:type="dxa"/>
                    <w:right w:w="108" w:type="dxa"/>
                  </w:tcMar>
                  <w:vAlign w:val="center"/>
                </w:tcPr>
                <w:p w14:paraId="550FA38B">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名称</w:t>
                  </w:r>
                </w:p>
              </w:tc>
              <w:tc>
                <w:tcPr>
                  <w:tcW w:w="1104" w:type="pct"/>
                  <w:tcBorders>
                    <w:tl2br w:val="nil"/>
                    <w:tr2bl w:val="nil"/>
                  </w:tcBorders>
                  <w:noWrap w:val="0"/>
                  <w:tcMar>
                    <w:top w:w="0" w:type="dxa"/>
                    <w:left w:w="108" w:type="dxa"/>
                    <w:bottom w:w="0" w:type="dxa"/>
                    <w:right w:w="108" w:type="dxa"/>
                  </w:tcMar>
                  <w:vAlign w:val="center"/>
                </w:tcPr>
                <w:p w14:paraId="658914D8">
                  <w:pPr>
                    <w:pStyle w:val="46"/>
                    <w:bidi w:val="0"/>
                    <w:rPr>
                      <w:rFonts w:hint="default" w:ascii="Times New Roman" w:hAnsi="Times New Roman" w:cs="Times New Roman"/>
                      <w:color w:val="auto"/>
                      <w:lang w:val="en-US" w:eastAsia="zh-CN"/>
                    </w:rPr>
                  </w:pPr>
                  <w:r>
                    <w:rPr>
                      <w:rFonts w:hint="eastAsia" w:cs="Times New Roman"/>
                      <w:color w:val="auto"/>
                      <w:lang w:val="en-US" w:eastAsia="zh-CN"/>
                    </w:rPr>
                    <w:t>数量</w:t>
                  </w:r>
                  <w:r>
                    <w:rPr>
                      <w:rFonts w:hint="default" w:ascii="Times New Roman" w:hAnsi="Times New Roman" w:cs="Times New Roman"/>
                      <w:color w:val="auto"/>
                      <w:lang w:val="en-US" w:eastAsia="zh-CN"/>
                    </w:rPr>
                    <w:t>t/a</w:t>
                  </w:r>
                </w:p>
              </w:tc>
            </w:tr>
            <w:tr w14:paraId="15A86E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6D3DA6C4">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熟料</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7AD0BB63">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lang w:val="en-US" w:eastAsia="zh-CN"/>
                    </w:rPr>
                    <w:t>1550000</w:t>
                  </w:r>
                </w:p>
              </w:tc>
              <w:tc>
                <w:tcPr>
                  <w:tcW w:w="1410" w:type="pct"/>
                  <w:tcBorders>
                    <w:tl2br w:val="nil"/>
                    <w:tr2bl w:val="nil"/>
                  </w:tcBorders>
                  <w:noWrap w:val="0"/>
                  <w:tcMar>
                    <w:top w:w="0" w:type="dxa"/>
                    <w:left w:w="108" w:type="dxa"/>
                    <w:bottom w:w="0" w:type="dxa"/>
                    <w:right w:w="108" w:type="dxa"/>
                  </w:tcMar>
                  <w:vAlign w:val="center"/>
                </w:tcPr>
                <w:p w14:paraId="736C5D33">
                  <w:pPr>
                    <w:pStyle w:val="46"/>
                    <w:bidi w:val="0"/>
                    <w:rPr>
                      <w:rFonts w:hint="default" w:ascii="Times New Roman" w:hAnsi="Times New Roman" w:cs="Times New Roman"/>
                      <w:color w:val="auto"/>
                      <w:lang w:val="en-US" w:eastAsia="zh-CN"/>
                    </w:rPr>
                  </w:pPr>
                  <w:r>
                    <w:rPr>
                      <w:rFonts w:hint="eastAsia" w:cs="Times New Roman"/>
                      <w:color w:val="auto"/>
                      <w:lang w:val="en-US" w:eastAsia="zh-CN"/>
                    </w:rPr>
                    <w:t>水泥</w:t>
                  </w:r>
                </w:p>
              </w:tc>
              <w:tc>
                <w:tcPr>
                  <w:tcW w:w="1104" w:type="pct"/>
                  <w:tcBorders>
                    <w:tl2br w:val="nil"/>
                    <w:tr2bl w:val="nil"/>
                  </w:tcBorders>
                  <w:noWrap w:val="0"/>
                  <w:tcMar>
                    <w:top w:w="0" w:type="dxa"/>
                    <w:left w:w="108" w:type="dxa"/>
                    <w:bottom w:w="0" w:type="dxa"/>
                    <w:right w:w="108" w:type="dxa"/>
                  </w:tcMar>
                  <w:vAlign w:val="center"/>
                </w:tcPr>
                <w:p w14:paraId="30DB5C00">
                  <w:pPr>
                    <w:pStyle w:val="46"/>
                    <w:bidi w:val="0"/>
                    <w:rPr>
                      <w:rFonts w:hint="default" w:ascii="Times New Roman" w:hAnsi="Times New Roman" w:cs="Times New Roman"/>
                      <w:color w:val="auto"/>
                      <w:lang w:val="en-US" w:eastAsia="zh-CN"/>
                    </w:rPr>
                  </w:pPr>
                  <w:r>
                    <w:rPr>
                      <w:rFonts w:hint="eastAsia" w:cs="Times New Roman"/>
                      <w:color w:val="auto"/>
                      <w:lang w:val="en-US" w:eastAsia="zh-CN"/>
                    </w:rPr>
                    <w:t>2200000</w:t>
                  </w:r>
                </w:p>
              </w:tc>
            </w:tr>
            <w:tr w14:paraId="284533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1ED27445">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粉煤灰</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67F9E973">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380000</w:t>
                  </w:r>
                </w:p>
              </w:tc>
              <w:tc>
                <w:tcPr>
                  <w:tcW w:w="1410" w:type="pct"/>
                  <w:tcBorders>
                    <w:tl2br w:val="nil"/>
                    <w:tr2bl w:val="nil"/>
                  </w:tcBorders>
                  <w:noWrap w:val="0"/>
                  <w:tcMar>
                    <w:top w:w="0" w:type="dxa"/>
                    <w:left w:w="108" w:type="dxa"/>
                    <w:bottom w:w="0" w:type="dxa"/>
                    <w:right w:w="108" w:type="dxa"/>
                  </w:tcMar>
                  <w:vAlign w:val="center"/>
                </w:tcPr>
                <w:p w14:paraId="680DE6DF">
                  <w:pPr>
                    <w:pStyle w:val="46"/>
                    <w:bidi w:val="0"/>
                    <w:rPr>
                      <w:rFonts w:hint="default" w:ascii="Times New Roman" w:hAnsi="Times New Roman" w:cs="Times New Roman"/>
                      <w:color w:val="auto"/>
                      <w:lang w:val="en-US" w:eastAsia="zh-CN"/>
                    </w:rPr>
                  </w:pPr>
                  <w:r>
                    <w:rPr>
                      <w:rFonts w:hint="eastAsia" w:cs="Times New Roman"/>
                      <w:color w:val="auto"/>
                      <w:lang w:val="en-US" w:eastAsia="zh-CN"/>
                    </w:rPr>
                    <w:t>损失（粉尘排放损失等）</w:t>
                  </w:r>
                </w:p>
              </w:tc>
              <w:tc>
                <w:tcPr>
                  <w:tcW w:w="1104" w:type="pct"/>
                  <w:tcBorders>
                    <w:tl2br w:val="nil"/>
                    <w:tr2bl w:val="nil"/>
                  </w:tcBorders>
                  <w:noWrap w:val="0"/>
                  <w:tcMar>
                    <w:top w:w="0" w:type="dxa"/>
                    <w:left w:w="108" w:type="dxa"/>
                    <w:bottom w:w="0" w:type="dxa"/>
                    <w:right w:w="108" w:type="dxa"/>
                  </w:tcMar>
                  <w:vAlign w:val="center"/>
                </w:tcPr>
                <w:p w14:paraId="4218B99E">
                  <w:pPr>
                    <w:pStyle w:val="46"/>
                    <w:bidi w:val="0"/>
                    <w:rPr>
                      <w:rFonts w:hint="default" w:ascii="Times New Roman" w:hAnsi="Times New Roman" w:cs="Times New Roman"/>
                      <w:color w:val="auto"/>
                      <w:lang w:val="en-US" w:eastAsia="zh-CN"/>
                    </w:rPr>
                  </w:pPr>
                  <w:r>
                    <w:rPr>
                      <w:rFonts w:hint="eastAsia" w:cs="Times New Roman"/>
                      <w:color w:val="auto"/>
                      <w:lang w:val="en-US" w:eastAsia="zh-CN"/>
                    </w:rPr>
                    <w:t>15000</w:t>
                  </w:r>
                </w:p>
              </w:tc>
            </w:tr>
            <w:tr w14:paraId="573E11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2"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4471C198">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石灰石</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50C30EE9">
                  <w:pPr>
                    <w:pStyle w:val="43"/>
                    <w:bidi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45000</w:t>
                  </w:r>
                </w:p>
              </w:tc>
              <w:tc>
                <w:tcPr>
                  <w:tcW w:w="2514" w:type="pct"/>
                  <w:gridSpan w:val="2"/>
                  <w:vMerge w:val="restart"/>
                  <w:tcBorders>
                    <w:tl2br w:val="nil"/>
                    <w:tr2bl w:val="nil"/>
                  </w:tcBorders>
                  <w:noWrap w:val="0"/>
                  <w:tcMar>
                    <w:top w:w="0" w:type="dxa"/>
                    <w:left w:w="108" w:type="dxa"/>
                    <w:bottom w:w="0" w:type="dxa"/>
                    <w:right w:w="108" w:type="dxa"/>
                  </w:tcMar>
                  <w:vAlign w:val="center"/>
                </w:tcPr>
                <w:p w14:paraId="20F156A3">
                  <w:pPr>
                    <w:pStyle w:val="46"/>
                    <w:bidi w:val="0"/>
                    <w:rPr>
                      <w:rFonts w:hint="default" w:ascii="Times New Roman" w:hAnsi="Times New Roman" w:cs="Times New Roman"/>
                      <w:color w:val="auto"/>
                      <w:lang w:val="en-US" w:eastAsia="zh-CN"/>
                    </w:rPr>
                  </w:pPr>
                  <w:r>
                    <w:rPr>
                      <w:rFonts w:hint="eastAsia" w:cs="Times New Roman"/>
                      <w:color w:val="auto"/>
                      <w:lang w:val="en-US" w:eastAsia="zh-CN"/>
                    </w:rPr>
                    <w:t>/</w:t>
                  </w:r>
                </w:p>
              </w:tc>
            </w:tr>
            <w:tr w14:paraId="098061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7A45FF29">
                  <w:pPr>
                    <w:pStyle w:val="43"/>
                    <w:bidi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脱硫石膏</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2D332316">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90000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4F1E4F27">
                  <w:pPr>
                    <w:pStyle w:val="46"/>
                    <w:bidi w:val="0"/>
                    <w:rPr>
                      <w:rFonts w:hint="default" w:ascii="Times New Roman" w:hAnsi="Times New Roman" w:cs="Times New Roman"/>
                      <w:color w:val="auto"/>
                      <w:lang w:val="en-US" w:eastAsia="zh-CN"/>
                    </w:rPr>
                  </w:pPr>
                </w:p>
              </w:tc>
            </w:tr>
            <w:tr w14:paraId="07D511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59DF008B">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磷石膏</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0D54D998">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17000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5F3DD867">
                  <w:pPr>
                    <w:pStyle w:val="46"/>
                    <w:bidi w:val="0"/>
                    <w:rPr>
                      <w:rFonts w:hint="default" w:ascii="Times New Roman" w:hAnsi="Times New Roman" w:cs="Times New Roman"/>
                      <w:color w:val="auto"/>
                      <w:lang w:val="en-US" w:eastAsia="zh-CN"/>
                    </w:rPr>
                  </w:pPr>
                </w:p>
              </w:tc>
            </w:tr>
            <w:tr w14:paraId="26690C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1D7F680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钛石膏</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4B264058">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1ACA40BE">
                  <w:pPr>
                    <w:pStyle w:val="46"/>
                    <w:bidi w:val="0"/>
                    <w:rPr>
                      <w:rFonts w:hint="default" w:ascii="Times New Roman" w:hAnsi="Times New Roman" w:cs="Times New Roman"/>
                      <w:color w:val="auto"/>
                      <w:lang w:val="en-US" w:eastAsia="zh-CN"/>
                    </w:rPr>
                  </w:pPr>
                </w:p>
              </w:tc>
            </w:tr>
            <w:tr w14:paraId="28D8E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246DD277">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氟石膏</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7A47E601">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500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717BF17E">
                  <w:pPr>
                    <w:pStyle w:val="46"/>
                    <w:bidi w:val="0"/>
                    <w:rPr>
                      <w:rFonts w:hint="default" w:ascii="Times New Roman" w:hAnsi="Times New Roman" w:cs="Times New Roman"/>
                      <w:color w:val="auto"/>
                      <w:lang w:val="en-US" w:eastAsia="zh-CN"/>
                    </w:rPr>
                  </w:pPr>
                </w:p>
              </w:tc>
            </w:tr>
            <w:tr w14:paraId="04B4D9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70F3FF50">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水渣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7253CE74">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800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638AD9DB">
                  <w:pPr>
                    <w:pStyle w:val="46"/>
                    <w:bidi w:val="0"/>
                    <w:rPr>
                      <w:rFonts w:hint="default" w:ascii="Times New Roman" w:hAnsi="Times New Roman" w:cs="Times New Roman"/>
                      <w:color w:val="auto"/>
                      <w:lang w:val="en-US" w:eastAsia="zh-CN"/>
                    </w:rPr>
                  </w:pPr>
                </w:p>
              </w:tc>
            </w:tr>
            <w:tr w14:paraId="5D2AA3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66E3901C">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炉渣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0E0DBF82">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058ECCFA">
                  <w:pPr>
                    <w:pStyle w:val="46"/>
                    <w:bidi w:val="0"/>
                    <w:rPr>
                      <w:rFonts w:hint="default" w:ascii="Times New Roman" w:hAnsi="Times New Roman" w:cs="Times New Roman"/>
                      <w:color w:val="auto"/>
                      <w:lang w:val="en-US" w:eastAsia="zh-CN"/>
                    </w:rPr>
                  </w:pPr>
                </w:p>
              </w:tc>
            </w:tr>
            <w:tr w14:paraId="2C1A9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514B35B3">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矿渣粉（高炉渣）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60BF9AF4">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120000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0D3441DA">
                  <w:pPr>
                    <w:pStyle w:val="46"/>
                    <w:bidi w:val="0"/>
                    <w:rPr>
                      <w:rFonts w:hint="default" w:ascii="Times New Roman" w:hAnsi="Times New Roman" w:cs="Times New Roman"/>
                      <w:color w:val="auto"/>
                      <w:lang w:val="en-US" w:eastAsia="zh-CN"/>
                    </w:rPr>
                  </w:pPr>
                </w:p>
              </w:tc>
            </w:tr>
            <w:tr w14:paraId="61532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4B47D698">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电炉渣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486480D2">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600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7DCCD7F7">
                  <w:pPr>
                    <w:pStyle w:val="46"/>
                    <w:bidi w:val="0"/>
                    <w:rPr>
                      <w:rFonts w:hint="default" w:ascii="Times New Roman" w:hAnsi="Times New Roman" w:cs="Times New Roman"/>
                      <w:color w:val="auto"/>
                      <w:lang w:val="en-US" w:eastAsia="zh-CN"/>
                    </w:rPr>
                  </w:pPr>
                </w:p>
              </w:tc>
            </w:tr>
            <w:tr w14:paraId="4A875E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1289" w:type="pct"/>
                  <w:tcBorders>
                    <w:tl2br w:val="nil"/>
                    <w:tr2bl w:val="nil"/>
                  </w:tcBorders>
                  <w:shd w:val="clear" w:color="auto" w:fill="FFFFFF" w:themeFill="background1"/>
                  <w:noWrap w:val="0"/>
                  <w:tcMar>
                    <w:top w:w="0" w:type="dxa"/>
                    <w:left w:w="108" w:type="dxa"/>
                    <w:bottom w:w="0" w:type="dxa"/>
                    <w:right w:w="108" w:type="dxa"/>
                  </w:tcMar>
                  <w:vAlign w:val="center"/>
                </w:tcPr>
                <w:p w14:paraId="7E598A69">
                  <w:pPr>
                    <w:pStyle w:val="43"/>
                    <w:bidi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冶炼废渣</w:t>
                  </w:r>
                </w:p>
              </w:tc>
              <w:tc>
                <w:tcPr>
                  <w:tcW w:w="1195" w:type="pct"/>
                  <w:tcBorders>
                    <w:tl2br w:val="nil"/>
                    <w:tr2bl w:val="nil"/>
                  </w:tcBorders>
                  <w:shd w:val="clear" w:color="auto" w:fill="FFFFFF" w:themeFill="background1"/>
                  <w:noWrap w:val="0"/>
                  <w:tcMar>
                    <w:top w:w="0" w:type="dxa"/>
                    <w:left w:w="108" w:type="dxa"/>
                    <w:bottom w:w="0" w:type="dxa"/>
                    <w:right w:w="108" w:type="dxa"/>
                  </w:tcMar>
                  <w:vAlign w:val="center"/>
                </w:tcPr>
                <w:p w14:paraId="068D623C">
                  <w:pPr>
                    <w:pStyle w:val="43"/>
                    <w:bidi w:val="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2"/>
                      <w:sz w:val="21"/>
                      <w:szCs w:val="21"/>
                      <w:lang w:val="en-US" w:eastAsia="zh-CN" w:bidi="ar-SA"/>
                    </w:rPr>
                    <w:t>600</w:t>
                  </w:r>
                </w:p>
              </w:tc>
              <w:tc>
                <w:tcPr>
                  <w:tcW w:w="2514" w:type="pct"/>
                  <w:gridSpan w:val="2"/>
                  <w:vMerge w:val="continue"/>
                  <w:tcBorders>
                    <w:tl2br w:val="nil"/>
                    <w:tr2bl w:val="nil"/>
                  </w:tcBorders>
                  <w:noWrap w:val="0"/>
                  <w:tcMar>
                    <w:top w:w="0" w:type="dxa"/>
                    <w:left w:w="108" w:type="dxa"/>
                    <w:bottom w:w="0" w:type="dxa"/>
                    <w:right w:w="108" w:type="dxa"/>
                  </w:tcMar>
                  <w:vAlign w:val="center"/>
                </w:tcPr>
                <w:p w14:paraId="06624199">
                  <w:pPr>
                    <w:pStyle w:val="46"/>
                    <w:bidi w:val="0"/>
                    <w:rPr>
                      <w:rFonts w:hint="default" w:ascii="Times New Roman" w:hAnsi="Times New Roman" w:cs="Times New Roman"/>
                      <w:color w:val="auto"/>
                      <w:lang w:val="en-US" w:eastAsia="zh-CN"/>
                    </w:rPr>
                  </w:pPr>
                </w:p>
              </w:tc>
            </w:tr>
            <w:tr w14:paraId="3F6B3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1289" w:type="pct"/>
                  <w:tcBorders>
                    <w:tl2br w:val="nil"/>
                    <w:tr2bl w:val="nil"/>
                  </w:tcBorders>
                  <w:noWrap w:val="0"/>
                  <w:tcMar>
                    <w:top w:w="0" w:type="dxa"/>
                    <w:left w:w="108" w:type="dxa"/>
                    <w:bottom w:w="0" w:type="dxa"/>
                    <w:right w:w="108" w:type="dxa"/>
                  </w:tcMar>
                  <w:vAlign w:val="center"/>
                </w:tcPr>
                <w:p w14:paraId="414E0CE7">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合计</w:t>
                  </w:r>
                </w:p>
              </w:tc>
              <w:tc>
                <w:tcPr>
                  <w:tcW w:w="1195" w:type="pct"/>
                  <w:tcBorders>
                    <w:tl2br w:val="nil"/>
                    <w:tr2bl w:val="nil"/>
                  </w:tcBorders>
                  <w:noWrap w:val="0"/>
                  <w:tcMar>
                    <w:top w:w="0" w:type="dxa"/>
                    <w:left w:w="108" w:type="dxa"/>
                    <w:bottom w:w="0" w:type="dxa"/>
                    <w:right w:w="108" w:type="dxa"/>
                  </w:tcMar>
                  <w:vAlign w:val="center"/>
                </w:tcPr>
                <w:p w14:paraId="296E8721">
                  <w:pPr>
                    <w:pStyle w:val="46"/>
                    <w:bidi w:val="0"/>
                    <w:rPr>
                      <w:rFonts w:hint="default" w:ascii="Times New Roman" w:hAnsi="Times New Roman" w:cs="Times New Roman"/>
                      <w:color w:val="auto"/>
                      <w:lang w:val="en-US" w:eastAsia="zh-CN"/>
                    </w:rPr>
                  </w:pPr>
                  <w:r>
                    <w:rPr>
                      <w:rFonts w:hint="eastAsia" w:cs="Times New Roman"/>
                      <w:color w:val="auto"/>
                      <w:lang w:val="en-US" w:eastAsia="zh-CN"/>
                    </w:rPr>
                    <w:t>2215000</w:t>
                  </w:r>
                </w:p>
              </w:tc>
              <w:tc>
                <w:tcPr>
                  <w:tcW w:w="1410" w:type="pct"/>
                  <w:tcBorders>
                    <w:tl2br w:val="nil"/>
                    <w:tr2bl w:val="nil"/>
                  </w:tcBorders>
                  <w:noWrap w:val="0"/>
                  <w:tcMar>
                    <w:top w:w="0" w:type="dxa"/>
                    <w:left w:w="108" w:type="dxa"/>
                    <w:bottom w:w="0" w:type="dxa"/>
                    <w:right w:w="108" w:type="dxa"/>
                  </w:tcMar>
                  <w:vAlign w:val="center"/>
                </w:tcPr>
                <w:p w14:paraId="4BB876D0">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合计</w:t>
                  </w:r>
                </w:p>
              </w:tc>
              <w:tc>
                <w:tcPr>
                  <w:tcW w:w="1104" w:type="pct"/>
                  <w:tcBorders>
                    <w:tl2br w:val="nil"/>
                    <w:tr2bl w:val="nil"/>
                  </w:tcBorders>
                  <w:noWrap w:val="0"/>
                  <w:tcMar>
                    <w:top w:w="0" w:type="dxa"/>
                    <w:left w:w="108" w:type="dxa"/>
                    <w:bottom w:w="0" w:type="dxa"/>
                    <w:right w:w="108" w:type="dxa"/>
                  </w:tcMar>
                  <w:vAlign w:val="center"/>
                </w:tcPr>
                <w:p w14:paraId="28FCC177">
                  <w:pPr>
                    <w:pStyle w:val="46"/>
                    <w:bidi w:val="0"/>
                    <w:rPr>
                      <w:rFonts w:hint="default" w:ascii="Times New Roman" w:hAnsi="Times New Roman" w:cs="Times New Roman"/>
                      <w:color w:val="auto"/>
                      <w:lang w:val="en-US" w:eastAsia="zh-CN"/>
                    </w:rPr>
                  </w:pPr>
                  <w:r>
                    <w:rPr>
                      <w:rFonts w:hint="eastAsia" w:cs="Times New Roman"/>
                      <w:color w:val="auto"/>
                      <w:lang w:val="en-US" w:eastAsia="zh-CN"/>
                    </w:rPr>
                    <w:t>2215000</w:t>
                  </w:r>
                </w:p>
              </w:tc>
            </w:tr>
          </w:tbl>
          <w:p w14:paraId="64E4F9B2">
            <w:pPr>
              <w:pStyle w:val="4"/>
              <w:pageBreakBefore w:val="0"/>
              <w:widowControl w:val="0"/>
              <w:numPr>
                <w:ilvl w:val="0"/>
                <w:numId w:val="0"/>
              </w:numPr>
              <w:kinsoku/>
              <w:wordWrap/>
              <w:overflowPunct/>
              <w:topLinePunct w:val="0"/>
              <w:autoSpaceDE/>
              <w:autoSpaceDN/>
              <w:bidi w:val="0"/>
              <w:snapToGrid/>
              <w:ind w:leftChars="0" w:firstLine="482" w:firstLineChars="200"/>
              <w:textAlignment w:val="auto"/>
              <w:rPr>
                <w:rFonts w:hint="default" w:ascii="Times New Roman" w:hAnsi="Times New Roman" w:cs="Times New Roman"/>
                <w:color w:val="auto"/>
                <w:highlight w:val="none"/>
                <w:lang w:val="en-US" w:eastAsia="zh-CN"/>
              </w:rPr>
            </w:pPr>
            <w:r>
              <w:rPr>
                <w:rFonts w:hint="eastAsia" w:eastAsia="宋体" w:cs="Times New Roman"/>
                <w:b/>
                <w:bCs w:val="0"/>
                <w:color w:val="auto"/>
                <w:lang w:val="en-US" w:eastAsia="zh-CN"/>
              </w:rPr>
              <w:t>3、重金属投加量及重金属</w:t>
            </w:r>
            <w:r>
              <w:rPr>
                <w:rFonts w:hint="default" w:ascii="Times New Roman" w:hAnsi="Times New Roman" w:eastAsia="宋体" w:cs="Times New Roman"/>
                <w:b/>
                <w:bCs w:val="0"/>
                <w:color w:val="auto"/>
                <w:lang w:val="en-US" w:eastAsia="zh-CN"/>
              </w:rPr>
              <w:t>平衡</w:t>
            </w:r>
            <w:r>
              <w:rPr>
                <w:rFonts w:hint="eastAsia" w:eastAsia="宋体" w:cs="Times New Roman"/>
                <w:b/>
                <w:bCs w:val="0"/>
                <w:color w:val="auto"/>
                <w:lang w:val="en-US" w:eastAsia="zh-CN"/>
              </w:rPr>
              <w:t>分析</w:t>
            </w:r>
          </w:p>
          <w:p w14:paraId="75438CF0">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（1）重金属投加量分析</w:t>
            </w:r>
          </w:p>
          <w:p w14:paraId="2F4D2B16">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根据《水泥窑协同处置固体废物环境保护技术规范》（HJ662-2013），重金属投加量及投加速率计算公式如下：</w:t>
            </w:r>
          </w:p>
          <w:p w14:paraId="19308BC5">
            <w:pPr>
              <w:pStyle w:val="87"/>
              <w:numPr>
                <w:ilvl w:val="0"/>
                <w:numId w:val="0"/>
              </w:numPr>
              <w:ind w:leftChars="0"/>
              <w:jc w:val="center"/>
              <w:rPr>
                <w:rFonts w:hint="default" w:ascii="Times New Roman" w:hAnsi="Times New Roman" w:cs="Times New Roman"/>
                <w:bCs/>
                <w:color w:val="auto"/>
                <w:lang w:val="en-US" w:eastAsia="zh-CN"/>
              </w:rPr>
            </w:pPr>
            <w:r>
              <w:rPr>
                <w:rFonts w:hint="default" w:ascii="Times New Roman" w:hAnsi="Times New Roman" w:cs="Times New Roman"/>
                <w:color w:val="auto"/>
              </w:rPr>
              <w:drawing>
                <wp:inline distT="0" distB="0" distL="114300" distR="114300">
                  <wp:extent cx="4189730" cy="779780"/>
                  <wp:effectExtent l="0" t="0" r="1270" b="1270"/>
                  <wp:docPr id="4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2"/>
                          <pic:cNvPicPr>
                            <a:picLocks noChangeAspect="1"/>
                          </pic:cNvPicPr>
                        </pic:nvPicPr>
                        <pic:blipFill>
                          <a:blip r:embed="rId10"/>
                          <a:stretch>
                            <a:fillRect/>
                          </a:stretch>
                        </pic:blipFill>
                        <pic:spPr>
                          <a:xfrm>
                            <a:off x="0" y="0"/>
                            <a:ext cx="4189730" cy="779780"/>
                          </a:xfrm>
                          <a:prstGeom prst="rect">
                            <a:avLst/>
                          </a:prstGeom>
                          <a:noFill/>
                          <a:ln>
                            <a:noFill/>
                          </a:ln>
                        </pic:spPr>
                      </pic:pic>
                    </a:graphicData>
                  </a:graphic>
                </wp:inline>
              </w:drawing>
            </w:r>
          </w:p>
          <w:p w14:paraId="6A72EA71">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式中：FM</w:t>
            </w:r>
            <w:r>
              <w:rPr>
                <w:rFonts w:hint="default" w:ascii="Times New Roman" w:hAnsi="Times New Roman" w:cs="Times New Roman"/>
                <w:color w:val="auto"/>
                <w:vertAlign w:val="subscript"/>
                <w:lang w:val="en-US" w:eastAsia="zh-CN"/>
              </w:rPr>
              <w:t>hm-cli</w:t>
            </w:r>
            <w:r>
              <w:rPr>
                <w:rFonts w:hint="default" w:ascii="Times New Roman" w:hAnsi="Times New Roman" w:cs="Times New Roman"/>
                <w:color w:val="auto"/>
                <w:lang w:val="en-US" w:eastAsia="zh-CN"/>
              </w:rPr>
              <w:t>为重金属的单位熟料投加量，即入窑重金属的投加量，不包括由混合材带入的重金属，mg/kg-cli；</w:t>
            </w:r>
          </w:p>
          <w:p w14:paraId="74745D7B">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w</w:t>
            </w: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f</w:t>
            </w: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分别为固体废物、常规燃料和常规原料的重金属含量，mg/kg；</w:t>
            </w:r>
          </w:p>
          <w:p w14:paraId="34187623">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w</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f</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分别为单位时间内固体废物、常规燃料、常规原料的投加量，</w:t>
            </w:r>
          </w:p>
          <w:p w14:paraId="3A17D294">
            <w:pPr>
              <w:bidi w:val="0"/>
              <w:rPr>
                <w:rFonts w:hint="default" w:ascii="Times New Roman" w:hAnsi="Times New Roman" w:cs="Times New Roman"/>
                <w:color w:val="auto"/>
              </w:rPr>
            </w:pPr>
            <w:r>
              <w:rPr>
                <w:rFonts w:hint="default" w:ascii="Times New Roman" w:hAnsi="Times New Roman" w:cs="Times New Roman"/>
                <w:color w:val="auto"/>
                <w:lang w:val="en-US" w:eastAsia="zh-CN"/>
              </w:rPr>
              <w:t>kg/h；</w:t>
            </w:r>
          </w:p>
          <w:p w14:paraId="5134214C">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cli</w:t>
            </w:r>
            <w:r>
              <w:rPr>
                <w:rFonts w:hint="default" w:ascii="Times New Roman" w:hAnsi="Times New Roman" w:cs="Times New Roman"/>
                <w:color w:val="auto"/>
                <w:lang w:val="en-US" w:eastAsia="zh-CN"/>
              </w:rPr>
              <w:t>为单位时间的熟料产量，kg/h；</w:t>
            </w:r>
          </w:p>
          <w:p w14:paraId="5603C64C">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FR</w:t>
            </w:r>
            <w:r>
              <w:rPr>
                <w:rFonts w:hint="default" w:ascii="Times New Roman" w:hAnsi="Times New Roman" w:cs="Times New Roman"/>
                <w:color w:val="auto"/>
                <w:vertAlign w:val="subscript"/>
                <w:lang w:val="en-US" w:eastAsia="zh-CN"/>
              </w:rPr>
              <w:t>hm-cli</w:t>
            </w:r>
            <w:r>
              <w:rPr>
                <w:rFonts w:hint="default" w:ascii="Times New Roman" w:hAnsi="Times New Roman" w:cs="Times New Roman"/>
                <w:color w:val="auto"/>
                <w:lang w:val="en-US" w:eastAsia="zh-CN"/>
              </w:rPr>
              <w:t>为入窑重金属的投加速率，不包括由混合材带入的重金属，mg/h。</w:t>
            </w:r>
          </w:p>
          <w:p w14:paraId="627AD253">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对于HJ662-2013表1中单位为mg/kg-cem的重金属量，重金属投加量和投加速率的计算</w:t>
            </w:r>
            <w:r>
              <w:rPr>
                <w:rFonts w:hint="eastAsia" w:cs="Times New Roman"/>
                <w:color w:val="auto"/>
                <w:lang w:val="en-US" w:eastAsia="zh-CN"/>
              </w:rPr>
              <w:t>公式</w:t>
            </w:r>
            <w:r>
              <w:rPr>
                <w:rFonts w:hint="default" w:ascii="Times New Roman" w:hAnsi="Times New Roman" w:cs="Times New Roman"/>
                <w:color w:val="auto"/>
                <w:lang w:val="en-US" w:eastAsia="zh-CN"/>
              </w:rPr>
              <w:t>如下：</w:t>
            </w:r>
          </w:p>
          <w:p w14:paraId="72CB24A9">
            <w:pPr>
              <w:bidi w:val="0"/>
              <w:jc w:val="center"/>
              <w:rPr>
                <w:rFonts w:hint="default" w:ascii="Times New Roman" w:hAnsi="Times New Roman" w:cs="Times New Roman"/>
                <w:color w:val="auto"/>
                <w:lang w:val="en-US" w:eastAsia="zh-CN"/>
              </w:rPr>
            </w:pPr>
            <w:r>
              <w:drawing>
                <wp:inline distT="0" distB="0" distL="114300" distR="114300">
                  <wp:extent cx="5022850" cy="1405255"/>
                  <wp:effectExtent l="0" t="0" r="635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022850" cy="1405255"/>
                          </a:xfrm>
                          <a:prstGeom prst="rect">
                            <a:avLst/>
                          </a:prstGeom>
                          <a:noFill/>
                          <a:ln>
                            <a:noFill/>
                          </a:ln>
                        </pic:spPr>
                      </pic:pic>
                    </a:graphicData>
                  </a:graphic>
                </wp:inline>
              </w:drawing>
            </w:r>
          </w:p>
          <w:p w14:paraId="0CA33B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式中：</w:t>
            </w:r>
          </w:p>
          <w:p w14:paraId="71F52A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FM</w:t>
            </w:r>
            <w:r>
              <w:rPr>
                <w:rFonts w:hint="default" w:ascii="Times New Roman" w:hAnsi="Times New Roman" w:cs="Times New Roman"/>
                <w:color w:val="auto"/>
                <w:vertAlign w:val="subscript"/>
                <w:lang w:val="en-US" w:eastAsia="zh-CN"/>
              </w:rPr>
              <w:t>hm-ce</w:t>
            </w:r>
            <w:r>
              <w:rPr>
                <w:rFonts w:hint="default" w:ascii="Times New Roman" w:hAnsi="Times New Roman" w:cs="Times New Roman"/>
                <w:color w:val="auto"/>
                <w:lang w:val="en-US" w:eastAsia="zh-CN"/>
              </w:rPr>
              <w:t>—为重金属的单位水泥投加量，包括由混合材带入的重金属，mg/kg-cem；</w:t>
            </w:r>
          </w:p>
          <w:p w14:paraId="22EFD7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w</w:t>
            </w: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f</w:t>
            </w: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mi</w:t>
            </w:r>
            <w:r>
              <w:rPr>
                <w:rFonts w:hint="default" w:ascii="Times New Roman" w:hAnsi="Times New Roman" w:cs="Times New Roman"/>
                <w:color w:val="auto"/>
                <w:lang w:val="en-US" w:eastAsia="zh-CN"/>
              </w:rPr>
              <w:t>—分别为固体废物、常规燃料、常规原料、混合材中的重金属含量，mg/kg；</w:t>
            </w:r>
          </w:p>
          <w:p w14:paraId="73DFB7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w</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f</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—分别为单位时间内固体废物、常规燃料、常规原料的投加量，kg/h；</w:t>
            </w:r>
          </w:p>
          <w:p w14:paraId="68AB62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cli</w:t>
            </w:r>
            <w:r>
              <w:rPr>
                <w:rFonts w:hint="default" w:ascii="Times New Roman" w:hAnsi="Times New Roman" w:cs="Times New Roman"/>
                <w:color w:val="auto"/>
                <w:lang w:val="en-US" w:eastAsia="zh-CN"/>
              </w:rPr>
              <w:t>——为单位时间的熟料产量，kg/h。</w:t>
            </w:r>
          </w:p>
          <w:p w14:paraId="57ADED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R</w:t>
            </w:r>
            <w:r>
              <w:rPr>
                <w:rFonts w:hint="default" w:ascii="Times New Roman" w:hAnsi="Times New Roman" w:cs="Times New Roman"/>
                <w:color w:val="auto"/>
                <w:vertAlign w:val="subscript"/>
                <w:lang w:val="en-US" w:eastAsia="zh-CN"/>
              </w:rPr>
              <w:t>cli</w:t>
            </w:r>
            <w:r>
              <w:rPr>
                <w:rFonts w:hint="default" w:ascii="Times New Roman" w:hAnsi="Times New Roman" w:cs="Times New Roman"/>
                <w:color w:val="auto"/>
                <w:lang w:val="en-US" w:eastAsia="zh-CN"/>
              </w:rPr>
              <w:t>和R</w:t>
            </w:r>
            <w:r>
              <w:rPr>
                <w:rFonts w:hint="default" w:ascii="Times New Roman" w:hAnsi="Times New Roman" w:cs="Times New Roman"/>
                <w:color w:val="auto"/>
                <w:vertAlign w:val="subscript"/>
                <w:lang w:val="en-US" w:eastAsia="zh-CN"/>
              </w:rPr>
              <w:t>mi</w:t>
            </w:r>
            <w:r>
              <w:rPr>
                <w:rFonts w:hint="default" w:ascii="Times New Roman" w:hAnsi="Times New Roman" w:cs="Times New Roman"/>
                <w:color w:val="auto"/>
                <w:lang w:val="en-US" w:eastAsia="zh-CN"/>
              </w:rPr>
              <w:t>分别为水泥中熟料和混合材的百分比，%;</w:t>
            </w:r>
          </w:p>
          <w:p w14:paraId="5E7111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FR</w:t>
            </w:r>
            <w:r>
              <w:rPr>
                <w:rFonts w:hint="default" w:ascii="Times New Roman" w:hAnsi="Times New Roman" w:cs="Times New Roman"/>
                <w:color w:val="auto"/>
                <w:vertAlign w:val="subscript"/>
                <w:lang w:val="en-US" w:eastAsia="zh-CN"/>
              </w:rPr>
              <w:t>hm-ce</w:t>
            </w:r>
            <w:r>
              <w:rPr>
                <w:rFonts w:hint="default" w:ascii="Times New Roman" w:hAnsi="Times New Roman" w:cs="Times New Roman"/>
                <w:color w:val="auto"/>
                <w:lang w:val="en-US" w:eastAsia="zh-CN"/>
              </w:rPr>
              <w:t>—为重金属的投加速率，包括由混合材带入的重金属，mg/h。</w:t>
            </w:r>
          </w:p>
          <w:p w14:paraId="74BC4375">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FR</w:t>
            </w:r>
            <w:r>
              <w:rPr>
                <w:rFonts w:hint="default" w:ascii="Times New Roman" w:hAnsi="Times New Roman" w:cs="Times New Roman"/>
                <w:color w:val="auto"/>
                <w:vertAlign w:val="subscript"/>
                <w:lang w:val="en-US" w:eastAsia="zh-CN"/>
              </w:rPr>
              <w:t>hm-cli</w:t>
            </w:r>
            <w:r>
              <w:rPr>
                <w:rFonts w:hint="default" w:ascii="Times New Roman" w:hAnsi="Times New Roman" w:cs="Times New Roman"/>
                <w:color w:val="auto"/>
                <w:lang w:val="en-US" w:eastAsia="zh-CN"/>
              </w:rPr>
              <w:t>—为入窑重金属的投加速率，不包括由混合材带入的重金属，mg/h。</w:t>
            </w:r>
          </w:p>
          <w:p w14:paraId="428F84B8">
            <w:pPr>
              <w:bidi w:val="0"/>
              <w:ind w:firstLine="480" w:firstLineChars="200"/>
              <w:rPr>
                <w:rFonts w:hint="default" w:ascii="Times New Roman" w:hAnsi="Times New Roman" w:eastAsia="宋体" w:cs="Times New Roman"/>
                <w:b/>
                <w:bCs w:val="0"/>
                <w:color w:val="auto"/>
              </w:rPr>
            </w:pPr>
            <w:r>
              <w:rPr>
                <w:rFonts w:hint="default" w:ascii="Times New Roman" w:hAnsi="Times New Roman" w:cs="Times New Roman"/>
                <w:color w:val="auto"/>
                <w:lang w:val="en-US" w:eastAsia="zh-CN"/>
              </w:rPr>
              <w:t>根据《水泥窑协同处置固体废物环境保护技术规范》（HJ662-2013）中重金属最大允许投加限值，作为企业入窑固废管理参考标准</w:t>
            </w:r>
            <w:r>
              <w:rPr>
                <w:rFonts w:hint="eastAsia" w:cs="Times New Roman"/>
                <w:color w:val="auto"/>
                <w:lang w:val="en-US" w:eastAsia="zh-CN"/>
              </w:rPr>
              <w:t>。根据项目拟利用固体废物用量表2-5和固体废物成分及重金属元素含量表2-9，同时根据建设单位及可研单位提供的常规原、燃料中重金属含量，计算项目建设后单位熟料重金属投加量见表2-13，单位水泥重金属投加量见表2-14。可以看出，项目建设后重金属的单位熟料投加量、单位水泥投加量均符合</w:t>
            </w:r>
            <w:r>
              <w:rPr>
                <w:rFonts w:hint="default" w:ascii="Times New Roman" w:hAnsi="Times New Roman" w:cs="Times New Roman"/>
                <w:color w:val="auto"/>
                <w:lang w:val="en-US" w:eastAsia="zh-CN"/>
              </w:rPr>
              <w:t>《水泥窑协同处置固体废物环境保护技术规范》（HJ662-2013）中</w:t>
            </w:r>
            <w:r>
              <w:rPr>
                <w:rFonts w:hint="eastAsia" w:cs="Times New Roman"/>
                <w:color w:val="auto"/>
                <w:lang w:val="en-US" w:eastAsia="zh-CN"/>
              </w:rPr>
              <w:t>规定的</w:t>
            </w:r>
            <w:r>
              <w:rPr>
                <w:rFonts w:hint="default" w:ascii="Times New Roman" w:hAnsi="Times New Roman" w:cs="Times New Roman"/>
                <w:color w:val="auto"/>
                <w:lang w:val="en-US" w:eastAsia="zh-CN"/>
              </w:rPr>
              <w:t>重金属最大允许投加限值</w:t>
            </w:r>
            <w:r>
              <w:rPr>
                <w:rFonts w:hint="eastAsia" w:cs="Times New Roman"/>
                <w:color w:val="auto"/>
                <w:lang w:val="en-US" w:eastAsia="zh-CN"/>
              </w:rPr>
              <w:t>。</w:t>
            </w:r>
          </w:p>
          <w:p w14:paraId="23F388DE">
            <w:pPr>
              <w:pStyle w:val="45"/>
              <w:bidi w:val="0"/>
              <w:rPr>
                <w:rFonts w:hint="default" w:ascii="Times New Roman" w:hAnsi="Times New Roman" w:eastAsia="宋体" w:cs="Times New Roman"/>
                <w:b/>
                <w:bCs w:val="0"/>
                <w:color w:val="auto"/>
                <w:lang w:val="en-US"/>
              </w:rPr>
            </w:pPr>
            <w:r>
              <w:rPr>
                <w:rFonts w:hint="default" w:ascii="Times New Roman" w:hAnsi="Times New Roman" w:eastAsia="宋体" w:cs="Times New Roman"/>
                <w:b/>
                <w:bCs w:val="0"/>
                <w:color w:val="auto"/>
              </w:rPr>
              <w:t>表2-</w:t>
            </w:r>
            <w:r>
              <w:rPr>
                <w:rFonts w:hint="default" w:ascii="Times New Roman" w:hAnsi="Times New Roman" w:eastAsia="宋体" w:cs="Times New Roman"/>
                <w:b/>
                <w:bCs w:val="0"/>
                <w:color w:val="auto"/>
                <w:lang w:val="en-US" w:eastAsia="zh-CN"/>
              </w:rPr>
              <w:t>1</w:t>
            </w:r>
            <w:r>
              <w:rPr>
                <w:rFonts w:hint="eastAsia" w:ascii="Times New Roman" w:hAnsi="Times New Roman" w:eastAsia="宋体" w:cs="Times New Roman"/>
                <w:b/>
                <w:bCs w:val="0"/>
                <w:color w:val="auto"/>
                <w:lang w:val="en-US" w:eastAsia="zh-CN"/>
              </w:rPr>
              <w:t>3</w:t>
            </w:r>
            <w:r>
              <w:rPr>
                <w:rFonts w:hint="default" w:ascii="Times New Roman" w:hAnsi="Times New Roman" w:eastAsia="宋体" w:cs="Times New Roman"/>
                <w:b/>
                <w:bCs w:val="0"/>
                <w:color w:val="auto"/>
              </w:rPr>
              <w:t xml:space="preserve">  </w:t>
            </w:r>
            <w:r>
              <w:rPr>
                <w:rFonts w:hint="eastAsia" w:ascii="Times New Roman" w:hAnsi="Times New Roman" w:eastAsia="宋体" w:cs="Times New Roman"/>
                <w:b/>
                <w:bCs w:val="0"/>
                <w:color w:val="auto"/>
                <w:lang w:val="en-US" w:eastAsia="zh-CN"/>
              </w:rPr>
              <w:t>项目建设后单位熟料</w:t>
            </w:r>
            <w:r>
              <w:rPr>
                <w:rFonts w:hint="default" w:ascii="Times New Roman" w:hAnsi="Times New Roman" w:eastAsia="宋体" w:cs="Times New Roman"/>
                <w:b/>
                <w:bCs w:val="0"/>
                <w:color w:val="auto"/>
                <w:lang w:eastAsia="zh-CN"/>
              </w:rPr>
              <w:t>重金属投加量</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32"/>
              <w:gridCol w:w="1247"/>
              <w:gridCol w:w="1821"/>
              <w:gridCol w:w="2084"/>
            </w:tblGrid>
            <w:tr w14:paraId="5C9CA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813" w:type="pct"/>
                  <w:tcBorders>
                    <w:tl2br w:val="nil"/>
                    <w:tr2bl w:val="nil"/>
                  </w:tcBorders>
                  <w:noWrap w:val="0"/>
                  <w:vAlign w:val="center"/>
                </w:tcPr>
                <w:p w14:paraId="5347CAAE">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重金属</w:t>
                  </w:r>
                </w:p>
              </w:tc>
              <w:tc>
                <w:tcPr>
                  <w:tcW w:w="771" w:type="pct"/>
                  <w:tcBorders>
                    <w:tl2br w:val="nil"/>
                    <w:tr2bl w:val="nil"/>
                  </w:tcBorders>
                  <w:noWrap w:val="0"/>
                  <w:vAlign w:val="center"/>
                </w:tcPr>
                <w:p w14:paraId="3DF35D49">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zh-CN" w:eastAsia="zh-CN"/>
                    </w:rPr>
                  </w:pPr>
                  <w:r>
                    <w:rPr>
                      <w:rFonts w:hint="default" w:ascii="Times New Roman" w:hAnsi="Times New Roman" w:cs="Times New Roman"/>
                      <w:b/>
                      <w:bCs/>
                      <w:color w:val="auto"/>
                      <w:sz w:val="21"/>
                      <w:szCs w:val="21"/>
                      <w:lang w:val="en-US" w:eastAsia="zh-CN"/>
                    </w:rPr>
                    <w:t>单位</w:t>
                  </w:r>
                </w:p>
              </w:tc>
              <w:tc>
                <w:tcPr>
                  <w:tcW w:w="1126" w:type="pct"/>
                  <w:tcBorders>
                    <w:tl2br w:val="nil"/>
                    <w:tr2bl w:val="nil"/>
                  </w:tcBorders>
                  <w:noWrap w:val="0"/>
                  <w:vAlign w:val="center"/>
                </w:tcPr>
                <w:p w14:paraId="181AB36F">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项目建成后投加量</w:t>
                  </w:r>
                </w:p>
              </w:tc>
              <w:tc>
                <w:tcPr>
                  <w:tcW w:w="1288" w:type="pct"/>
                  <w:tcBorders>
                    <w:tl2br w:val="nil"/>
                    <w:tr2bl w:val="nil"/>
                  </w:tcBorders>
                  <w:noWrap w:val="0"/>
                  <w:vAlign w:val="center"/>
                </w:tcPr>
                <w:p w14:paraId="770D4889">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HJ662-2013</w:t>
                  </w:r>
                  <w:r>
                    <w:rPr>
                      <w:rFonts w:hint="default" w:ascii="Times New Roman" w:hAnsi="Times New Roman" w:cs="Times New Roman"/>
                      <w:b/>
                      <w:bCs/>
                      <w:color w:val="auto"/>
                      <w:sz w:val="21"/>
                      <w:szCs w:val="21"/>
                      <w:lang w:eastAsia="zh-CN"/>
                    </w:rPr>
                    <w:t>最大允许投加量</w:t>
                  </w:r>
                </w:p>
              </w:tc>
            </w:tr>
            <w:tr w14:paraId="74889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1813" w:type="pct"/>
                  <w:tcBorders>
                    <w:tl2br w:val="nil"/>
                    <w:tr2bl w:val="nil"/>
                  </w:tcBorders>
                  <w:noWrap w:val="0"/>
                  <w:vAlign w:val="center"/>
                </w:tcPr>
                <w:p w14:paraId="4D336252">
                  <w:pPr>
                    <w:widowControl/>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汞Hg</w:t>
                  </w:r>
                </w:p>
              </w:tc>
              <w:tc>
                <w:tcPr>
                  <w:tcW w:w="771" w:type="pct"/>
                  <w:vMerge w:val="restart"/>
                  <w:tcBorders>
                    <w:tl2br w:val="nil"/>
                    <w:tr2bl w:val="nil"/>
                  </w:tcBorders>
                  <w:noWrap w:val="0"/>
                  <w:vAlign w:val="center"/>
                </w:tcPr>
                <w:p w14:paraId="1C17BB5D">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mg/kg-cli</w:t>
                  </w:r>
                </w:p>
              </w:tc>
              <w:tc>
                <w:tcPr>
                  <w:tcW w:w="1126" w:type="pct"/>
                  <w:tcBorders>
                    <w:tl2br w:val="nil"/>
                    <w:tr2bl w:val="nil"/>
                  </w:tcBorders>
                  <w:noWrap w:val="0"/>
                  <w:vAlign w:val="center"/>
                </w:tcPr>
                <w:p w14:paraId="17ED6FC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0.03</w:t>
                  </w:r>
                </w:p>
              </w:tc>
              <w:tc>
                <w:tcPr>
                  <w:tcW w:w="1288" w:type="pct"/>
                  <w:tcBorders>
                    <w:tl2br w:val="nil"/>
                    <w:tr2bl w:val="nil"/>
                  </w:tcBorders>
                  <w:noWrap w:val="0"/>
                  <w:vAlign w:val="center"/>
                </w:tcPr>
                <w:p w14:paraId="17426A5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0.23</w:t>
                  </w:r>
                </w:p>
              </w:tc>
            </w:tr>
            <w:tr w14:paraId="393B0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813" w:type="pct"/>
                  <w:tcBorders>
                    <w:tl2br w:val="nil"/>
                    <w:tr2bl w:val="nil"/>
                  </w:tcBorders>
                  <w:noWrap w:val="0"/>
                  <w:vAlign w:val="center"/>
                </w:tcPr>
                <w:p w14:paraId="17D001F6">
                  <w:pPr>
                    <w:widowControl/>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铊+</w:t>
                  </w:r>
                  <w:r>
                    <w:rPr>
                      <w:rFonts w:hint="default" w:ascii="Times New Roman" w:hAnsi="Times New Roman" w:cs="Times New Roman"/>
                      <w:color w:val="auto"/>
                      <w:sz w:val="21"/>
                      <w:szCs w:val="21"/>
                      <w:lang w:val="en-US" w:eastAsia="zh-CN"/>
                    </w:rPr>
                    <w:t>镉</w:t>
                  </w:r>
                  <w:r>
                    <w:rPr>
                      <w:rFonts w:hint="default" w:ascii="Times New Roman" w:hAnsi="Times New Roman" w:cs="Times New Roman"/>
                      <w:color w:val="auto"/>
                      <w:sz w:val="21"/>
                      <w:szCs w:val="21"/>
                    </w:rPr>
                    <w:t>+铅+15×砷</w:t>
                  </w:r>
                </w:p>
                <w:p w14:paraId="32A91450">
                  <w:pPr>
                    <w:widowControl/>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Tl+Cd+Pb+15×As</w:t>
                  </w:r>
                  <w:r>
                    <w:rPr>
                      <w:rFonts w:hint="default" w:ascii="Times New Roman" w:hAnsi="Times New Roman" w:cs="Times New Roman"/>
                      <w:color w:val="auto"/>
                      <w:sz w:val="21"/>
                      <w:szCs w:val="21"/>
                      <w:lang w:eastAsia="zh-CN"/>
                    </w:rPr>
                    <w:t>）</w:t>
                  </w:r>
                </w:p>
              </w:tc>
              <w:tc>
                <w:tcPr>
                  <w:tcW w:w="771" w:type="pct"/>
                  <w:vMerge w:val="continue"/>
                  <w:tcBorders>
                    <w:tl2br w:val="nil"/>
                    <w:tr2bl w:val="nil"/>
                  </w:tcBorders>
                  <w:noWrap w:val="0"/>
                  <w:vAlign w:val="center"/>
                </w:tcPr>
                <w:p w14:paraId="198D9627">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126" w:type="pct"/>
                  <w:tcBorders>
                    <w:tl2br w:val="nil"/>
                    <w:tr2bl w:val="nil"/>
                  </w:tcBorders>
                  <w:noWrap w:val="0"/>
                  <w:vAlign w:val="center"/>
                </w:tcPr>
                <w:p w14:paraId="15982B1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146.887</w:t>
                  </w:r>
                </w:p>
              </w:tc>
              <w:tc>
                <w:tcPr>
                  <w:tcW w:w="1288" w:type="pct"/>
                  <w:tcBorders>
                    <w:tl2br w:val="nil"/>
                    <w:tr2bl w:val="nil"/>
                  </w:tcBorders>
                  <w:noWrap w:val="0"/>
                  <w:vAlign w:val="center"/>
                </w:tcPr>
                <w:p w14:paraId="4ADADFC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230</w:t>
                  </w:r>
                </w:p>
              </w:tc>
            </w:tr>
            <w:tr w14:paraId="1509A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3" w:hRule="atLeast"/>
                <w:jc w:val="center"/>
              </w:trPr>
              <w:tc>
                <w:tcPr>
                  <w:tcW w:w="1813" w:type="pct"/>
                  <w:tcBorders>
                    <w:tl2br w:val="nil"/>
                    <w:tr2bl w:val="nil"/>
                  </w:tcBorders>
                  <w:noWrap w:val="0"/>
                  <w:vAlign w:val="center"/>
                </w:tcPr>
                <w:p w14:paraId="2A0C98B5">
                  <w:pPr>
                    <w:widowControl/>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铍+铬+10×锡+50×锑+铜+锰+镍+钒</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Be+Cr+10×Sn+50×Sb+Cu+Mn+Ni+V</w:t>
                  </w:r>
                  <w:r>
                    <w:rPr>
                      <w:rFonts w:hint="default" w:ascii="Times New Roman" w:hAnsi="Times New Roman" w:cs="Times New Roman"/>
                      <w:color w:val="auto"/>
                      <w:sz w:val="21"/>
                      <w:szCs w:val="21"/>
                      <w:lang w:eastAsia="zh-CN"/>
                    </w:rPr>
                    <w:t>）</w:t>
                  </w:r>
                </w:p>
              </w:tc>
              <w:tc>
                <w:tcPr>
                  <w:tcW w:w="771" w:type="pct"/>
                  <w:vMerge w:val="continue"/>
                  <w:tcBorders>
                    <w:tl2br w:val="nil"/>
                    <w:tr2bl w:val="nil"/>
                  </w:tcBorders>
                  <w:noWrap w:val="0"/>
                  <w:vAlign w:val="center"/>
                </w:tcPr>
                <w:p w14:paraId="5509550E">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126" w:type="pct"/>
                  <w:tcBorders>
                    <w:tl2br w:val="nil"/>
                    <w:tr2bl w:val="nil"/>
                  </w:tcBorders>
                  <w:noWrap w:val="0"/>
                  <w:vAlign w:val="center"/>
                </w:tcPr>
                <w:p w14:paraId="4ACFCFC6">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649.153</w:t>
                  </w:r>
                </w:p>
              </w:tc>
              <w:tc>
                <w:tcPr>
                  <w:tcW w:w="1288" w:type="pct"/>
                  <w:tcBorders>
                    <w:tl2br w:val="nil"/>
                    <w:tr2bl w:val="nil"/>
                  </w:tcBorders>
                  <w:noWrap w:val="0"/>
                  <w:vAlign w:val="center"/>
                </w:tcPr>
                <w:p w14:paraId="3FBCF37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1150</w:t>
                  </w:r>
                </w:p>
              </w:tc>
            </w:tr>
          </w:tbl>
          <w:p w14:paraId="29EE4664">
            <w:pPr>
              <w:pStyle w:val="45"/>
              <w:bidi w:val="0"/>
              <w:rPr>
                <w:rFonts w:hint="default" w:ascii="Times New Roman" w:hAnsi="Times New Roman" w:eastAsia="宋体" w:cs="Times New Roman"/>
                <w:b/>
                <w:bCs w:val="0"/>
                <w:color w:val="auto"/>
                <w:lang w:eastAsia="zh-CN"/>
              </w:rPr>
            </w:pPr>
            <w:r>
              <w:rPr>
                <w:rFonts w:hint="default" w:ascii="Times New Roman" w:hAnsi="Times New Roman" w:eastAsia="宋体" w:cs="Times New Roman"/>
                <w:b/>
                <w:bCs w:val="0"/>
                <w:color w:val="auto"/>
              </w:rPr>
              <w:t>表2-</w:t>
            </w:r>
            <w:r>
              <w:rPr>
                <w:rFonts w:hint="default" w:ascii="Times New Roman" w:hAnsi="Times New Roman" w:eastAsia="宋体" w:cs="Times New Roman"/>
                <w:b/>
                <w:bCs w:val="0"/>
                <w:color w:val="auto"/>
                <w:lang w:val="en-US" w:eastAsia="zh-CN"/>
              </w:rPr>
              <w:t>1</w:t>
            </w:r>
            <w:r>
              <w:rPr>
                <w:rFonts w:hint="eastAsia" w:eastAsia="宋体" w:cs="Times New Roman"/>
                <w:b/>
                <w:bCs w:val="0"/>
                <w:color w:val="auto"/>
                <w:lang w:val="en-US" w:eastAsia="zh-CN"/>
              </w:rPr>
              <w:t>4</w:t>
            </w:r>
            <w:r>
              <w:rPr>
                <w:rFonts w:hint="default" w:ascii="Times New Roman" w:hAnsi="Times New Roman" w:eastAsia="宋体" w:cs="Times New Roman"/>
                <w:b/>
                <w:bCs w:val="0"/>
                <w:color w:val="auto"/>
              </w:rPr>
              <w:t xml:space="preserve">  </w:t>
            </w:r>
            <w:r>
              <w:rPr>
                <w:rFonts w:hint="eastAsia" w:ascii="Times New Roman" w:hAnsi="Times New Roman" w:eastAsia="宋体" w:cs="Times New Roman"/>
                <w:b/>
                <w:bCs w:val="0"/>
                <w:color w:val="auto"/>
                <w:lang w:val="en-US" w:eastAsia="zh-CN"/>
              </w:rPr>
              <w:t>项目建设后单位</w:t>
            </w:r>
            <w:r>
              <w:rPr>
                <w:rFonts w:hint="eastAsia" w:eastAsia="宋体" w:cs="Times New Roman"/>
                <w:b/>
                <w:bCs w:val="0"/>
                <w:color w:val="auto"/>
                <w:lang w:val="en-US" w:eastAsia="zh-CN"/>
              </w:rPr>
              <w:t>水泥</w:t>
            </w:r>
            <w:r>
              <w:rPr>
                <w:rFonts w:hint="default" w:ascii="Times New Roman" w:hAnsi="Times New Roman" w:eastAsia="宋体" w:cs="Times New Roman"/>
                <w:b/>
                <w:bCs w:val="0"/>
                <w:color w:val="auto"/>
                <w:lang w:eastAsia="zh-CN"/>
              </w:rPr>
              <w:t>重金属投加量</w:t>
            </w:r>
          </w:p>
          <w:tbl>
            <w:tblPr>
              <w:tblStyle w:val="31"/>
              <w:tblW w:w="5000"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956"/>
              <w:gridCol w:w="1958"/>
              <w:gridCol w:w="1959"/>
            </w:tblGrid>
            <w:tr w14:paraId="457AD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3417E397">
                  <w:pPr>
                    <w:widowControl/>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重金属</w:t>
                  </w:r>
                </w:p>
              </w:tc>
              <w:tc>
                <w:tcPr>
                  <w:tcW w:w="1956" w:type="dxa"/>
                  <w:tcBorders>
                    <w:tl2br w:val="nil"/>
                    <w:tr2bl w:val="nil"/>
                  </w:tcBorders>
                  <w:shd w:val="clear" w:color="auto" w:fill="auto"/>
                  <w:noWrap w:val="0"/>
                  <w:vAlign w:val="center"/>
                </w:tcPr>
                <w:p w14:paraId="37FCBB9E">
                  <w:pPr>
                    <w:widowControl/>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单位</w:t>
                  </w:r>
                </w:p>
              </w:tc>
              <w:tc>
                <w:tcPr>
                  <w:tcW w:w="1958" w:type="dxa"/>
                  <w:tcBorders>
                    <w:tl2br w:val="nil"/>
                    <w:tr2bl w:val="nil"/>
                  </w:tcBorders>
                  <w:shd w:val="clear" w:color="auto" w:fill="auto"/>
                  <w:noWrap w:val="0"/>
                  <w:vAlign w:val="center"/>
                </w:tcPr>
                <w:p w14:paraId="4E97BE7E">
                  <w:pPr>
                    <w:widowControl/>
                    <w:autoSpaceDE w:val="0"/>
                    <w:autoSpaceDN w:val="0"/>
                    <w:adjustRightInd w:val="0"/>
                    <w:snapToGrid w:val="0"/>
                    <w:spacing w:line="240" w:lineRule="auto"/>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lang w:val="en-US" w:eastAsia="zh-CN"/>
                    </w:rPr>
                    <w:t>项目建成后投加量</w:t>
                  </w:r>
                </w:p>
              </w:tc>
              <w:tc>
                <w:tcPr>
                  <w:tcW w:w="1959" w:type="dxa"/>
                  <w:tcBorders>
                    <w:tl2br w:val="nil"/>
                    <w:tr2bl w:val="nil"/>
                  </w:tcBorders>
                  <w:shd w:val="clear" w:color="auto" w:fill="auto"/>
                  <w:noWrap w:val="0"/>
                  <w:vAlign w:val="center"/>
                </w:tcPr>
                <w:p w14:paraId="5C20B669">
                  <w:pPr>
                    <w:widowControl/>
                    <w:adjustRightInd w:val="0"/>
                    <w:snapToGrid w:val="0"/>
                    <w:spacing w:line="240" w:lineRule="auto"/>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rPr>
                    <w:t>HJ662-2013</w:t>
                  </w:r>
                  <w:r>
                    <w:rPr>
                      <w:rFonts w:hint="default" w:ascii="Times New Roman" w:hAnsi="Times New Roman" w:eastAsia="宋体" w:cs="Times New Roman"/>
                      <w:b/>
                      <w:bCs/>
                      <w:color w:val="auto"/>
                      <w:sz w:val="21"/>
                      <w:szCs w:val="21"/>
                      <w:lang w:val="en-US" w:eastAsia="zh-CN"/>
                    </w:rPr>
                    <w:t>最大允许投加量</w:t>
                  </w:r>
                </w:p>
              </w:tc>
            </w:tr>
            <w:tr w14:paraId="6B1EF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0071D75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总铬（Cr）</w:t>
                  </w:r>
                </w:p>
              </w:tc>
              <w:tc>
                <w:tcPr>
                  <w:tcW w:w="1956" w:type="dxa"/>
                  <w:vMerge w:val="restart"/>
                  <w:tcBorders>
                    <w:tl2br w:val="nil"/>
                    <w:tr2bl w:val="nil"/>
                  </w:tcBorders>
                  <w:shd w:val="clear" w:color="auto" w:fill="auto"/>
                  <w:noWrap w:val="0"/>
                  <w:vAlign w:val="center"/>
                </w:tcPr>
                <w:p w14:paraId="13901DD0">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mg/kg-cem</w:t>
                  </w:r>
                </w:p>
              </w:tc>
              <w:tc>
                <w:tcPr>
                  <w:tcW w:w="1958" w:type="dxa"/>
                  <w:tcBorders>
                    <w:tl2br w:val="nil"/>
                    <w:tr2bl w:val="nil"/>
                  </w:tcBorders>
                  <w:shd w:val="clear" w:color="auto" w:fill="auto"/>
                  <w:noWrap w:val="0"/>
                  <w:vAlign w:val="center"/>
                </w:tcPr>
                <w:p w14:paraId="2BCFDF99">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26.640</w:t>
                  </w:r>
                </w:p>
              </w:tc>
              <w:tc>
                <w:tcPr>
                  <w:tcW w:w="1959" w:type="dxa"/>
                  <w:tcBorders>
                    <w:tl2br w:val="nil"/>
                    <w:tr2bl w:val="nil"/>
                  </w:tcBorders>
                  <w:shd w:val="clear" w:color="auto" w:fill="auto"/>
                  <w:noWrap w:val="0"/>
                  <w:vAlign w:val="center"/>
                </w:tcPr>
                <w:p w14:paraId="58BC7441">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320</w:t>
                  </w:r>
                </w:p>
              </w:tc>
            </w:tr>
            <w:tr w14:paraId="5AD23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211" w:type="dxa"/>
                  <w:tcBorders>
                    <w:tl2br w:val="nil"/>
                    <w:tr2bl w:val="nil"/>
                  </w:tcBorders>
                  <w:shd w:val="clear" w:color="auto" w:fill="auto"/>
                  <w:noWrap w:val="0"/>
                  <w:vAlign w:val="center"/>
                </w:tcPr>
                <w:p w14:paraId="70C08E3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锌（Zn）</w:t>
                  </w:r>
                </w:p>
              </w:tc>
              <w:tc>
                <w:tcPr>
                  <w:tcW w:w="1956" w:type="dxa"/>
                  <w:vMerge w:val="continue"/>
                  <w:tcBorders>
                    <w:tl2br w:val="nil"/>
                    <w:tr2bl w:val="nil"/>
                  </w:tcBorders>
                  <w:shd w:val="clear" w:color="auto" w:fill="auto"/>
                  <w:noWrap w:val="0"/>
                  <w:vAlign w:val="center"/>
                </w:tcPr>
                <w:p w14:paraId="2F341424">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1CF090D0">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291.744</w:t>
                  </w:r>
                </w:p>
              </w:tc>
              <w:tc>
                <w:tcPr>
                  <w:tcW w:w="1959" w:type="dxa"/>
                  <w:tcBorders>
                    <w:tl2br w:val="nil"/>
                    <w:tr2bl w:val="nil"/>
                  </w:tcBorders>
                  <w:shd w:val="clear" w:color="auto" w:fill="auto"/>
                  <w:noWrap w:val="0"/>
                  <w:vAlign w:val="center"/>
                </w:tcPr>
                <w:p w14:paraId="6E5C2D42">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37760</w:t>
                  </w:r>
                </w:p>
              </w:tc>
            </w:tr>
            <w:tr w14:paraId="46DCE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3196187D">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锰（Mn）</w:t>
                  </w:r>
                </w:p>
              </w:tc>
              <w:tc>
                <w:tcPr>
                  <w:tcW w:w="1956" w:type="dxa"/>
                  <w:vMerge w:val="continue"/>
                  <w:tcBorders>
                    <w:tl2br w:val="nil"/>
                    <w:tr2bl w:val="nil"/>
                  </w:tcBorders>
                  <w:shd w:val="clear" w:color="auto" w:fill="auto"/>
                  <w:noWrap w:val="0"/>
                  <w:vAlign w:val="center"/>
                </w:tcPr>
                <w:p w14:paraId="7BCDBCA1">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2D640894">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158.743</w:t>
                  </w:r>
                </w:p>
              </w:tc>
              <w:tc>
                <w:tcPr>
                  <w:tcW w:w="1959" w:type="dxa"/>
                  <w:tcBorders>
                    <w:tl2br w:val="nil"/>
                    <w:tr2bl w:val="nil"/>
                  </w:tcBorders>
                  <w:shd w:val="clear" w:color="auto" w:fill="auto"/>
                  <w:noWrap w:val="0"/>
                  <w:vAlign w:val="center"/>
                </w:tcPr>
                <w:p w14:paraId="0F9DC2AA">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3350</w:t>
                  </w:r>
                </w:p>
              </w:tc>
            </w:tr>
            <w:tr w14:paraId="5DB88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2942890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镍（Ni）</w:t>
                  </w:r>
                </w:p>
              </w:tc>
              <w:tc>
                <w:tcPr>
                  <w:tcW w:w="1956" w:type="dxa"/>
                  <w:vMerge w:val="continue"/>
                  <w:tcBorders>
                    <w:tl2br w:val="nil"/>
                    <w:tr2bl w:val="nil"/>
                  </w:tcBorders>
                  <w:shd w:val="clear" w:color="auto" w:fill="auto"/>
                  <w:noWrap w:val="0"/>
                  <w:vAlign w:val="center"/>
                </w:tcPr>
                <w:p w14:paraId="27E695BE">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255F942C">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40.007</w:t>
                  </w:r>
                </w:p>
              </w:tc>
              <w:tc>
                <w:tcPr>
                  <w:tcW w:w="1959" w:type="dxa"/>
                  <w:tcBorders>
                    <w:tl2br w:val="nil"/>
                    <w:tr2bl w:val="nil"/>
                  </w:tcBorders>
                  <w:shd w:val="clear" w:color="auto" w:fill="auto"/>
                  <w:noWrap w:val="0"/>
                  <w:vAlign w:val="center"/>
                </w:tcPr>
                <w:p w14:paraId="7C5FD523">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640</w:t>
                  </w:r>
                </w:p>
              </w:tc>
            </w:tr>
            <w:tr w14:paraId="5D138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2F22071A">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钼（Mo）</w:t>
                  </w:r>
                </w:p>
              </w:tc>
              <w:tc>
                <w:tcPr>
                  <w:tcW w:w="1956" w:type="dxa"/>
                  <w:vMerge w:val="continue"/>
                  <w:tcBorders>
                    <w:tl2br w:val="nil"/>
                    <w:tr2bl w:val="nil"/>
                  </w:tcBorders>
                  <w:shd w:val="clear" w:color="auto" w:fill="auto"/>
                  <w:noWrap w:val="0"/>
                  <w:vAlign w:val="center"/>
                </w:tcPr>
                <w:p w14:paraId="7E9B347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7D2EBF6F">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0.722</w:t>
                  </w:r>
                </w:p>
              </w:tc>
              <w:tc>
                <w:tcPr>
                  <w:tcW w:w="1959" w:type="dxa"/>
                  <w:tcBorders>
                    <w:tl2br w:val="nil"/>
                    <w:tr2bl w:val="nil"/>
                  </w:tcBorders>
                  <w:shd w:val="clear" w:color="auto" w:fill="auto"/>
                  <w:noWrap w:val="0"/>
                  <w:vAlign w:val="center"/>
                </w:tcPr>
                <w:p w14:paraId="4ED32A2E">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310</w:t>
                  </w:r>
                </w:p>
              </w:tc>
            </w:tr>
            <w:tr w14:paraId="6C668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573D0B48">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砷（As）</w:t>
                  </w:r>
                </w:p>
              </w:tc>
              <w:tc>
                <w:tcPr>
                  <w:tcW w:w="1956" w:type="dxa"/>
                  <w:vMerge w:val="continue"/>
                  <w:tcBorders>
                    <w:tl2br w:val="nil"/>
                    <w:tr2bl w:val="nil"/>
                  </w:tcBorders>
                  <w:shd w:val="clear" w:color="auto" w:fill="auto"/>
                  <w:noWrap w:val="0"/>
                  <w:vAlign w:val="center"/>
                </w:tcPr>
                <w:p w14:paraId="3BB96996">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4622625D">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3.266</w:t>
                  </w:r>
                </w:p>
              </w:tc>
              <w:tc>
                <w:tcPr>
                  <w:tcW w:w="1959" w:type="dxa"/>
                  <w:tcBorders>
                    <w:tl2br w:val="nil"/>
                    <w:tr2bl w:val="nil"/>
                  </w:tcBorders>
                  <w:shd w:val="clear" w:color="auto" w:fill="auto"/>
                  <w:noWrap w:val="0"/>
                  <w:vAlign w:val="center"/>
                </w:tcPr>
                <w:p w14:paraId="5B01A085">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4280</w:t>
                  </w:r>
                </w:p>
              </w:tc>
            </w:tr>
            <w:tr w14:paraId="7EA63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3800FBCF">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镉（Cd）</w:t>
                  </w:r>
                </w:p>
              </w:tc>
              <w:tc>
                <w:tcPr>
                  <w:tcW w:w="1956" w:type="dxa"/>
                  <w:vMerge w:val="continue"/>
                  <w:tcBorders>
                    <w:tl2br w:val="nil"/>
                    <w:tr2bl w:val="nil"/>
                  </w:tcBorders>
                  <w:shd w:val="clear" w:color="auto" w:fill="auto"/>
                  <w:noWrap w:val="0"/>
                  <w:vAlign w:val="center"/>
                </w:tcPr>
                <w:p w14:paraId="0FD625C1">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047D9E23">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4.045</w:t>
                  </w:r>
                </w:p>
              </w:tc>
              <w:tc>
                <w:tcPr>
                  <w:tcW w:w="1959" w:type="dxa"/>
                  <w:tcBorders>
                    <w:tl2br w:val="nil"/>
                    <w:tr2bl w:val="nil"/>
                  </w:tcBorders>
                  <w:shd w:val="clear" w:color="auto" w:fill="auto"/>
                  <w:noWrap w:val="0"/>
                  <w:vAlign w:val="center"/>
                </w:tcPr>
                <w:p w14:paraId="7FCFCABF">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40</w:t>
                  </w:r>
                </w:p>
              </w:tc>
            </w:tr>
            <w:tr w14:paraId="03D3C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211" w:type="dxa"/>
                  <w:tcBorders>
                    <w:tl2br w:val="nil"/>
                    <w:tr2bl w:val="nil"/>
                  </w:tcBorders>
                  <w:shd w:val="clear" w:color="auto" w:fill="auto"/>
                  <w:noWrap w:val="0"/>
                  <w:vAlign w:val="center"/>
                </w:tcPr>
                <w:p w14:paraId="004D1C7A">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铅（Pb）</w:t>
                  </w:r>
                </w:p>
              </w:tc>
              <w:tc>
                <w:tcPr>
                  <w:tcW w:w="1956" w:type="dxa"/>
                  <w:vMerge w:val="continue"/>
                  <w:tcBorders>
                    <w:tl2br w:val="nil"/>
                    <w:tr2bl w:val="nil"/>
                  </w:tcBorders>
                  <w:shd w:val="clear" w:color="auto" w:fill="auto"/>
                  <w:noWrap w:val="0"/>
                  <w:vAlign w:val="center"/>
                </w:tcPr>
                <w:p w14:paraId="0EE83143">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6D78DEE7">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71.869</w:t>
                  </w:r>
                </w:p>
              </w:tc>
              <w:tc>
                <w:tcPr>
                  <w:tcW w:w="1959" w:type="dxa"/>
                  <w:tcBorders>
                    <w:tl2br w:val="nil"/>
                    <w:tr2bl w:val="nil"/>
                  </w:tcBorders>
                  <w:shd w:val="clear" w:color="auto" w:fill="auto"/>
                  <w:noWrap w:val="0"/>
                  <w:vAlign w:val="center"/>
                </w:tcPr>
                <w:p w14:paraId="32C32170">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1590</w:t>
                  </w:r>
                </w:p>
              </w:tc>
            </w:tr>
            <w:tr w14:paraId="093D7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73D289E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铜（Cu）</w:t>
                  </w:r>
                </w:p>
              </w:tc>
              <w:tc>
                <w:tcPr>
                  <w:tcW w:w="1956" w:type="dxa"/>
                  <w:vMerge w:val="continue"/>
                  <w:tcBorders>
                    <w:tl2br w:val="nil"/>
                    <w:tr2bl w:val="nil"/>
                  </w:tcBorders>
                  <w:shd w:val="clear" w:color="auto" w:fill="auto"/>
                  <w:noWrap w:val="0"/>
                  <w:vAlign w:val="center"/>
                </w:tcPr>
                <w:p w14:paraId="58C4A83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4F78F142">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67.402</w:t>
                  </w:r>
                </w:p>
              </w:tc>
              <w:tc>
                <w:tcPr>
                  <w:tcW w:w="1959" w:type="dxa"/>
                  <w:tcBorders>
                    <w:tl2br w:val="nil"/>
                    <w:tr2bl w:val="nil"/>
                  </w:tcBorders>
                  <w:shd w:val="clear" w:color="auto" w:fill="auto"/>
                  <w:noWrap w:val="0"/>
                  <w:vAlign w:val="center"/>
                </w:tcPr>
                <w:p w14:paraId="4EE1504D">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7920</w:t>
                  </w:r>
                </w:p>
              </w:tc>
            </w:tr>
            <w:tr w14:paraId="22E8E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11" w:type="dxa"/>
                  <w:tcBorders>
                    <w:tl2br w:val="nil"/>
                    <w:tr2bl w:val="nil"/>
                  </w:tcBorders>
                  <w:shd w:val="clear" w:color="auto" w:fill="auto"/>
                  <w:noWrap w:val="0"/>
                  <w:vAlign w:val="center"/>
                </w:tcPr>
                <w:p w14:paraId="345BBDF4">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汞（Hg）*</w:t>
                  </w:r>
                </w:p>
              </w:tc>
              <w:tc>
                <w:tcPr>
                  <w:tcW w:w="1956" w:type="dxa"/>
                  <w:vMerge w:val="continue"/>
                  <w:tcBorders>
                    <w:tl2br w:val="nil"/>
                    <w:tr2bl w:val="nil"/>
                  </w:tcBorders>
                  <w:shd w:val="clear" w:color="auto" w:fill="auto"/>
                  <w:noWrap w:val="0"/>
                  <w:vAlign w:val="center"/>
                </w:tcPr>
                <w:p w14:paraId="486E7442">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958" w:type="dxa"/>
                  <w:tcBorders>
                    <w:tl2br w:val="nil"/>
                    <w:tr2bl w:val="nil"/>
                  </w:tcBorders>
                  <w:shd w:val="clear" w:color="auto" w:fill="auto"/>
                  <w:noWrap w:val="0"/>
                  <w:vAlign w:val="center"/>
                </w:tcPr>
                <w:p w14:paraId="684B96A0">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0.0001</w:t>
                  </w:r>
                </w:p>
              </w:tc>
              <w:tc>
                <w:tcPr>
                  <w:tcW w:w="1959" w:type="dxa"/>
                  <w:tcBorders>
                    <w:tl2br w:val="nil"/>
                    <w:tr2bl w:val="nil"/>
                  </w:tcBorders>
                  <w:shd w:val="clear" w:color="auto" w:fill="auto"/>
                  <w:noWrap w:val="0"/>
                  <w:vAlign w:val="center"/>
                </w:tcPr>
                <w:p w14:paraId="14B3BE17">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w:t>
                  </w:r>
                </w:p>
              </w:tc>
            </w:tr>
            <w:tr w14:paraId="4C386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084" w:type="dxa"/>
                  <w:gridSpan w:val="4"/>
                  <w:tcBorders>
                    <w:tl2br w:val="nil"/>
                    <w:tr2bl w:val="nil"/>
                  </w:tcBorders>
                  <w:shd w:val="clear" w:color="auto" w:fill="auto"/>
                  <w:noWrap w:val="0"/>
                  <w:vAlign w:val="center"/>
                </w:tcPr>
                <w:p w14:paraId="2E219A28">
                  <w:pPr>
                    <w:widowControl/>
                    <w:adjustRightInd w:val="0"/>
                    <w:snapToGrid w:val="0"/>
                    <w:spacing w:line="240" w:lineRule="auto"/>
                    <w:jc w:val="left"/>
                    <w:rPr>
                      <w:rFonts w:hint="default" w:ascii="Times New Roman" w:hAnsi="Times New Roman" w:eastAsia="宋体" w:cs="Times New Roman"/>
                      <w:color w:val="auto"/>
                      <w:sz w:val="21"/>
                      <w:szCs w:val="21"/>
                      <w:lang w:val="en-US" w:eastAsia="zh-CN"/>
                    </w:rPr>
                  </w:pPr>
                  <w:r>
                    <w:rPr>
                      <w:rFonts w:ascii="Times New Roman" w:hAnsi="Times New Roman" w:eastAsia="Times New Roman" w:cs="Times New Roman"/>
                      <w:spacing w:val="6"/>
                      <w:sz w:val="21"/>
                      <w:szCs w:val="21"/>
                    </w:rPr>
                    <w:t xml:space="preserve"> </w:t>
                  </w:r>
                  <w:r>
                    <w:rPr>
                      <w:rFonts w:ascii="Times New Roman" w:hAnsi="Times New Roman" w:eastAsia="Times New Roman" w:cs="Times New Roman"/>
                      <w:spacing w:val="1"/>
                      <w:sz w:val="21"/>
                      <w:szCs w:val="21"/>
                    </w:rPr>
                    <w:t>*</w:t>
                  </w:r>
                  <w:r>
                    <w:rPr>
                      <w:spacing w:val="1"/>
                      <w:sz w:val="21"/>
                      <w:szCs w:val="21"/>
                    </w:rPr>
                    <w:t xml:space="preserve">备注：仅计混合材中的汞    </w:t>
                  </w:r>
                </w:p>
              </w:tc>
            </w:tr>
          </w:tbl>
          <w:p w14:paraId="6BCEB99D">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（2）重金属平衡分析</w:t>
            </w:r>
          </w:p>
          <w:p w14:paraId="303811A1">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水泥窑中的高温氧化条件能使有机物几乎完全被分解，重金属是主要的污染物。重金属等污染物主要来源于原料、燃料和固废，这些重金属在水泥窑的高温条件下，部分进入烟气，部分进入熟料，部分进入窑灰，窑灰控制掺比直接掺入熟料。从而导致水泥产品中存在一定量的重金属。</w:t>
            </w:r>
          </w:p>
          <w:p w14:paraId="7B165512">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水泥窑协同处置工业废物焚烧过程中，水泥生产所需的常规原料、常规燃料以及协同处置固废带入窑内的重金属，部分随烟气排入大气，剩余部分最终进入熟料。</w:t>
            </w:r>
          </w:p>
          <w:p w14:paraId="3333C5A6">
            <w:pPr>
              <w:bidi w:val="0"/>
              <w:ind w:firstLine="480" w:firstLineChars="200"/>
              <w:rPr>
                <w:rFonts w:hint="eastAsia" w:cs="Times New Roman"/>
                <w:color w:val="auto"/>
                <w:lang w:val="en-US" w:eastAsia="zh-CN"/>
              </w:rPr>
            </w:pPr>
            <w:r>
              <w:rPr>
                <w:rFonts w:hint="default" w:ascii="Times New Roman" w:hAnsi="Times New Roman" w:cs="Times New Roman"/>
                <w:color w:val="auto"/>
                <w:lang w:val="en-US" w:eastAsia="zh-CN"/>
              </w:rPr>
              <w:t>本项目根据《水泥窑协同处置固体废物环境保护技术规范》（HJ662-2013）4.1.2的要求，设置了窑灰返窑装置。水泥熟料烧成系统产生的窑灰不排出，返回水泥窑循环利用生产水泥熟料，或直接掺入水泥熟料。当直接掺入水泥熟料时，应严格按照《水泥窑协同处置固体废物环境保护技术规范》（HJ662-2013）7.1.4要求，严格控制其掺加比例，确保水泥产品中的氯、碱、硫含量满足要求，水泥产品环境安全性满足相关标准的要求。通过烧成工段重金属物料平衡，以及项目废气、熟料中重金属达标情况分析，从长时段来看，各物料处于一种动态平衡，不会造成废气、熟料中重金属含量超标</w:t>
            </w:r>
            <w:r>
              <w:rPr>
                <w:rFonts w:hint="eastAsia" w:cs="Times New Roman"/>
                <w:color w:val="auto"/>
                <w:lang w:val="en-US" w:eastAsia="zh-CN"/>
              </w:rPr>
              <w:t>。</w:t>
            </w:r>
          </w:p>
          <w:p w14:paraId="3487A17E">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1）重金属在水泥窑中的挥发性</w:t>
            </w:r>
          </w:p>
          <w:p w14:paraId="4AAFCD9F">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根据《固体废物生产水泥污染控制标准（征求意见稿）》编制说明中根据重金属及其盐类的挥发特性将常见重金属元素划分为4类，分别为不挥发、半挥发、易挥发和高挥发类。</w:t>
            </w:r>
            <w:r>
              <w:rPr>
                <w:rFonts w:hint="eastAsia" w:cs="Times New Roman"/>
                <w:color w:val="auto"/>
                <w:lang w:val="en-US" w:eastAsia="zh-CN"/>
              </w:rPr>
              <w:t>见表2-15。</w:t>
            </w:r>
          </w:p>
          <w:p w14:paraId="1FB7E0BB">
            <w:pPr>
              <w:pStyle w:val="45"/>
              <w:bidi w:val="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2-1</w:t>
            </w:r>
            <w:r>
              <w:rPr>
                <w:rFonts w:hint="eastAsia" w:eastAsia="宋体" w:cs="Times New Roman"/>
                <w:b/>
                <w:bCs/>
                <w:color w:val="auto"/>
                <w:kern w:val="2"/>
                <w:sz w:val="24"/>
                <w:szCs w:val="24"/>
                <w:lang w:val="en-US" w:eastAsia="zh-CN" w:bidi="ar-SA"/>
              </w:rPr>
              <w:t>5</w:t>
            </w:r>
            <w:r>
              <w:rPr>
                <w:rFonts w:hint="default" w:ascii="Times New Roman" w:hAnsi="Times New Roman" w:eastAsia="宋体" w:cs="Times New Roman"/>
                <w:b/>
                <w:bCs/>
                <w:color w:val="auto"/>
                <w:kern w:val="2"/>
                <w:sz w:val="24"/>
                <w:szCs w:val="24"/>
                <w:lang w:val="en-US" w:eastAsia="zh-CN" w:bidi="ar-SA"/>
              </w:rPr>
              <w:t xml:space="preserve"> 微量元素在水泥窑内的挥发性分级</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3542"/>
              <w:gridCol w:w="2405"/>
            </w:tblGrid>
            <w:tr w14:paraId="58EC87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321" w:type="pct"/>
                  <w:tcBorders>
                    <w:tl2br w:val="nil"/>
                    <w:tr2bl w:val="nil"/>
                  </w:tcBorders>
                  <w:shd w:val="clear" w:color="auto" w:fill="auto"/>
                  <w:noWrap w:val="0"/>
                  <w:tcMar>
                    <w:top w:w="0" w:type="dxa"/>
                    <w:left w:w="108" w:type="dxa"/>
                    <w:bottom w:w="0" w:type="dxa"/>
                    <w:right w:w="108" w:type="dxa"/>
                  </w:tcMar>
                  <w:vAlign w:val="center"/>
                </w:tcPr>
                <w:p w14:paraId="053A3C49">
                  <w:pPr>
                    <w:pStyle w:val="43"/>
                    <w:bidi w:val="0"/>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等级</w:t>
                  </w:r>
                </w:p>
              </w:tc>
              <w:tc>
                <w:tcPr>
                  <w:tcW w:w="2190" w:type="pct"/>
                  <w:tcBorders>
                    <w:tl2br w:val="nil"/>
                    <w:tr2bl w:val="nil"/>
                  </w:tcBorders>
                  <w:noWrap w:val="0"/>
                  <w:tcMar>
                    <w:top w:w="0" w:type="dxa"/>
                    <w:left w:w="108" w:type="dxa"/>
                    <w:bottom w:w="0" w:type="dxa"/>
                    <w:right w:w="108" w:type="dxa"/>
                  </w:tcMar>
                  <w:vAlign w:val="center"/>
                </w:tcPr>
                <w:p w14:paraId="18B9839D">
                  <w:pPr>
                    <w:pStyle w:val="43"/>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元素</w:t>
                  </w:r>
                </w:p>
              </w:tc>
              <w:tc>
                <w:tcPr>
                  <w:tcW w:w="1487" w:type="pct"/>
                  <w:tcBorders>
                    <w:tl2br w:val="nil"/>
                    <w:tr2bl w:val="nil"/>
                  </w:tcBorders>
                  <w:noWrap w:val="0"/>
                  <w:tcMar>
                    <w:top w:w="0" w:type="dxa"/>
                    <w:left w:w="108" w:type="dxa"/>
                    <w:bottom w:w="0" w:type="dxa"/>
                    <w:right w:w="108" w:type="dxa"/>
                  </w:tcMar>
                  <w:vAlign w:val="center"/>
                </w:tcPr>
                <w:p w14:paraId="11A58853">
                  <w:pPr>
                    <w:pStyle w:val="43"/>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冷凝温度℃</w:t>
                  </w:r>
                </w:p>
              </w:tc>
            </w:tr>
            <w:tr w14:paraId="246EBB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21" w:type="pct"/>
                  <w:tcBorders>
                    <w:tl2br w:val="nil"/>
                    <w:tr2bl w:val="nil"/>
                  </w:tcBorders>
                  <w:shd w:val="clear" w:color="auto" w:fill="auto"/>
                  <w:noWrap w:val="0"/>
                  <w:tcMar>
                    <w:top w:w="0" w:type="dxa"/>
                    <w:left w:w="108" w:type="dxa"/>
                    <w:bottom w:w="0" w:type="dxa"/>
                    <w:right w:w="108" w:type="dxa"/>
                  </w:tcMar>
                  <w:vAlign w:val="center"/>
                </w:tcPr>
                <w:p w14:paraId="0065F40C">
                  <w:pPr>
                    <w:pStyle w:val="43"/>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不挥发</w:t>
                  </w:r>
                </w:p>
              </w:tc>
              <w:tc>
                <w:tcPr>
                  <w:tcW w:w="2190" w:type="pct"/>
                  <w:tcBorders>
                    <w:tl2br w:val="nil"/>
                    <w:tr2bl w:val="nil"/>
                  </w:tcBorders>
                  <w:noWrap w:val="0"/>
                  <w:tcMar>
                    <w:top w:w="0" w:type="dxa"/>
                    <w:left w:w="108" w:type="dxa"/>
                    <w:bottom w:w="0" w:type="dxa"/>
                    <w:right w:w="108" w:type="dxa"/>
                  </w:tcMar>
                  <w:vAlign w:val="center"/>
                </w:tcPr>
                <w:p w14:paraId="041F86F4">
                  <w:pPr>
                    <w:pStyle w:val="43"/>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Ba，Be，Cr，Ni，V，Al，Ti，Ca，Fe，Mn，Cu，Ag</w:t>
                  </w:r>
                </w:p>
              </w:tc>
              <w:tc>
                <w:tcPr>
                  <w:tcW w:w="1487" w:type="pct"/>
                  <w:tcBorders>
                    <w:tl2br w:val="nil"/>
                    <w:tr2bl w:val="nil"/>
                  </w:tcBorders>
                  <w:noWrap w:val="0"/>
                  <w:tcMar>
                    <w:top w:w="0" w:type="dxa"/>
                    <w:left w:w="108" w:type="dxa"/>
                    <w:bottom w:w="0" w:type="dxa"/>
                    <w:right w:w="108" w:type="dxa"/>
                  </w:tcMar>
                  <w:vAlign w:val="center"/>
                </w:tcPr>
                <w:p w14:paraId="71470F5E">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4A7F9F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321" w:type="pct"/>
                  <w:tcBorders>
                    <w:tl2br w:val="nil"/>
                    <w:tr2bl w:val="nil"/>
                  </w:tcBorders>
                  <w:shd w:val="clear" w:color="auto" w:fill="auto"/>
                  <w:noWrap w:val="0"/>
                  <w:tcMar>
                    <w:top w:w="0" w:type="dxa"/>
                    <w:left w:w="108" w:type="dxa"/>
                    <w:bottom w:w="0" w:type="dxa"/>
                    <w:right w:w="108" w:type="dxa"/>
                  </w:tcMar>
                  <w:vAlign w:val="center"/>
                </w:tcPr>
                <w:p w14:paraId="175E5F57">
                  <w:pPr>
                    <w:pStyle w:val="43"/>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半挥发</w:t>
                  </w:r>
                </w:p>
              </w:tc>
              <w:tc>
                <w:tcPr>
                  <w:tcW w:w="2190" w:type="pct"/>
                  <w:tcBorders>
                    <w:tl2br w:val="nil"/>
                    <w:tr2bl w:val="nil"/>
                  </w:tcBorders>
                  <w:noWrap w:val="0"/>
                  <w:tcMar>
                    <w:top w:w="0" w:type="dxa"/>
                    <w:left w:w="108" w:type="dxa"/>
                    <w:bottom w:w="0" w:type="dxa"/>
                    <w:right w:w="108" w:type="dxa"/>
                  </w:tcMar>
                  <w:vAlign w:val="center"/>
                </w:tcPr>
                <w:p w14:paraId="41763951">
                  <w:pPr>
                    <w:pStyle w:val="43"/>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As</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Sb</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Cd</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Pb</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Se</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Zn</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K</w:t>
                  </w:r>
                  <w:r>
                    <w:rPr>
                      <w:rFonts w:hint="eastAsia"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Na</w:t>
                  </w:r>
                </w:p>
              </w:tc>
              <w:tc>
                <w:tcPr>
                  <w:tcW w:w="1487" w:type="pct"/>
                  <w:tcBorders>
                    <w:tl2br w:val="nil"/>
                    <w:tr2bl w:val="nil"/>
                  </w:tcBorders>
                  <w:noWrap w:val="0"/>
                  <w:tcMar>
                    <w:top w:w="0" w:type="dxa"/>
                    <w:left w:w="108" w:type="dxa"/>
                    <w:bottom w:w="0" w:type="dxa"/>
                    <w:right w:w="108" w:type="dxa"/>
                  </w:tcMar>
                  <w:vAlign w:val="center"/>
                </w:tcPr>
                <w:p w14:paraId="5DCBAFB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700~900</w:t>
                  </w:r>
                </w:p>
              </w:tc>
            </w:tr>
            <w:tr w14:paraId="4F3CE4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321" w:type="pct"/>
                  <w:tcBorders>
                    <w:tl2br w:val="nil"/>
                    <w:tr2bl w:val="nil"/>
                  </w:tcBorders>
                  <w:shd w:val="clear" w:color="auto" w:fill="auto"/>
                  <w:noWrap w:val="0"/>
                  <w:tcMar>
                    <w:top w:w="0" w:type="dxa"/>
                    <w:left w:w="108" w:type="dxa"/>
                    <w:bottom w:w="0" w:type="dxa"/>
                    <w:right w:w="108" w:type="dxa"/>
                  </w:tcMar>
                  <w:vAlign w:val="center"/>
                </w:tcPr>
                <w:p w14:paraId="620CFF6A">
                  <w:pPr>
                    <w:pStyle w:val="43"/>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易挥发</w:t>
                  </w:r>
                </w:p>
              </w:tc>
              <w:tc>
                <w:tcPr>
                  <w:tcW w:w="2190" w:type="pct"/>
                  <w:tcBorders>
                    <w:tl2br w:val="nil"/>
                    <w:tr2bl w:val="nil"/>
                  </w:tcBorders>
                  <w:noWrap w:val="0"/>
                  <w:tcMar>
                    <w:top w:w="0" w:type="dxa"/>
                    <w:left w:w="108" w:type="dxa"/>
                    <w:bottom w:w="0" w:type="dxa"/>
                    <w:right w:w="108" w:type="dxa"/>
                  </w:tcMar>
                  <w:vAlign w:val="center"/>
                </w:tcPr>
                <w:p w14:paraId="2592C200">
                  <w:pPr>
                    <w:pStyle w:val="43"/>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Tl</w:t>
                  </w:r>
                </w:p>
              </w:tc>
              <w:tc>
                <w:tcPr>
                  <w:tcW w:w="1487" w:type="pct"/>
                  <w:tcBorders>
                    <w:tl2br w:val="nil"/>
                    <w:tr2bl w:val="nil"/>
                  </w:tcBorders>
                  <w:noWrap w:val="0"/>
                  <w:tcMar>
                    <w:top w:w="0" w:type="dxa"/>
                    <w:left w:w="108" w:type="dxa"/>
                    <w:bottom w:w="0" w:type="dxa"/>
                    <w:right w:w="108" w:type="dxa"/>
                  </w:tcMar>
                  <w:vAlign w:val="center"/>
                </w:tcPr>
                <w:p w14:paraId="442B5957">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450~550</w:t>
                  </w:r>
                </w:p>
              </w:tc>
            </w:tr>
            <w:tr w14:paraId="662AD8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321" w:type="pct"/>
                  <w:tcBorders>
                    <w:tl2br w:val="nil"/>
                    <w:tr2bl w:val="nil"/>
                  </w:tcBorders>
                  <w:shd w:val="clear" w:color="auto" w:fill="auto"/>
                  <w:noWrap w:val="0"/>
                  <w:tcMar>
                    <w:top w:w="0" w:type="dxa"/>
                    <w:left w:w="108" w:type="dxa"/>
                    <w:bottom w:w="0" w:type="dxa"/>
                    <w:right w:w="108" w:type="dxa"/>
                  </w:tcMar>
                  <w:vAlign w:val="center"/>
                </w:tcPr>
                <w:p w14:paraId="1CBFBBDD">
                  <w:pPr>
                    <w:pStyle w:val="43"/>
                    <w:bidi w:val="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高挥发</w:t>
                  </w:r>
                </w:p>
              </w:tc>
              <w:tc>
                <w:tcPr>
                  <w:tcW w:w="2190" w:type="pct"/>
                  <w:tcBorders>
                    <w:tl2br w:val="nil"/>
                    <w:tr2bl w:val="nil"/>
                  </w:tcBorders>
                  <w:noWrap w:val="0"/>
                  <w:tcMar>
                    <w:top w:w="0" w:type="dxa"/>
                    <w:left w:w="108" w:type="dxa"/>
                    <w:bottom w:w="0" w:type="dxa"/>
                    <w:right w:w="108" w:type="dxa"/>
                  </w:tcMar>
                  <w:vAlign w:val="center"/>
                </w:tcPr>
                <w:p w14:paraId="29E09A94">
                  <w:pPr>
                    <w:pStyle w:val="43"/>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Hg</w:t>
                  </w:r>
                </w:p>
              </w:tc>
              <w:tc>
                <w:tcPr>
                  <w:tcW w:w="1487" w:type="pct"/>
                  <w:tcBorders>
                    <w:tl2br w:val="nil"/>
                    <w:tr2bl w:val="nil"/>
                  </w:tcBorders>
                  <w:noWrap w:val="0"/>
                  <w:tcMar>
                    <w:top w:w="0" w:type="dxa"/>
                    <w:left w:w="108" w:type="dxa"/>
                    <w:bottom w:w="0" w:type="dxa"/>
                    <w:right w:w="108" w:type="dxa"/>
                  </w:tcMar>
                  <w:vAlign w:val="center"/>
                </w:tcPr>
                <w:p w14:paraId="3CF48BD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&lt;250</w:t>
                  </w:r>
                </w:p>
              </w:tc>
            </w:tr>
            <w:tr w14:paraId="76A31A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5000" w:type="pct"/>
                  <w:gridSpan w:val="3"/>
                  <w:tcBorders>
                    <w:tl2br w:val="nil"/>
                    <w:tr2bl w:val="nil"/>
                  </w:tcBorders>
                  <w:shd w:val="clear" w:color="auto" w:fill="auto"/>
                  <w:noWrap w:val="0"/>
                  <w:tcMar>
                    <w:top w:w="0" w:type="dxa"/>
                    <w:left w:w="108" w:type="dxa"/>
                    <w:bottom w:w="0" w:type="dxa"/>
                    <w:right w:w="108" w:type="dxa"/>
                  </w:tcMar>
                  <w:vAlign w:val="center"/>
                </w:tcPr>
                <w:p w14:paraId="11972233">
                  <w:pPr>
                    <w:pStyle w:val="43"/>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注：As的挥发特性根据《水泥窑协同处置危险废物污染控制标准（征求意见稿 ）》编制说明中研究资料：As在水泥窑内的挥发率达10%左右，因此将As归为半挥发性元素。</w:t>
                  </w:r>
                </w:p>
              </w:tc>
            </w:tr>
          </w:tbl>
          <w:p w14:paraId="2414F844">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①不挥发类元素与熟料中的主要元素钙、硅、铝及铁和镁相似，完全被结合到熟料中。除表中列出的元素外还有钼（Mo）、铀（U）、钽（Ta）、铌（Nb）</w:t>
            </w:r>
          </w:p>
          <w:p w14:paraId="27A2CB9D">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和钨（W）。这类元素 99.9%以上直接进入熟料。</w:t>
            </w:r>
          </w:p>
          <w:p w14:paraId="6917B9FD">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半挥发类元素在水泥熟料煅烧过程中，首先形成硫酸盐和氯化物。这类化合物在700-900℃温度范围内冷凝，在窑和预热器系统内形成内循环，最终几乎全部进入熟料，随烟气带入带出窑系统外的量很少。Pb和Cd在气固混合充分的悬浮预热窑内被熟料吸收的比例高于气固混合较弱的半干法窑上被熟料吸收的比例。例如Zn在悬浮预热器上90%被熟料吸收，但在半干法窑上被熟料吸收的比例在10%～90%之间波动，带入量越高熟料吸收率越低，进入窑灰和随净气粉尘排放的量越高。</w:t>
            </w:r>
          </w:p>
          <w:p w14:paraId="0CF69FA6">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③物料中易挥发的元素Tl于520~550℃开始蒸发，在窑尾物理温度850℃的温度区主要以气相存在，一般不被带回转窑烧成带，随熟料带出的比例小于 5%。蒸发的Tl一般在450~500℃的温度区冷凝，93%～98%都滞留在预热器系统内，其余部分可随窑灰带回窑系统，随废气排放的量少。</w:t>
            </w:r>
          </w:p>
          <w:p w14:paraId="2F69B00C">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高挥发元素Hg在约100℃温度下完全蒸发，所以不会结合在熟料中，在预热器系统内不能冷凝和分离出来，主要是凝结在窑灰上或随窑废气带走形成外循环和排放。在悬浮预热器窑上，130℃时Hg通过凝结在窑灰上的分离率可达约90%。利用窑废气进行粉磨烘干作业时更有利于提高Hg在废气中的分离率。本项目窑尾烟气温度＞100℃，因此大部分Hg也以气态形式排放，仅有微量附着在烟尘颗粒上，在焚烧过程中，约90%的Hg以气态形式排放到大气中，剩余10%的Hg凝结在烟尘颗粒上，再通过窑尾除尘效率为99.9%的高效除尘器处理后排放。</w:t>
            </w:r>
          </w:p>
          <w:p w14:paraId="63169B91">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综上，本项目重金属去向主要有三处：进入熟料中、进入窑灰后再入熟料中、进入窑尾废气中。</w:t>
            </w:r>
          </w:p>
          <w:p w14:paraId="7F74AD85">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2）重金属的排放系数</w:t>
            </w:r>
          </w:p>
          <w:p w14:paraId="4FEEBDD0">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重金属在水泥窑的高温条件下，部分进入烟气；部分进入熟料，部分进入窑灰，窑灰返回水泥窑循环利用生产熟料。对于重金属分配系数取《固体废物生产水泥污染控制标准（征求意见稿）》编制说明中表7和表10中相关排放系数中的最不利数据（按最不利情况，烟气中重金属分配系数取最大值）。进而确定分别进入熟料和废气中的重金属量。</w:t>
            </w:r>
          </w:p>
          <w:p w14:paraId="47E65DAA">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重金属的排放系数：德国水泥研究所（VDZ）根据多年研究，给出重金属在悬浮预热回转窑内的排放系数和转化系数。排放系数指燃料和原料中的重金属随烟气排入大气的比例；转化系数仅指燃料中的重金属随烟气排入大气的比例。Be属于不挥发金属，在烟气中的分配系数取0.05%。</w:t>
            </w:r>
          </w:p>
          <w:p w14:paraId="369A01BB">
            <w:pPr>
              <w:pStyle w:val="45"/>
              <w:bidi w:val="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2-1</w:t>
            </w:r>
            <w:r>
              <w:rPr>
                <w:rFonts w:hint="eastAsia" w:eastAsia="宋体" w:cs="Times New Roman"/>
                <w:b/>
                <w:bCs/>
                <w:color w:val="auto"/>
                <w:kern w:val="2"/>
                <w:sz w:val="24"/>
                <w:szCs w:val="24"/>
                <w:lang w:val="en-US" w:eastAsia="zh-CN" w:bidi="ar-SA"/>
              </w:rPr>
              <w:t>6</w:t>
            </w:r>
            <w:r>
              <w:rPr>
                <w:rFonts w:hint="default" w:ascii="Times New Roman" w:hAnsi="Times New Roman" w:eastAsia="宋体" w:cs="Times New Roman"/>
                <w:b/>
                <w:bCs/>
                <w:color w:val="auto"/>
                <w:kern w:val="2"/>
                <w:sz w:val="24"/>
                <w:szCs w:val="24"/>
                <w:lang w:val="en-US" w:eastAsia="zh-CN" w:bidi="ar-SA"/>
              </w:rPr>
              <w:t xml:space="preserve"> </w:t>
            </w:r>
            <w:r>
              <w:rPr>
                <w:rFonts w:hint="eastAsia" w:eastAsia="宋体" w:cs="Times New Roman"/>
                <w:b/>
                <w:bCs/>
                <w:color w:val="auto"/>
                <w:kern w:val="2"/>
                <w:sz w:val="24"/>
                <w:szCs w:val="24"/>
                <w:lang w:val="en-US" w:eastAsia="zh-CN" w:bidi="ar-SA"/>
              </w:rPr>
              <w:t xml:space="preserve"> </w:t>
            </w:r>
            <w:r>
              <w:rPr>
                <w:rFonts w:hint="default" w:ascii="Times New Roman" w:hAnsi="Times New Roman" w:eastAsia="宋体" w:cs="Times New Roman"/>
                <w:b/>
                <w:bCs/>
                <w:color w:val="auto"/>
                <w:kern w:val="2"/>
                <w:sz w:val="24"/>
                <w:szCs w:val="24"/>
                <w:lang w:val="en-US" w:eastAsia="zh-CN" w:bidi="ar-SA"/>
              </w:rPr>
              <w:t>VDZ测得的重金属排放系数和转化系数（%）</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88"/>
              <w:gridCol w:w="2405"/>
              <w:gridCol w:w="3191"/>
            </w:tblGrid>
            <w:tr w14:paraId="0666C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noWrap w:val="0"/>
                  <w:tcMar>
                    <w:top w:w="0" w:type="dxa"/>
                    <w:left w:w="108" w:type="dxa"/>
                    <w:bottom w:w="0" w:type="dxa"/>
                    <w:right w:w="108" w:type="dxa"/>
                  </w:tcMar>
                  <w:vAlign w:val="center"/>
                </w:tcPr>
                <w:p w14:paraId="1F94B3B4">
                  <w:pPr>
                    <w:pStyle w:val="43"/>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元素</w:t>
                  </w:r>
                </w:p>
              </w:tc>
              <w:tc>
                <w:tcPr>
                  <w:tcW w:w="1487" w:type="pct"/>
                  <w:tcBorders>
                    <w:tl2br w:val="nil"/>
                    <w:tr2bl w:val="nil"/>
                  </w:tcBorders>
                  <w:noWrap w:val="0"/>
                  <w:tcMar>
                    <w:top w:w="0" w:type="dxa"/>
                    <w:left w:w="108" w:type="dxa"/>
                    <w:bottom w:w="0" w:type="dxa"/>
                    <w:right w:w="108" w:type="dxa"/>
                  </w:tcMar>
                  <w:vAlign w:val="center"/>
                </w:tcPr>
                <w:p w14:paraId="69B8DB71">
                  <w:pPr>
                    <w:pStyle w:val="43"/>
                    <w:bidi w:val="0"/>
                    <w:rPr>
                      <w:rFonts w:hint="default" w:ascii="Times New Roman" w:hAnsi="Times New Roman" w:cs="Times New Roman"/>
                      <w:b/>
                      <w:bCs/>
                      <w:color w:val="auto"/>
                      <w:lang w:val="en-US" w:eastAsia="zh-CN"/>
                    </w:rPr>
                  </w:pPr>
                  <w:r>
                    <w:rPr>
                      <w:rFonts w:hint="eastAsia" w:cs="Times New Roman"/>
                      <w:b/>
                      <w:bCs/>
                      <w:color w:val="auto"/>
                      <w:lang w:val="en-US" w:eastAsia="zh-CN"/>
                    </w:rPr>
                    <w:t>排放系数</w:t>
                  </w:r>
                </w:p>
              </w:tc>
              <w:tc>
                <w:tcPr>
                  <w:tcW w:w="1973" w:type="pct"/>
                  <w:tcBorders>
                    <w:tl2br w:val="nil"/>
                    <w:tr2bl w:val="nil"/>
                  </w:tcBorders>
                  <w:noWrap w:val="0"/>
                  <w:tcMar>
                    <w:top w:w="0" w:type="dxa"/>
                    <w:left w:w="108" w:type="dxa"/>
                    <w:bottom w:w="0" w:type="dxa"/>
                    <w:right w:w="108" w:type="dxa"/>
                  </w:tcMar>
                  <w:vAlign w:val="center"/>
                </w:tcPr>
                <w:p w14:paraId="1CC9308C">
                  <w:pPr>
                    <w:pStyle w:val="43"/>
                    <w:bidi w:val="0"/>
                    <w:rPr>
                      <w:rFonts w:hint="default" w:ascii="Times New Roman" w:hAnsi="Times New Roman" w:cs="Times New Roman"/>
                      <w:b/>
                      <w:bCs/>
                      <w:color w:val="auto"/>
                      <w:lang w:val="en-US" w:eastAsia="zh-CN"/>
                    </w:rPr>
                  </w:pPr>
                  <w:r>
                    <w:rPr>
                      <w:rFonts w:hint="eastAsia" w:cs="Times New Roman"/>
                      <w:b/>
                      <w:bCs/>
                      <w:color w:val="auto"/>
                      <w:lang w:val="en-US" w:eastAsia="zh-CN"/>
                    </w:rPr>
                    <w:t>转化系数</w:t>
                  </w:r>
                </w:p>
              </w:tc>
            </w:tr>
            <w:tr w14:paraId="7F18B8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6E0A51E2">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Cd</w:t>
                  </w:r>
                </w:p>
              </w:tc>
              <w:tc>
                <w:tcPr>
                  <w:tcW w:w="1487" w:type="pct"/>
                  <w:tcBorders>
                    <w:tl2br w:val="nil"/>
                    <w:tr2bl w:val="nil"/>
                  </w:tcBorders>
                  <w:shd w:val="clear" w:color="auto" w:fill="auto"/>
                  <w:noWrap w:val="0"/>
                  <w:tcMar>
                    <w:top w:w="0" w:type="dxa"/>
                    <w:left w:w="108" w:type="dxa"/>
                    <w:bottom w:w="0" w:type="dxa"/>
                    <w:right w:w="108" w:type="dxa"/>
                  </w:tcMar>
                  <w:vAlign w:val="top"/>
                </w:tcPr>
                <w:p w14:paraId="46B0D6D5">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&lt;0.01-&lt;0.2</w:t>
                  </w:r>
                </w:p>
              </w:tc>
              <w:tc>
                <w:tcPr>
                  <w:tcW w:w="1973" w:type="pct"/>
                  <w:tcBorders>
                    <w:tl2br w:val="nil"/>
                    <w:tr2bl w:val="nil"/>
                  </w:tcBorders>
                  <w:shd w:val="clear" w:color="auto" w:fill="auto"/>
                  <w:noWrap w:val="0"/>
                  <w:tcMar>
                    <w:top w:w="0" w:type="dxa"/>
                    <w:left w:w="108" w:type="dxa"/>
                    <w:bottom w:w="0" w:type="dxa"/>
                    <w:right w:w="108" w:type="dxa"/>
                  </w:tcMar>
                  <w:vAlign w:val="top"/>
                </w:tcPr>
                <w:p w14:paraId="2044FD24">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r>
            <w:tr w14:paraId="08BCE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0B19A327">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Pb</w:t>
                  </w:r>
                </w:p>
              </w:tc>
              <w:tc>
                <w:tcPr>
                  <w:tcW w:w="1487" w:type="pct"/>
                  <w:tcBorders>
                    <w:tl2br w:val="nil"/>
                    <w:tr2bl w:val="nil"/>
                  </w:tcBorders>
                  <w:shd w:val="clear" w:color="auto" w:fill="auto"/>
                  <w:noWrap w:val="0"/>
                  <w:tcMar>
                    <w:top w:w="0" w:type="dxa"/>
                    <w:left w:w="108" w:type="dxa"/>
                    <w:bottom w:w="0" w:type="dxa"/>
                    <w:right w:w="108" w:type="dxa"/>
                  </w:tcMar>
                  <w:vAlign w:val="top"/>
                </w:tcPr>
                <w:p w14:paraId="46EBFB02">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&lt;0.01-&lt;0.2</w:t>
                  </w:r>
                </w:p>
              </w:tc>
              <w:tc>
                <w:tcPr>
                  <w:tcW w:w="1973" w:type="pct"/>
                  <w:tcBorders>
                    <w:tl2br w:val="nil"/>
                    <w:tr2bl w:val="nil"/>
                  </w:tcBorders>
                  <w:shd w:val="clear" w:color="auto" w:fill="auto"/>
                  <w:noWrap w:val="0"/>
                  <w:tcMar>
                    <w:top w:w="0" w:type="dxa"/>
                    <w:left w:w="108" w:type="dxa"/>
                    <w:bottom w:w="0" w:type="dxa"/>
                    <w:right w:w="108" w:type="dxa"/>
                  </w:tcMar>
                  <w:vAlign w:val="top"/>
                </w:tcPr>
                <w:p w14:paraId="640D76B3">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r>
            <w:tr w14:paraId="618A7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1595B1B6">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Tl</w:t>
                  </w:r>
                </w:p>
              </w:tc>
              <w:tc>
                <w:tcPr>
                  <w:tcW w:w="1487" w:type="pct"/>
                  <w:tcBorders>
                    <w:tl2br w:val="nil"/>
                    <w:tr2bl w:val="nil"/>
                  </w:tcBorders>
                  <w:shd w:val="clear" w:color="auto" w:fill="auto"/>
                  <w:noWrap w:val="0"/>
                  <w:tcMar>
                    <w:top w:w="0" w:type="dxa"/>
                    <w:left w:w="108" w:type="dxa"/>
                    <w:bottom w:w="0" w:type="dxa"/>
                    <w:right w:w="108" w:type="dxa"/>
                  </w:tcMar>
                  <w:vAlign w:val="top"/>
                </w:tcPr>
                <w:p w14:paraId="2476F16E">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 1</w:t>
                  </w:r>
                </w:p>
              </w:tc>
              <w:tc>
                <w:tcPr>
                  <w:tcW w:w="1973" w:type="pct"/>
                  <w:tcBorders>
                    <w:tl2br w:val="nil"/>
                    <w:tr2bl w:val="nil"/>
                  </w:tcBorders>
                  <w:shd w:val="clear" w:color="auto" w:fill="auto"/>
                  <w:noWrap w:val="0"/>
                  <w:tcMar>
                    <w:top w:w="0" w:type="dxa"/>
                    <w:left w:w="108" w:type="dxa"/>
                    <w:bottom w:w="0" w:type="dxa"/>
                    <w:right w:w="108" w:type="dxa"/>
                  </w:tcMar>
                  <w:vAlign w:val="top"/>
                </w:tcPr>
                <w:p w14:paraId="028DA846">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0.02</w:t>
                  </w:r>
                </w:p>
              </w:tc>
            </w:tr>
            <w:tr w14:paraId="14DE3D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07D24E02">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Sb</w:t>
                  </w:r>
                </w:p>
              </w:tc>
              <w:tc>
                <w:tcPr>
                  <w:tcW w:w="1487" w:type="pct"/>
                  <w:tcBorders>
                    <w:tl2br w:val="nil"/>
                    <w:tr2bl w:val="nil"/>
                  </w:tcBorders>
                  <w:shd w:val="clear" w:color="auto" w:fill="auto"/>
                  <w:noWrap w:val="0"/>
                  <w:tcMar>
                    <w:top w:w="0" w:type="dxa"/>
                    <w:left w:w="108" w:type="dxa"/>
                    <w:bottom w:w="0" w:type="dxa"/>
                    <w:right w:w="108" w:type="dxa"/>
                  </w:tcMar>
                  <w:vAlign w:val="top"/>
                </w:tcPr>
                <w:p w14:paraId="50C45713">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&lt;0.01-0.05</w:t>
                  </w:r>
                </w:p>
              </w:tc>
              <w:tc>
                <w:tcPr>
                  <w:tcW w:w="1973" w:type="pct"/>
                  <w:tcBorders>
                    <w:tl2br w:val="nil"/>
                    <w:tr2bl w:val="nil"/>
                  </w:tcBorders>
                  <w:shd w:val="clear" w:color="auto" w:fill="auto"/>
                  <w:noWrap w:val="0"/>
                  <w:tcMar>
                    <w:top w:w="0" w:type="dxa"/>
                    <w:left w:w="108" w:type="dxa"/>
                    <w:bottom w:w="0" w:type="dxa"/>
                    <w:right w:w="108" w:type="dxa"/>
                  </w:tcMar>
                  <w:vAlign w:val="top"/>
                </w:tcPr>
                <w:p w14:paraId="36BEA097">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4D6BD9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5B655ED0">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As</w:t>
                  </w:r>
                </w:p>
              </w:tc>
              <w:tc>
                <w:tcPr>
                  <w:tcW w:w="1487" w:type="pct"/>
                  <w:tcBorders>
                    <w:tl2br w:val="nil"/>
                    <w:tr2bl w:val="nil"/>
                  </w:tcBorders>
                  <w:shd w:val="clear" w:color="auto" w:fill="auto"/>
                  <w:noWrap w:val="0"/>
                  <w:tcMar>
                    <w:top w:w="0" w:type="dxa"/>
                    <w:left w:w="108" w:type="dxa"/>
                    <w:bottom w:w="0" w:type="dxa"/>
                    <w:right w:w="108" w:type="dxa"/>
                  </w:tcMar>
                  <w:vAlign w:val="top"/>
                </w:tcPr>
                <w:p w14:paraId="7B8A450C">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&lt;0.01-&lt;0.02</w:t>
                  </w:r>
                </w:p>
              </w:tc>
              <w:tc>
                <w:tcPr>
                  <w:tcW w:w="1973" w:type="pct"/>
                  <w:tcBorders>
                    <w:tl2br w:val="nil"/>
                    <w:tr2bl w:val="nil"/>
                  </w:tcBorders>
                  <w:shd w:val="clear" w:color="auto" w:fill="auto"/>
                  <w:noWrap w:val="0"/>
                  <w:tcMar>
                    <w:top w:w="0" w:type="dxa"/>
                    <w:left w:w="108" w:type="dxa"/>
                    <w:bottom w:w="0" w:type="dxa"/>
                    <w:right w:w="108" w:type="dxa"/>
                  </w:tcMar>
                  <w:vAlign w:val="top"/>
                </w:tcPr>
                <w:p w14:paraId="0A54C188">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038C0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02B179DD">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Mn</w:t>
                  </w:r>
                </w:p>
              </w:tc>
              <w:tc>
                <w:tcPr>
                  <w:tcW w:w="1487" w:type="pct"/>
                  <w:tcBorders>
                    <w:tl2br w:val="nil"/>
                    <w:tr2bl w:val="nil"/>
                  </w:tcBorders>
                  <w:shd w:val="clear" w:color="auto" w:fill="auto"/>
                  <w:noWrap w:val="0"/>
                  <w:tcMar>
                    <w:top w:w="0" w:type="dxa"/>
                    <w:left w:w="108" w:type="dxa"/>
                    <w:bottom w:w="0" w:type="dxa"/>
                    <w:right w:w="108" w:type="dxa"/>
                  </w:tcMar>
                  <w:vAlign w:val="top"/>
                </w:tcPr>
                <w:p w14:paraId="57A94E6F">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&lt;0.001-&lt;0.01</w:t>
                  </w:r>
                </w:p>
              </w:tc>
              <w:tc>
                <w:tcPr>
                  <w:tcW w:w="1973" w:type="pct"/>
                  <w:tcBorders>
                    <w:tl2br w:val="nil"/>
                    <w:tr2bl w:val="nil"/>
                  </w:tcBorders>
                  <w:shd w:val="clear" w:color="auto" w:fill="auto"/>
                  <w:noWrap w:val="0"/>
                  <w:tcMar>
                    <w:top w:w="0" w:type="dxa"/>
                    <w:left w:w="108" w:type="dxa"/>
                    <w:bottom w:w="0" w:type="dxa"/>
                    <w:right w:w="108" w:type="dxa"/>
                  </w:tcMar>
                  <w:vAlign w:val="top"/>
                </w:tcPr>
                <w:p w14:paraId="014E306F">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7AE3A8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720BF196">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Co</w:t>
                  </w:r>
                </w:p>
              </w:tc>
              <w:tc>
                <w:tcPr>
                  <w:tcW w:w="1487" w:type="pct"/>
                  <w:tcBorders>
                    <w:tl2br w:val="nil"/>
                    <w:tr2bl w:val="nil"/>
                  </w:tcBorders>
                  <w:shd w:val="clear" w:color="auto" w:fill="auto"/>
                  <w:noWrap w:val="0"/>
                  <w:tcMar>
                    <w:top w:w="0" w:type="dxa"/>
                    <w:left w:w="108" w:type="dxa"/>
                    <w:bottom w:w="0" w:type="dxa"/>
                    <w:right w:w="108" w:type="dxa"/>
                  </w:tcMar>
                  <w:vAlign w:val="top"/>
                </w:tcPr>
                <w:p w14:paraId="295CCC5F">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&lt;0.01-&lt;0.05</w:t>
                  </w:r>
                </w:p>
              </w:tc>
              <w:tc>
                <w:tcPr>
                  <w:tcW w:w="1973" w:type="pct"/>
                  <w:tcBorders>
                    <w:tl2br w:val="nil"/>
                    <w:tr2bl w:val="nil"/>
                  </w:tcBorders>
                  <w:shd w:val="clear" w:color="auto" w:fill="auto"/>
                  <w:noWrap w:val="0"/>
                  <w:tcMar>
                    <w:top w:w="0" w:type="dxa"/>
                    <w:left w:w="108" w:type="dxa"/>
                    <w:bottom w:w="0" w:type="dxa"/>
                    <w:right w:w="108" w:type="dxa"/>
                  </w:tcMar>
                  <w:vAlign w:val="top"/>
                </w:tcPr>
                <w:p w14:paraId="71CF9AE6">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76BAC6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538" w:type="pct"/>
                  <w:tcBorders>
                    <w:tl2br w:val="nil"/>
                    <w:tr2bl w:val="nil"/>
                  </w:tcBorders>
                  <w:shd w:val="clear" w:color="auto" w:fill="auto"/>
                  <w:noWrap w:val="0"/>
                  <w:tcMar>
                    <w:top w:w="0" w:type="dxa"/>
                    <w:left w:w="108" w:type="dxa"/>
                    <w:bottom w:w="0" w:type="dxa"/>
                    <w:right w:w="108" w:type="dxa"/>
                  </w:tcMar>
                  <w:vAlign w:val="top"/>
                </w:tcPr>
                <w:p w14:paraId="7187C86C">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Cu</w:t>
                  </w:r>
                </w:p>
              </w:tc>
              <w:tc>
                <w:tcPr>
                  <w:tcW w:w="1487" w:type="pct"/>
                  <w:tcBorders>
                    <w:tl2br w:val="nil"/>
                    <w:tr2bl w:val="nil"/>
                  </w:tcBorders>
                  <w:shd w:val="clear" w:color="auto" w:fill="auto"/>
                  <w:noWrap w:val="0"/>
                  <w:tcMar>
                    <w:top w:w="0" w:type="dxa"/>
                    <w:left w:w="108" w:type="dxa"/>
                    <w:bottom w:w="0" w:type="dxa"/>
                    <w:right w:w="108" w:type="dxa"/>
                  </w:tcMar>
                  <w:vAlign w:val="top"/>
                </w:tcPr>
                <w:p w14:paraId="0BCEAA46">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&lt;0.01-&lt;0.05</w:t>
                  </w:r>
                </w:p>
              </w:tc>
              <w:tc>
                <w:tcPr>
                  <w:tcW w:w="1973" w:type="pct"/>
                  <w:tcBorders>
                    <w:tl2br w:val="nil"/>
                    <w:tr2bl w:val="nil"/>
                  </w:tcBorders>
                  <w:shd w:val="clear" w:color="auto" w:fill="auto"/>
                  <w:noWrap w:val="0"/>
                  <w:tcMar>
                    <w:top w:w="0" w:type="dxa"/>
                    <w:left w:w="108" w:type="dxa"/>
                    <w:bottom w:w="0" w:type="dxa"/>
                    <w:right w:w="108" w:type="dxa"/>
                  </w:tcMar>
                  <w:vAlign w:val="top"/>
                </w:tcPr>
                <w:p w14:paraId="37476BF3">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2D13AB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0" w:type="auto"/>
                  <w:shd w:val="clear" w:color="auto" w:fill="auto"/>
                  <w:vAlign w:val="top"/>
                </w:tcPr>
                <w:p w14:paraId="4D69D9EB">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Cr</w:t>
                  </w:r>
                </w:p>
              </w:tc>
              <w:tc>
                <w:tcPr>
                  <w:tcW w:w="0" w:type="auto"/>
                  <w:shd w:val="clear" w:color="auto" w:fill="auto"/>
                  <w:vAlign w:val="top"/>
                </w:tcPr>
                <w:p w14:paraId="47D81A58">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&lt;0.01-&lt;0.05</w:t>
                  </w:r>
                </w:p>
              </w:tc>
              <w:tc>
                <w:tcPr>
                  <w:tcW w:w="0" w:type="auto"/>
                  <w:shd w:val="clear" w:color="auto" w:fill="auto"/>
                  <w:vAlign w:val="top"/>
                </w:tcPr>
                <w:p w14:paraId="053392CF">
                  <w:pPr>
                    <w:pStyle w:val="43"/>
                    <w:bidi w:val="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0627CE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0" w:type="auto"/>
                  <w:shd w:val="clear" w:color="auto" w:fill="auto"/>
                  <w:vAlign w:val="top"/>
                </w:tcPr>
                <w:p w14:paraId="0DD72ACE">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Ni</w:t>
                  </w:r>
                </w:p>
              </w:tc>
              <w:tc>
                <w:tcPr>
                  <w:tcW w:w="0" w:type="auto"/>
                  <w:shd w:val="clear" w:color="auto" w:fill="auto"/>
                  <w:vAlign w:val="top"/>
                </w:tcPr>
                <w:p w14:paraId="2B9ADC6A">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0.01-&lt;0.05</w:t>
                  </w:r>
                </w:p>
              </w:tc>
              <w:tc>
                <w:tcPr>
                  <w:tcW w:w="0" w:type="auto"/>
                  <w:shd w:val="clear" w:color="auto" w:fill="auto"/>
                  <w:vAlign w:val="top"/>
                </w:tcPr>
                <w:p w14:paraId="5C9EEA67">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72D881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0" w:type="auto"/>
                  <w:shd w:val="clear" w:color="auto" w:fill="auto"/>
                  <w:vAlign w:val="top"/>
                </w:tcPr>
                <w:p w14:paraId="316F9EA9">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V</w:t>
                  </w:r>
                </w:p>
              </w:tc>
              <w:tc>
                <w:tcPr>
                  <w:tcW w:w="0" w:type="auto"/>
                  <w:shd w:val="clear" w:color="auto" w:fill="auto"/>
                  <w:vAlign w:val="top"/>
                </w:tcPr>
                <w:p w14:paraId="37F94BBB">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0.01-&lt;0.05</w:t>
                  </w:r>
                </w:p>
              </w:tc>
              <w:tc>
                <w:tcPr>
                  <w:tcW w:w="0" w:type="auto"/>
                  <w:shd w:val="clear" w:color="auto" w:fill="auto"/>
                  <w:vAlign w:val="top"/>
                </w:tcPr>
                <w:p w14:paraId="049C99BD">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30207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0" w:type="auto"/>
                  <w:shd w:val="clear" w:color="auto" w:fill="auto"/>
                  <w:vAlign w:val="top"/>
                </w:tcPr>
                <w:p w14:paraId="11558645">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Sn</w:t>
                  </w:r>
                </w:p>
              </w:tc>
              <w:tc>
                <w:tcPr>
                  <w:tcW w:w="0" w:type="auto"/>
                  <w:shd w:val="clear" w:color="auto" w:fill="auto"/>
                  <w:vAlign w:val="top"/>
                </w:tcPr>
                <w:p w14:paraId="382E9633">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0.01-&lt;0.05</w:t>
                  </w:r>
                </w:p>
              </w:tc>
              <w:tc>
                <w:tcPr>
                  <w:tcW w:w="0" w:type="auto"/>
                  <w:shd w:val="clear" w:color="auto" w:fill="auto"/>
                  <w:vAlign w:val="top"/>
                </w:tcPr>
                <w:p w14:paraId="11582134">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r w14:paraId="3ED8A6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0" w:type="auto"/>
                  <w:shd w:val="clear" w:color="auto" w:fill="auto"/>
                  <w:vAlign w:val="top"/>
                </w:tcPr>
                <w:p w14:paraId="1B78D8AC">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Zn</w:t>
                  </w:r>
                </w:p>
              </w:tc>
              <w:tc>
                <w:tcPr>
                  <w:tcW w:w="0" w:type="auto"/>
                  <w:shd w:val="clear" w:color="auto" w:fill="auto"/>
                  <w:vAlign w:val="top"/>
                </w:tcPr>
                <w:p w14:paraId="45194B7B">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0.01-&lt;0.05</w:t>
                  </w:r>
                </w:p>
              </w:tc>
              <w:tc>
                <w:tcPr>
                  <w:tcW w:w="0" w:type="auto"/>
                  <w:shd w:val="clear" w:color="auto" w:fill="auto"/>
                  <w:vAlign w:val="top"/>
                </w:tcPr>
                <w:p w14:paraId="6429E58F">
                  <w:pPr>
                    <w:pStyle w:val="43"/>
                    <w:bidi w:val="0"/>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0.0005</w:t>
                  </w:r>
                </w:p>
              </w:tc>
            </w:tr>
          </w:tbl>
          <w:p w14:paraId="499F750E">
            <w:pPr>
              <w:bidi w:val="0"/>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lang w:val="en-US" w:eastAsia="zh-CN"/>
              </w:rPr>
              <w:t>根据项目拟利用固体废物用量表2-5和固体废物成分及重金属元素含量表2-9，同时根据建设单位及可研单位提供的常规原、燃料中重金属含量，计算项目建设后</w:t>
            </w:r>
            <w:r>
              <w:rPr>
                <w:rFonts w:hint="eastAsia" w:cs="Times New Roman"/>
                <w:color w:val="auto"/>
                <w:lang w:val="en-US" w:eastAsia="zh-CN"/>
              </w:rPr>
              <w:t>水泥熟料生产线</w:t>
            </w:r>
            <w:r>
              <w:rPr>
                <w:rFonts w:hint="default" w:ascii="Times New Roman" w:hAnsi="Times New Roman" w:cs="Times New Roman"/>
                <w:color w:val="auto"/>
                <w:lang w:val="en-US" w:eastAsia="zh-CN"/>
              </w:rPr>
              <w:t>重金属</w:t>
            </w:r>
            <w:r>
              <w:rPr>
                <w:rFonts w:hint="eastAsia" w:cs="Times New Roman"/>
                <w:color w:val="auto"/>
                <w:lang w:val="en-US" w:eastAsia="zh-CN"/>
              </w:rPr>
              <w:t>平衡</w:t>
            </w:r>
            <w:r>
              <w:rPr>
                <w:rFonts w:hint="default" w:ascii="Times New Roman" w:hAnsi="Times New Roman" w:cs="Times New Roman"/>
                <w:color w:val="auto"/>
                <w:lang w:val="en-US" w:eastAsia="zh-CN"/>
              </w:rPr>
              <w:t>见表2-1</w:t>
            </w:r>
            <w:r>
              <w:rPr>
                <w:rFonts w:hint="eastAsia" w:cs="Times New Roman"/>
                <w:color w:val="auto"/>
                <w:lang w:val="en-US" w:eastAsia="zh-CN"/>
              </w:rPr>
              <w:t>7</w:t>
            </w:r>
            <w:r>
              <w:rPr>
                <w:rFonts w:hint="default" w:ascii="Times New Roman" w:hAnsi="Times New Roman" w:cs="Times New Roman"/>
                <w:color w:val="auto"/>
                <w:lang w:val="en-US" w:eastAsia="zh-CN"/>
              </w:rPr>
              <w:t>。</w:t>
            </w:r>
          </w:p>
          <w:p w14:paraId="45734DB6">
            <w:pPr>
              <w:pStyle w:val="45"/>
              <w:bidi w:val="0"/>
              <w:rPr>
                <w:rFonts w:hint="default" w:ascii="Times New Roman" w:hAnsi="Times New Roman" w:eastAsia="宋体" w:cs="Times New Roman"/>
                <w:b/>
                <w:bCs/>
                <w:color w:val="auto"/>
                <w:kern w:val="2"/>
                <w:sz w:val="24"/>
                <w:szCs w:val="24"/>
                <w:lang w:val="en-US" w:eastAsia="zh-CN" w:bidi="ar-SA"/>
              </w:rPr>
            </w:pPr>
            <w:r>
              <w:rPr>
                <w:rFonts w:hint="eastAsia" w:eastAsia="宋体" w:cs="Times New Roman"/>
                <w:b/>
                <w:bCs/>
                <w:color w:val="auto"/>
                <w:kern w:val="2"/>
                <w:sz w:val="24"/>
                <w:szCs w:val="24"/>
                <w:lang w:val="en-US" w:eastAsia="zh-CN" w:bidi="ar-SA"/>
              </w:rPr>
              <w:t>表</w:t>
            </w:r>
            <w:r>
              <w:rPr>
                <w:rFonts w:hint="default" w:ascii="Times New Roman" w:hAnsi="Times New Roman" w:eastAsia="宋体" w:cs="Times New Roman"/>
                <w:b/>
                <w:bCs/>
                <w:color w:val="auto"/>
                <w:kern w:val="2"/>
                <w:sz w:val="24"/>
                <w:szCs w:val="24"/>
                <w:lang w:val="en-US" w:eastAsia="zh-CN" w:bidi="ar-SA"/>
              </w:rPr>
              <w:t>2-1</w:t>
            </w:r>
            <w:r>
              <w:rPr>
                <w:rFonts w:hint="eastAsia" w:eastAsia="宋体" w:cs="Times New Roman"/>
                <w:b/>
                <w:bCs/>
                <w:color w:val="auto"/>
                <w:kern w:val="2"/>
                <w:sz w:val="24"/>
                <w:szCs w:val="24"/>
                <w:lang w:val="en-US" w:eastAsia="zh-CN" w:bidi="ar-SA"/>
              </w:rPr>
              <w:t>7</w:t>
            </w:r>
            <w:r>
              <w:rPr>
                <w:rFonts w:hint="default" w:ascii="Times New Roman" w:hAnsi="Times New Roman" w:eastAsia="宋体" w:cs="Times New Roman"/>
                <w:b/>
                <w:bCs/>
                <w:color w:val="auto"/>
                <w:kern w:val="2"/>
                <w:sz w:val="24"/>
                <w:szCs w:val="24"/>
                <w:lang w:val="en-US" w:eastAsia="zh-CN" w:bidi="ar-SA"/>
              </w:rPr>
              <w:t xml:space="preserve"> 项目建设</w:t>
            </w:r>
            <w:r>
              <w:rPr>
                <w:rFonts w:hint="eastAsia" w:ascii="Times New Roman" w:hAnsi="Times New Roman" w:eastAsia="宋体" w:cs="Times New Roman"/>
                <w:b/>
                <w:bCs/>
                <w:color w:val="auto"/>
                <w:kern w:val="2"/>
                <w:sz w:val="24"/>
                <w:szCs w:val="24"/>
                <w:lang w:val="en-US" w:eastAsia="zh-CN" w:bidi="ar-SA"/>
              </w:rPr>
              <w:t>后</w:t>
            </w:r>
            <w:r>
              <w:rPr>
                <w:rFonts w:hint="default" w:ascii="Times New Roman" w:hAnsi="Times New Roman" w:eastAsia="宋体" w:cs="Times New Roman"/>
                <w:b/>
                <w:bCs/>
                <w:color w:val="auto"/>
                <w:kern w:val="2"/>
                <w:sz w:val="24"/>
                <w:szCs w:val="24"/>
                <w:lang w:val="en-US" w:eastAsia="zh-CN" w:bidi="ar-SA"/>
              </w:rPr>
              <w:t>水泥熟料生产线重金属平衡表</w:t>
            </w:r>
          </w:p>
          <w:tbl>
            <w:tblPr>
              <w:tblStyle w:val="31"/>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71"/>
              <w:gridCol w:w="1436"/>
              <w:gridCol w:w="1255"/>
              <w:gridCol w:w="1164"/>
              <w:gridCol w:w="1637"/>
              <w:gridCol w:w="1720"/>
            </w:tblGrid>
            <w:tr w14:paraId="54DA4D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jc w:val="center"/>
              </w:trPr>
              <w:tc>
                <w:tcPr>
                  <w:tcW w:w="538" w:type="pct"/>
                  <w:vMerge w:val="restart"/>
                  <w:tcBorders>
                    <w:tl2br w:val="nil"/>
                    <w:tr2bl w:val="nil"/>
                  </w:tcBorders>
                  <w:noWrap w:val="0"/>
                  <w:tcMar>
                    <w:top w:w="0" w:type="dxa"/>
                    <w:left w:w="108" w:type="dxa"/>
                    <w:bottom w:w="0" w:type="dxa"/>
                    <w:right w:w="108" w:type="dxa"/>
                  </w:tcMar>
                  <w:vAlign w:val="center"/>
                </w:tcPr>
                <w:p w14:paraId="7471FBF5">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项目</w:t>
                  </w:r>
                </w:p>
              </w:tc>
              <w:tc>
                <w:tcPr>
                  <w:tcW w:w="888" w:type="pct"/>
                  <w:vMerge w:val="restart"/>
                  <w:tcBorders>
                    <w:tl2br w:val="nil"/>
                    <w:tr2bl w:val="nil"/>
                  </w:tcBorders>
                  <w:noWrap w:val="0"/>
                  <w:tcMar>
                    <w:top w:w="0" w:type="dxa"/>
                    <w:left w:w="108" w:type="dxa"/>
                    <w:bottom w:w="0" w:type="dxa"/>
                    <w:right w:w="108" w:type="dxa"/>
                  </w:tcMar>
                  <w:vAlign w:val="center"/>
                </w:tcPr>
                <w:p w14:paraId="0FCCFE72">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输入量kg/a</w:t>
                  </w:r>
                </w:p>
              </w:tc>
              <w:tc>
                <w:tcPr>
                  <w:tcW w:w="1496" w:type="pct"/>
                  <w:gridSpan w:val="2"/>
                  <w:tcBorders>
                    <w:tl2br w:val="nil"/>
                    <w:tr2bl w:val="nil"/>
                  </w:tcBorders>
                  <w:noWrap w:val="0"/>
                  <w:tcMar>
                    <w:top w:w="0" w:type="dxa"/>
                    <w:left w:w="108" w:type="dxa"/>
                    <w:bottom w:w="0" w:type="dxa"/>
                    <w:right w:w="108" w:type="dxa"/>
                  </w:tcMar>
                  <w:vAlign w:val="center"/>
                </w:tcPr>
                <w:p w14:paraId="62FE67D6">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分配系数%</w:t>
                  </w:r>
                </w:p>
              </w:tc>
              <w:tc>
                <w:tcPr>
                  <w:tcW w:w="2076" w:type="pct"/>
                  <w:gridSpan w:val="2"/>
                  <w:tcBorders>
                    <w:tl2br w:val="nil"/>
                    <w:tr2bl w:val="nil"/>
                  </w:tcBorders>
                  <w:noWrap w:val="0"/>
                  <w:tcMar>
                    <w:top w:w="0" w:type="dxa"/>
                    <w:left w:w="108" w:type="dxa"/>
                    <w:bottom w:w="0" w:type="dxa"/>
                    <w:right w:w="108" w:type="dxa"/>
                  </w:tcMar>
                  <w:vAlign w:val="center"/>
                </w:tcPr>
                <w:p w14:paraId="08335795">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输出量kg/a</w:t>
                  </w:r>
                </w:p>
              </w:tc>
            </w:tr>
            <w:tr w14:paraId="0A51B3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vMerge w:val="continue"/>
                  <w:tcBorders>
                    <w:tl2br w:val="nil"/>
                    <w:tr2bl w:val="nil"/>
                  </w:tcBorders>
                  <w:noWrap w:val="0"/>
                  <w:tcMar>
                    <w:top w:w="0" w:type="dxa"/>
                    <w:left w:w="108" w:type="dxa"/>
                    <w:bottom w:w="0" w:type="dxa"/>
                    <w:right w:w="108" w:type="dxa"/>
                  </w:tcMar>
                  <w:vAlign w:val="center"/>
                </w:tcPr>
                <w:p w14:paraId="3A4C844C">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p>
              </w:tc>
              <w:tc>
                <w:tcPr>
                  <w:tcW w:w="888" w:type="pct"/>
                  <w:vMerge w:val="continue"/>
                  <w:tcBorders>
                    <w:tl2br w:val="nil"/>
                    <w:tr2bl w:val="nil"/>
                  </w:tcBorders>
                  <w:noWrap w:val="0"/>
                  <w:tcMar>
                    <w:top w:w="0" w:type="dxa"/>
                    <w:left w:w="108" w:type="dxa"/>
                    <w:bottom w:w="0" w:type="dxa"/>
                    <w:right w:w="108" w:type="dxa"/>
                  </w:tcMar>
                  <w:vAlign w:val="center"/>
                </w:tcPr>
                <w:p w14:paraId="350B1A4C">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p>
              </w:tc>
              <w:tc>
                <w:tcPr>
                  <w:tcW w:w="776" w:type="pct"/>
                  <w:tcBorders>
                    <w:tl2br w:val="nil"/>
                    <w:tr2bl w:val="nil"/>
                  </w:tcBorders>
                  <w:noWrap w:val="0"/>
                  <w:tcMar>
                    <w:top w:w="0" w:type="dxa"/>
                    <w:left w:w="108" w:type="dxa"/>
                    <w:bottom w:w="0" w:type="dxa"/>
                    <w:right w:w="108" w:type="dxa"/>
                  </w:tcMar>
                  <w:vAlign w:val="center"/>
                </w:tcPr>
                <w:p w14:paraId="5613BDCD">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熟料</w:t>
                  </w:r>
                </w:p>
              </w:tc>
              <w:tc>
                <w:tcPr>
                  <w:tcW w:w="720" w:type="pct"/>
                  <w:tcBorders>
                    <w:tl2br w:val="nil"/>
                    <w:tr2bl w:val="nil"/>
                  </w:tcBorders>
                  <w:noWrap w:val="0"/>
                  <w:tcMar>
                    <w:top w:w="0" w:type="dxa"/>
                    <w:left w:w="108" w:type="dxa"/>
                    <w:bottom w:w="0" w:type="dxa"/>
                    <w:right w:w="108" w:type="dxa"/>
                  </w:tcMar>
                  <w:vAlign w:val="center"/>
                </w:tcPr>
                <w:p w14:paraId="2E8DD2BE">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窑尾废气</w:t>
                  </w:r>
                </w:p>
              </w:tc>
              <w:tc>
                <w:tcPr>
                  <w:tcW w:w="1012" w:type="pct"/>
                  <w:tcBorders>
                    <w:tl2br w:val="nil"/>
                    <w:tr2bl w:val="nil"/>
                  </w:tcBorders>
                  <w:noWrap w:val="0"/>
                  <w:tcMar>
                    <w:top w:w="0" w:type="dxa"/>
                    <w:left w:w="108" w:type="dxa"/>
                    <w:bottom w:w="0" w:type="dxa"/>
                    <w:right w:w="108" w:type="dxa"/>
                  </w:tcMar>
                  <w:vAlign w:val="center"/>
                </w:tcPr>
                <w:p w14:paraId="76CB68B4">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熟料</w:t>
                  </w:r>
                </w:p>
              </w:tc>
              <w:tc>
                <w:tcPr>
                  <w:tcW w:w="1063" w:type="pct"/>
                  <w:tcBorders>
                    <w:tl2br w:val="nil"/>
                    <w:tr2bl w:val="nil"/>
                  </w:tcBorders>
                  <w:noWrap w:val="0"/>
                  <w:tcMar>
                    <w:top w:w="0" w:type="dxa"/>
                    <w:left w:w="108" w:type="dxa"/>
                    <w:bottom w:w="0" w:type="dxa"/>
                    <w:right w:w="108" w:type="dxa"/>
                  </w:tcMar>
                  <w:vAlign w:val="center"/>
                </w:tcPr>
                <w:p w14:paraId="0E232D59">
                  <w:pPr>
                    <w:pStyle w:val="46"/>
                    <w:keepNext w:val="0"/>
                    <w:keepLines w:val="0"/>
                    <w:pageBreakBefore w:val="0"/>
                    <w:widowControl w:val="0"/>
                    <w:kinsoku/>
                    <w:wordWrap/>
                    <w:topLinePunct w:val="0"/>
                    <w:autoSpaceDE/>
                    <w:autoSpaceDN/>
                    <w:bidi w:val="0"/>
                    <w:adjustRightInd w:val="0"/>
                    <w:snapToGrid w:val="0"/>
                    <w:spacing w:beforeLines="0" w:afterLines="0"/>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窑尾废气</w:t>
                  </w:r>
                </w:p>
              </w:tc>
            </w:tr>
            <w:tr w14:paraId="618C67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19E5EEC3">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汞Hg</w:t>
                  </w:r>
                </w:p>
              </w:tc>
              <w:tc>
                <w:tcPr>
                  <w:tcW w:w="888" w:type="pct"/>
                  <w:tcBorders>
                    <w:tl2br w:val="nil"/>
                    <w:tr2bl w:val="nil"/>
                  </w:tcBorders>
                  <w:shd w:val="clear" w:color="auto" w:fill="auto"/>
                  <w:noWrap w:val="0"/>
                  <w:tcMar>
                    <w:top w:w="0" w:type="dxa"/>
                    <w:left w:w="108" w:type="dxa"/>
                    <w:bottom w:w="0" w:type="dxa"/>
                    <w:right w:w="108" w:type="dxa"/>
                  </w:tcMar>
                  <w:vAlign w:val="center"/>
                </w:tcPr>
                <w:p w14:paraId="58FDB09F">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46.132 </w:t>
                  </w:r>
                </w:p>
              </w:tc>
              <w:tc>
                <w:tcPr>
                  <w:tcW w:w="776" w:type="pct"/>
                  <w:tcBorders>
                    <w:tl2br w:val="nil"/>
                    <w:tr2bl w:val="nil"/>
                  </w:tcBorders>
                  <w:shd w:val="clear" w:color="auto" w:fill="auto"/>
                  <w:noWrap w:val="0"/>
                  <w:tcMar>
                    <w:top w:w="0" w:type="dxa"/>
                    <w:left w:w="108" w:type="dxa"/>
                    <w:bottom w:w="0" w:type="dxa"/>
                    <w:right w:w="108" w:type="dxa"/>
                  </w:tcMar>
                  <w:vAlign w:val="center"/>
                </w:tcPr>
                <w:p w14:paraId="7F8965EA">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p>
              </w:tc>
              <w:tc>
                <w:tcPr>
                  <w:tcW w:w="720" w:type="pct"/>
                  <w:tcBorders>
                    <w:tl2br w:val="nil"/>
                    <w:tr2bl w:val="nil"/>
                  </w:tcBorders>
                  <w:shd w:val="clear" w:color="auto" w:fill="auto"/>
                  <w:noWrap w:val="0"/>
                  <w:tcMar>
                    <w:top w:w="0" w:type="dxa"/>
                    <w:left w:w="108" w:type="dxa"/>
                    <w:bottom w:w="0" w:type="dxa"/>
                    <w:right w:w="108" w:type="dxa"/>
                  </w:tcMar>
                  <w:vAlign w:val="center"/>
                </w:tcPr>
                <w:p w14:paraId="24E39229">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100</w:t>
                  </w:r>
                </w:p>
              </w:tc>
              <w:tc>
                <w:tcPr>
                  <w:tcW w:w="1012" w:type="pct"/>
                  <w:tcBorders>
                    <w:tl2br w:val="nil"/>
                    <w:tr2bl w:val="nil"/>
                  </w:tcBorders>
                  <w:shd w:val="clear" w:color="auto" w:fill="auto"/>
                  <w:noWrap w:val="0"/>
                  <w:tcMar>
                    <w:top w:w="0" w:type="dxa"/>
                    <w:left w:w="108" w:type="dxa"/>
                    <w:bottom w:w="0" w:type="dxa"/>
                    <w:right w:w="108" w:type="dxa"/>
                  </w:tcMar>
                  <w:vAlign w:val="center"/>
                </w:tcPr>
                <w:p w14:paraId="6C615593">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0.000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403D329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46.132 </w:t>
                  </w:r>
                </w:p>
              </w:tc>
            </w:tr>
            <w:tr w14:paraId="6633E7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790756D2">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铊</w:t>
                  </w:r>
                  <w:r>
                    <w:rPr>
                      <w:rFonts w:hint="default" w:cs="Times New Roman"/>
                      <w:color w:val="auto"/>
                      <w:kern w:val="2"/>
                      <w:sz w:val="21"/>
                      <w:szCs w:val="21"/>
                      <w:lang w:val="en-US" w:eastAsia="zh-CN" w:bidi="ar-SA"/>
                    </w:rPr>
                    <w:t>Tl</w:t>
                  </w:r>
                </w:p>
              </w:tc>
              <w:tc>
                <w:tcPr>
                  <w:tcW w:w="888" w:type="pct"/>
                  <w:tcBorders>
                    <w:tl2br w:val="nil"/>
                    <w:tr2bl w:val="nil"/>
                  </w:tcBorders>
                  <w:shd w:val="clear" w:color="auto" w:fill="auto"/>
                  <w:noWrap w:val="0"/>
                  <w:tcMar>
                    <w:top w:w="0" w:type="dxa"/>
                    <w:left w:w="108" w:type="dxa"/>
                    <w:bottom w:w="0" w:type="dxa"/>
                    <w:right w:w="108" w:type="dxa"/>
                  </w:tcMar>
                  <w:vAlign w:val="center"/>
                </w:tcPr>
                <w:p w14:paraId="1311AF2B">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99.011 </w:t>
                  </w:r>
                </w:p>
              </w:tc>
              <w:tc>
                <w:tcPr>
                  <w:tcW w:w="776" w:type="pct"/>
                  <w:tcBorders>
                    <w:tl2br w:val="nil"/>
                    <w:tr2bl w:val="nil"/>
                  </w:tcBorders>
                  <w:shd w:val="clear" w:color="auto" w:fill="auto"/>
                  <w:noWrap w:val="0"/>
                  <w:tcMar>
                    <w:top w:w="0" w:type="dxa"/>
                    <w:left w:w="108" w:type="dxa"/>
                    <w:bottom w:w="0" w:type="dxa"/>
                    <w:right w:w="108" w:type="dxa"/>
                  </w:tcMar>
                  <w:vAlign w:val="center"/>
                </w:tcPr>
                <w:p w14:paraId="46FAA6F0">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tcMar>
                    <w:top w:w="0" w:type="dxa"/>
                    <w:left w:w="108" w:type="dxa"/>
                    <w:bottom w:w="0" w:type="dxa"/>
                    <w:right w:w="108" w:type="dxa"/>
                  </w:tcMar>
                  <w:vAlign w:val="center"/>
                </w:tcPr>
                <w:p w14:paraId="133B156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0. 1</w:t>
                  </w:r>
                </w:p>
              </w:tc>
              <w:tc>
                <w:tcPr>
                  <w:tcW w:w="1012" w:type="pct"/>
                  <w:tcBorders>
                    <w:tl2br w:val="nil"/>
                    <w:tr2bl w:val="nil"/>
                  </w:tcBorders>
                  <w:shd w:val="clear" w:color="auto" w:fill="auto"/>
                  <w:noWrap w:val="0"/>
                  <w:tcMar>
                    <w:top w:w="0" w:type="dxa"/>
                    <w:left w:w="108" w:type="dxa"/>
                    <w:bottom w:w="0" w:type="dxa"/>
                    <w:right w:w="108" w:type="dxa"/>
                  </w:tcMar>
                  <w:vAlign w:val="center"/>
                </w:tcPr>
                <w:p w14:paraId="5044B34D">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98.912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35819D2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0.099 </w:t>
                  </w:r>
                </w:p>
              </w:tc>
            </w:tr>
            <w:tr w14:paraId="3F7CB8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6A0B1CB0">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砷</w:t>
                  </w:r>
                  <w:r>
                    <w:rPr>
                      <w:rFonts w:hint="default" w:cs="Times New Roman"/>
                      <w:color w:val="auto"/>
                      <w:kern w:val="2"/>
                      <w:sz w:val="21"/>
                      <w:szCs w:val="21"/>
                      <w:lang w:val="en-US" w:eastAsia="zh-CN" w:bidi="ar-SA"/>
                    </w:rPr>
                    <w:t>As</w:t>
                  </w:r>
                </w:p>
              </w:tc>
              <w:tc>
                <w:tcPr>
                  <w:tcW w:w="888" w:type="pct"/>
                  <w:tcBorders>
                    <w:tl2br w:val="nil"/>
                    <w:tr2bl w:val="nil"/>
                  </w:tcBorders>
                  <w:shd w:val="clear" w:color="auto" w:fill="auto"/>
                  <w:noWrap w:val="0"/>
                  <w:tcMar>
                    <w:top w:w="0" w:type="dxa"/>
                    <w:left w:w="108" w:type="dxa"/>
                    <w:bottom w:w="0" w:type="dxa"/>
                    <w:right w:w="108" w:type="dxa"/>
                  </w:tcMar>
                  <w:vAlign w:val="center"/>
                </w:tcPr>
                <w:p w14:paraId="66FD3509">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3327.549 </w:t>
                  </w:r>
                </w:p>
              </w:tc>
              <w:tc>
                <w:tcPr>
                  <w:tcW w:w="776" w:type="pct"/>
                  <w:tcBorders>
                    <w:tl2br w:val="nil"/>
                    <w:tr2bl w:val="nil"/>
                  </w:tcBorders>
                  <w:shd w:val="clear" w:color="auto" w:fill="auto"/>
                  <w:noWrap w:val="0"/>
                  <w:tcMar>
                    <w:top w:w="0" w:type="dxa"/>
                    <w:left w:w="108" w:type="dxa"/>
                    <w:bottom w:w="0" w:type="dxa"/>
                    <w:right w:w="108" w:type="dxa"/>
                  </w:tcMar>
                  <w:vAlign w:val="center"/>
                </w:tcPr>
                <w:p w14:paraId="7F2D21E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99.98</w:t>
                  </w:r>
                </w:p>
              </w:tc>
              <w:tc>
                <w:tcPr>
                  <w:tcW w:w="720" w:type="pct"/>
                  <w:tcBorders>
                    <w:tl2br w:val="nil"/>
                    <w:tr2bl w:val="nil"/>
                  </w:tcBorders>
                  <w:shd w:val="clear" w:color="auto" w:fill="auto"/>
                  <w:noWrap w:val="0"/>
                  <w:tcMar>
                    <w:top w:w="0" w:type="dxa"/>
                    <w:left w:w="108" w:type="dxa"/>
                    <w:bottom w:w="0" w:type="dxa"/>
                    <w:right w:w="108" w:type="dxa"/>
                  </w:tcMar>
                  <w:vAlign w:val="center"/>
                </w:tcPr>
                <w:p w14:paraId="61C8C1D0">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0.02</w:t>
                  </w:r>
                </w:p>
              </w:tc>
              <w:tc>
                <w:tcPr>
                  <w:tcW w:w="1012" w:type="pct"/>
                  <w:tcBorders>
                    <w:tl2br w:val="nil"/>
                    <w:tr2bl w:val="nil"/>
                  </w:tcBorders>
                  <w:shd w:val="clear" w:color="auto" w:fill="auto"/>
                  <w:noWrap w:val="0"/>
                  <w:tcMar>
                    <w:top w:w="0" w:type="dxa"/>
                    <w:left w:w="108" w:type="dxa"/>
                    <w:bottom w:w="0" w:type="dxa"/>
                    <w:right w:w="108" w:type="dxa"/>
                  </w:tcMar>
                  <w:vAlign w:val="center"/>
                </w:tcPr>
                <w:p w14:paraId="7D9D98F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3326.883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302CCAE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0.666 </w:t>
                  </w:r>
                </w:p>
              </w:tc>
            </w:tr>
            <w:tr w14:paraId="7D2C24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11A764E4">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铅</w:t>
                  </w:r>
                  <w:r>
                    <w:rPr>
                      <w:rFonts w:hint="default" w:cs="Times New Roman"/>
                      <w:color w:val="auto"/>
                      <w:kern w:val="2"/>
                      <w:sz w:val="21"/>
                      <w:szCs w:val="21"/>
                      <w:lang w:val="en-US" w:eastAsia="zh-CN" w:bidi="ar-SA"/>
                    </w:rPr>
                    <w:t>Pb</w:t>
                  </w:r>
                </w:p>
              </w:tc>
              <w:tc>
                <w:tcPr>
                  <w:tcW w:w="888" w:type="pct"/>
                  <w:tcBorders>
                    <w:tl2br w:val="nil"/>
                    <w:tr2bl w:val="nil"/>
                  </w:tcBorders>
                  <w:shd w:val="clear" w:color="auto" w:fill="auto"/>
                  <w:noWrap w:val="0"/>
                  <w:tcMar>
                    <w:top w:w="0" w:type="dxa"/>
                    <w:left w:w="108" w:type="dxa"/>
                    <w:bottom w:w="0" w:type="dxa"/>
                    <w:right w:w="108" w:type="dxa"/>
                  </w:tcMar>
                  <w:vAlign w:val="center"/>
                </w:tcPr>
                <w:p w14:paraId="0671C5A9">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142456.781 </w:t>
                  </w:r>
                </w:p>
              </w:tc>
              <w:tc>
                <w:tcPr>
                  <w:tcW w:w="776" w:type="pct"/>
                  <w:tcBorders>
                    <w:tl2br w:val="nil"/>
                    <w:tr2bl w:val="nil"/>
                  </w:tcBorders>
                  <w:shd w:val="clear" w:color="auto" w:fill="auto"/>
                  <w:noWrap w:val="0"/>
                  <w:tcMar>
                    <w:top w:w="0" w:type="dxa"/>
                    <w:left w:w="108" w:type="dxa"/>
                    <w:bottom w:w="0" w:type="dxa"/>
                    <w:right w:w="108" w:type="dxa"/>
                  </w:tcMar>
                  <w:vAlign w:val="center"/>
                </w:tcPr>
                <w:p w14:paraId="62AFC949">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99.8</w:t>
                  </w:r>
                </w:p>
              </w:tc>
              <w:tc>
                <w:tcPr>
                  <w:tcW w:w="720" w:type="pct"/>
                  <w:tcBorders>
                    <w:tl2br w:val="nil"/>
                    <w:tr2bl w:val="nil"/>
                  </w:tcBorders>
                  <w:shd w:val="clear" w:color="auto" w:fill="auto"/>
                  <w:noWrap w:val="0"/>
                  <w:tcMar>
                    <w:top w:w="0" w:type="dxa"/>
                    <w:left w:w="108" w:type="dxa"/>
                    <w:bottom w:w="0" w:type="dxa"/>
                    <w:right w:w="108" w:type="dxa"/>
                  </w:tcMar>
                  <w:vAlign w:val="center"/>
                </w:tcPr>
                <w:p w14:paraId="501E1ECA">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w:t>
                  </w:r>
                </w:p>
              </w:tc>
              <w:tc>
                <w:tcPr>
                  <w:tcW w:w="1012" w:type="pct"/>
                  <w:tcBorders>
                    <w:tl2br w:val="nil"/>
                    <w:tr2bl w:val="nil"/>
                  </w:tcBorders>
                  <w:shd w:val="clear" w:color="auto" w:fill="auto"/>
                  <w:noWrap w:val="0"/>
                  <w:tcMar>
                    <w:top w:w="0" w:type="dxa"/>
                    <w:left w:w="108" w:type="dxa"/>
                    <w:bottom w:w="0" w:type="dxa"/>
                    <w:right w:w="108" w:type="dxa"/>
                  </w:tcMar>
                  <w:vAlign w:val="center"/>
                </w:tcPr>
                <w:p w14:paraId="70ECA1C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142171.868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07D8EB9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284.914 </w:t>
                  </w:r>
                </w:p>
              </w:tc>
            </w:tr>
            <w:tr w14:paraId="7F9109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0B41802A">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镉</w:t>
                  </w:r>
                  <w:r>
                    <w:rPr>
                      <w:rFonts w:hint="default" w:cs="Times New Roman"/>
                      <w:color w:val="auto"/>
                      <w:kern w:val="2"/>
                      <w:sz w:val="21"/>
                      <w:szCs w:val="21"/>
                      <w:lang w:val="en-US" w:eastAsia="zh-CN" w:bidi="ar-SA"/>
                    </w:rPr>
                    <w:t>Cd</w:t>
                  </w:r>
                </w:p>
              </w:tc>
              <w:tc>
                <w:tcPr>
                  <w:tcW w:w="888" w:type="pct"/>
                  <w:tcBorders>
                    <w:tl2br w:val="nil"/>
                    <w:tr2bl w:val="nil"/>
                  </w:tcBorders>
                  <w:shd w:val="clear" w:color="auto" w:fill="auto"/>
                  <w:noWrap w:val="0"/>
                  <w:tcMar>
                    <w:top w:w="0" w:type="dxa"/>
                    <w:left w:w="108" w:type="dxa"/>
                    <w:bottom w:w="0" w:type="dxa"/>
                    <w:right w:w="108" w:type="dxa"/>
                  </w:tcMar>
                  <w:vAlign w:val="center"/>
                </w:tcPr>
                <w:p w14:paraId="74DD43C8">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6969.225 </w:t>
                  </w:r>
                </w:p>
              </w:tc>
              <w:tc>
                <w:tcPr>
                  <w:tcW w:w="776" w:type="pct"/>
                  <w:tcBorders>
                    <w:tl2br w:val="nil"/>
                    <w:tr2bl w:val="nil"/>
                  </w:tcBorders>
                  <w:shd w:val="clear" w:color="auto" w:fill="auto"/>
                  <w:noWrap w:val="0"/>
                  <w:tcMar>
                    <w:top w:w="0" w:type="dxa"/>
                    <w:left w:w="108" w:type="dxa"/>
                    <w:bottom w:w="0" w:type="dxa"/>
                    <w:right w:w="108" w:type="dxa"/>
                  </w:tcMar>
                  <w:vAlign w:val="center"/>
                </w:tcPr>
                <w:p w14:paraId="321C018D">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99.8</w:t>
                  </w:r>
                </w:p>
              </w:tc>
              <w:tc>
                <w:tcPr>
                  <w:tcW w:w="720" w:type="pct"/>
                  <w:tcBorders>
                    <w:tl2br w:val="nil"/>
                    <w:tr2bl w:val="nil"/>
                  </w:tcBorders>
                  <w:shd w:val="clear" w:color="auto" w:fill="auto"/>
                  <w:noWrap w:val="0"/>
                  <w:tcMar>
                    <w:top w:w="0" w:type="dxa"/>
                    <w:left w:w="108" w:type="dxa"/>
                    <w:bottom w:w="0" w:type="dxa"/>
                    <w:right w:w="108" w:type="dxa"/>
                  </w:tcMar>
                  <w:vAlign w:val="center"/>
                </w:tcPr>
                <w:p w14:paraId="649A05D9">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w:t>
                  </w:r>
                </w:p>
              </w:tc>
              <w:tc>
                <w:tcPr>
                  <w:tcW w:w="1012" w:type="pct"/>
                  <w:tcBorders>
                    <w:tl2br w:val="nil"/>
                    <w:tr2bl w:val="nil"/>
                  </w:tcBorders>
                  <w:shd w:val="clear" w:color="auto" w:fill="auto"/>
                  <w:noWrap w:val="0"/>
                  <w:tcMar>
                    <w:top w:w="0" w:type="dxa"/>
                    <w:left w:w="108" w:type="dxa"/>
                    <w:bottom w:w="0" w:type="dxa"/>
                    <w:right w:w="108" w:type="dxa"/>
                  </w:tcMar>
                  <w:vAlign w:val="center"/>
                </w:tcPr>
                <w:p w14:paraId="05500A4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6955.287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4A2D68B3">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13.938 </w:t>
                  </w:r>
                </w:p>
              </w:tc>
            </w:tr>
            <w:tr w14:paraId="4D05D2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3176EA48">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铬</w:t>
                  </w:r>
                  <w:r>
                    <w:rPr>
                      <w:rFonts w:hint="default" w:cs="Times New Roman"/>
                      <w:color w:val="auto"/>
                      <w:kern w:val="2"/>
                      <w:sz w:val="21"/>
                      <w:szCs w:val="21"/>
                      <w:lang w:val="en-US" w:eastAsia="zh-CN" w:bidi="ar-SA"/>
                    </w:rPr>
                    <w:t>Cr</w:t>
                  </w:r>
                </w:p>
              </w:tc>
              <w:tc>
                <w:tcPr>
                  <w:tcW w:w="888" w:type="pct"/>
                  <w:tcBorders>
                    <w:tl2br w:val="nil"/>
                    <w:tr2bl w:val="nil"/>
                  </w:tcBorders>
                  <w:shd w:val="clear" w:color="auto" w:fill="auto"/>
                  <w:noWrap w:val="0"/>
                  <w:tcMar>
                    <w:top w:w="0" w:type="dxa"/>
                    <w:left w:w="108" w:type="dxa"/>
                    <w:bottom w:w="0" w:type="dxa"/>
                    <w:right w:w="108" w:type="dxa"/>
                  </w:tcMar>
                  <w:vAlign w:val="center"/>
                </w:tcPr>
                <w:p w14:paraId="2C80F4FA">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35205.447 </w:t>
                  </w:r>
                </w:p>
              </w:tc>
              <w:tc>
                <w:tcPr>
                  <w:tcW w:w="776" w:type="pct"/>
                  <w:tcBorders>
                    <w:tl2br w:val="nil"/>
                    <w:tr2bl w:val="nil"/>
                  </w:tcBorders>
                  <w:shd w:val="clear" w:color="auto" w:fill="auto"/>
                  <w:noWrap w:val="0"/>
                  <w:tcMar>
                    <w:top w:w="0" w:type="dxa"/>
                    <w:left w:w="108" w:type="dxa"/>
                    <w:bottom w:w="0" w:type="dxa"/>
                    <w:right w:w="108" w:type="dxa"/>
                  </w:tcMar>
                  <w:vAlign w:val="center"/>
                </w:tcPr>
                <w:p w14:paraId="14E67A42">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tcMar>
                    <w:top w:w="0" w:type="dxa"/>
                    <w:left w:w="108" w:type="dxa"/>
                    <w:bottom w:w="0" w:type="dxa"/>
                    <w:right w:w="108" w:type="dxa"/>
                  </w:tcMar>
                  <w:vAlign w:val="center"/>
                </w:tcPr>
                <w:p w14:paraId="1ED800BC">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tcMar>
                    <w:top w:w="0" w:type="dxa"/>
                    <w:left w:w="108" w:type="dxa"/>
                    <w:bottom w:w="0" w:type="dxa"/>
                    <w:right w:w="108" w:type="dxa"/>
                  </w:tcMar>
                  <w:vAlign w:val="center"/>
                </w:tcPr>
                <w:p w14:paraId="5C7D467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35170.241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557EDF20">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35.205 </w:t>
                  </w:r>
                </w:p>
              </w:tc>
            </w:tr>
            <w:tr w14:paraId="190FC0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580C7920">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铜</w:t>
                  </w:r>
                  <w:r>
                    <w:rPr>
                      <w:rFonts w:hint="default" w:cs="Times New Roman"/>
                      <w:color w:val="auto"/>
                      <w:kern w:val="2"/>
                      <w:sz w:val="21"/>
                      <w:szCs w:val="21"/>
                      <w:lang w:val="en-US" w:eastAsia="zh-CN" w:bidi="ar-SA"/>
                    </w:rPr>
                    <w:t>Cu</w:t>
                  </w:r>
                </w:p>
              </w:tc>
              <w:tc>
                <w:tcPr>
                  <w:tcW w:w="888" w:type="pct"/>
                  <w:tcBorders>
                    <w:tl2br w:val="nil"/>
                    <w:tr2bl w:val="nil"/>
                  </w:tcBorders>
                  <w:shd w:val="clear" w:color="auto" w:fill="auto"/>
                  <w:noWrap w:val="0"/>
                  <w:tcMar>
                    <w:top w:w="0" w:type="dxa"/>
                    <w:left w:w="108" w:type="dxa"/>
                    <w:bottom w:w="0" w:type="dxa"/>
                    <w:right w:w="108" w:type="dxa"/>
                  </w:tcMar>
                  <w:vAlign w:val="center"/>
                </w:tcPr>
                <w:p w14:paraId="49FC389B">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132650.144 </w:t>
                  </w:r>
                </w:p>
              </w:tc>
              <w:tc>
                <w:tcPr>
                  <w:tcW w:w="776" w:type="pct"/>
                  <w:tcBorders>
                    <w:tl2br w:val="nil"/>
                    <w:tr2bl w:val="nil"/>
                  </w:tcBorders>
                  <w:shd w:val="clear" w:color="auto" w:fill="auto"/>
                  <w:noWrap w:val="0"/>
                  <w:tcMar>
                    <w:top w:w="0" w:type="dxa"/>
                    <w:left w:w="108" w:type="dxa"/>
                    <w:bottom w:w="0" w:type="dxa"/>
                    <w:right w:w="108" w:type="dxa"/>
                  </w:tcMar>
                  <w:vAlign w:val="center"/>
                </w:tcPr>
                <w:p w14:paraId="375B2E74">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tcMar>
                    <w:top w:w="0" w:type="dxa"/>
                    <w:left w:w="108" w:type="dxa"/>
                    <w:bottom w:w="0" w:type="dxa"/>
                    <w:right w:w="108" w:type="dxa"/>
                  </w:tcMar>
                  <w:vAlign w:val="center"/>
                </w:tcPr>
                <w:p w14:paraId="7A1C86B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tcMar>
                    <w:top w:w="0" w:type="dxa"/>
                    <w:left w:w="108" w:type="dxa"/>
                    <w:bottom w:w="0" w:type="dxa"/>
                    <w:right w:w="108" w:type="dxa"/>
                  </w:tcMar>
                  <w:vAlign w:val="center"/>
                </w:tcPr>
                <w:p w14:paraId="132FE8BC">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132517.494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11B51D78">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132.650 </w:t>
                  </w:r>
                </w:p>
              </w:tc>
            </w:tr>
            <w:tr w14:paraId="21FCEC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7CECC1F8">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镍</w:t>
                  </w:r>
                  <w:r>
                    <w:rPr>
                      <w:rFonts w:hint="default" w:cs="Times New Roman"/>
                      <w:color w:val="auto"/>
                      <w:kern w:val="2"/>
                      <w:sz w:val="21"/>
                      <w:szCs w:val="21"/>
                      <w:lang w:val="en-US" w:eastAsia="zh-CN" w:bidi="ar-SA"/>
                    </w:rPr>
                    <w:t>Ni</w:t>
                  </w:r>
                </w:p>
              </w:tc>
              <w:tc>
                <w:tcPr>
                  <w:tcW w:w="888" w:type="pct"/>
                  <w:tcBorders>
                    <w:tl2br w:val="nil"/>
                    <w:tr2bl w:val="nil"/>
                  </w:tcBorders>
                  <w:shd w:val="clear" w:color="auto" w:fill="auto"/>
                  <w:noWrap w:val="0"/>
                  <w:tcMar>
                    <w:top w:w="0" w:type="dxa"/>
                    <w:left w:w="108" w:type="dxa"/>
                    <w:bottom w:w="0" w:type="dxa"/>
                    <w:right w:w="108" w:type="dxa"/>
                  </w:tcMar>
                  <w:vAlign w:val="center"/>
                </w:tcPr>
                <w:p w14:paraId="2FE78379">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70833.947 </w:t>
                  </w:r>
                </w:p>
              </w:tc>
              <w:tc>
                <w:tcPr>
                  <w:tcW w:w="776" w:type="pct"/>
                  <w:tcBorders>
                    <w:tl2br w:val="nil"/>
                    <w:tr2bl w:val="nil"/>
                  </w:tcBorders>
                  <w:shd w:val="clear" w:color="auto" w:fill="auto"/>
                  <w:noWrap w:val="0"/>
                  <w:tcMar>
                    <w:top w:w="0" w:type="dxa"/>
                    <w:left w:w="108" w:type="dxa"/>
                    <w:bottom w:w="0" w:type="dxa"/>
                    <w:right w:w="108" w:type="dxa"/>
                  </w:tcMar>
                  <w:vAlign w:val="center"/>
                </w:tcPr>
                <w:p w14:paraId="01D3872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tcMar>
                    <w:top w:w="0" w:type="dxa"/>
                    <w:left w:w="108" w:type="dxa"/>
                    <w:bottom w:w="0" w:type="dxa"/>
                    <w:right w:w="108" w:type="dxa"/>
                  </w:tcMar>
                  <w:vAlign w:val="center"/>
                </w:tcPr>
                <w:p w14:paraId="6654EF7D">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tcMar>
                    <w:top w:w="0" w:type="dxa"/>
                    <w:left w:w="108" w:type="dxa"/>
                    <w:bottom w:w="0" w:type="dxa"/>
                    <w:right w:w="108" w:type="dxa"/>
                  </w:tcMar>
                  <w:vAlign w:val="center"/>
                </w:tcPr>
                <w:p w14:paraId="043BC3F0">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70763.113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1D8CBE6A">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70.834 </w:t>
                  </w:r>
                </w:p>
              </w:tc>
            </w:tr>
            <w:tr w14:paraId="3EB6D1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067E72C2">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锰</w:t>
                  </w:r>
                  <w:r>
                    <w:rPr>
                      <w:rFonts w:hint="default" w:cs="Times New Roman"/>
                      <w:color w:val="auto"/>
                      <w:kern w:val="2"/>
                      <w:sz w:val="21"/>
                      <w:szCs w:val="21"/>
                      <w:lang w:val="en-US" w:eastAsia="zh-CN" w:bidi="ar-SA"/>
                    </w:rPr>
                    <w:t>Mn</w:t>
                  </w:r>
                </w:p>
              </w:tc>
              <w:tc>
                <w:tcPr>
                  <w:tcW w:w="888" w:type="pct"/>
                  <w:tcBorders>
                    <w:tl2br w:val="nil"/>
                    <w:tr2bl w:val="nil"/>
                  </w:tcBorders>
                  <w:shd w:val="clear" w:color="auto" w:fill="auto"/>
                  <w:noWrap w:val="0"/>
                  <w:tcMar>
                    <w:top w:w="0" w:type="dxa"/>
                    <w:left w:w="108" w:type="dxa"/>
                    <w:bottom w:w="0" w:type="dxa"/>
                    <w:right w:w="108" w:type="dxa"/>
                  </w:tcMar>
                  <w:vAlign w:val="center"/>
                </w:tcPr>
                <w:p w14:paraId="580F6246">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284481.223 </w:t>
                  </w:r>
                </w:p>
              </w:tc>
              <w:tc>
                <w:tcPr>
                  <w:tcW w:w="776" w:type="pct"/>
                  <w:tcBorders>
                    <w:tl2br w:val="nil"/>
                    <w:tr2bl w:val="nil"/>
                  </w:tcBorders>
                  <w:shd w:val="clear" w:color="auto" w:fill="auto"/>
                  <w:noWrap w:val="0"/>
                  <w:tcMar>
                    <w:top w:w="0" w:type="dxa"/>
                    <w:left w:w="108" w:type="dxa"/>
                    <w:bottom w:w="0" w:type="dxa"/>
                    <w:right w:w="108" w:type="dxa"/>
                  </w:tcMar>
                  <w:vAlign w:val="center"/>
                </w:tcPr>
                <w:p w14:paraId="046AB56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tcMar>
                    <w:top w:w="0" w:type="dxa"/>
                    <w:left w:w="108" w:type="dxa"/>
                    <w:bottom w:w="0" w:type="dxa"/>
                    <w:right w:w="108" w:type="dxa"/>
                  </w:tcMar>
                  <w:vAlign w:val="center"/>
                </w:tcPr>
                <w:p w14:paraId="328FBB9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0.01</w:t>
                  </w:r>
                </w:p>
              </w:tc>
              <w:tc>
                <w:tcPr>
                  <w:tcW w:w="1012" w:type="pct"/>
                  <w:tcBorders>
                    <w:tl2br w:val="nil"/>
                    <w:tr2bl w:val="nil"/>
                  </w:tcBorders>
                  <w:shd w:val="clear" w:color="auto" w:fill="auto"/>
                  <w:noWrap w:val="0"/>
                  <w:tcMar>
                    <w:top w:w="0" w:type="dxa"/>
                    <w:left w:w="108" w:type="dxa"/>
                    <w:bottom w:w="0" w:type="dxa"/>
                    <w:right w:w="108" w:type="dxa"/>
                  </w:tcMar>
                  <w:vAlign w:val="center"/>
                </w:tcPr>
                <w:p w14:paraId="0813AC1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284196.742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32B9BAFA">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284.481 </w:t>
                  </w:r>
                </w:p>
              </w:tc>
            </w:tr>
            <w:tr w14:paraId="2035D1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4C94FA77">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锡</w:t>
                  </w:r>
                  <w:r>
                    <w:rPr>
                      <w:rFonts w:hint="default" w:cs="Times New Roman"/>
                      <w:color w:val="auto"/>
                      <w:kern w:val="2"/>
                      <w:sz w:val="21"/>
                      <w:szCs w:val="21"/>
                      <w:lang w:val="en-US" w:eastAsia="zh-CN" w:bidi="ar-SA"/>
                    </w:rPr>
                    <w:t>Sn</w:t>
                  </w:r>
                </w:p>
              </w:tc>
              <w:tc>
                <w:tcPr>
                  <w:tcW w:w="888" w:type="pct"/>
                  <w:tcBorders>
                    <w:tl2br w:val="nil"/>
                    <w:tr2bl w:val="nil"/>
                  </w:tcBorders>
                  <w:shd w:val="clear" w:color="auto" w:fill="auto"/>
                  <w:noWrap w:val="0"/>
                  <w:tcMar>
                    <w:top w:w="0" w:type="dxa"/>
                    <w:left w:w="108" w:type="dxa"/>
                    <w:bottom w:w="0" w:type="dxa"/>
                    <w:right w:w="108" w:type="dxa"/>
                  </w:tcMar>
                  <w:vAlign w:val="center"/>
                </w:tcPr>
                <w:p w14:paraId="57A39D55">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9766.241 </w:t>
                  </w:r>
                </w:p>
              </w:tc>
              <w:tc>
                <w:tcPr>
                  <w:tcW w:w="776" w:type="pct"/>
                  <w:tcBorders>
                    <w:tl2br w:val="nil"/>
                    <w:tr2bl w:val="nil"/>
                  </w:tcBorders>
                  <w:shd w:val="clear" w:color="auto" w:fill="auto"/>
                  <w:noWrap w:val="0"/>
                  <w:tcMar>
                    <w:top w:w="0" w:type="dxa"/>
                    <w:left w:w="108" w:type="dxa"/>
                    <w:bottom w:w="0" w:type="dxa"/>
                    <w:right w:w="108" w:type="dxa"/>
                  </w:tcMar>
                  <w:vAlign w:val="center"/>
                </w:tcPr>
                <w:p w14:paraId="2FF99D5D">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99.95</w:t>
                  </w:r>
                </w:p>
              </w:tc>
              <w:tc>
                <w:tcPr>
                  <w:tcW w:w="720" w:type="pct"/>
                  <w:tcBorders>
                    <w:tl2br w:val="nil"/>
                    <w:tr2bl w:val="nil"/>
                  </w:tcBorders>
                  <w:shd w:val="clear" w:color="auto" w:fill="auto"/>
                  <w:noWrap w:val="0"/>
                  <w:tcMar>
                    <w:top w:w="0" w:type="dxa"/>
                    <w:left w:w="108" w:type="dxa"/>
                    <w:bottom w:w="0" w:type="dxa"/>
                    <w:right w:w="108" w:type="dxa"/>
                  </w:tcMar>
                  <w:vAlign w:val="center"/>
                </w:tcPr>
                <w:p w14:paraId="5C104BA6">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tcMar>
                    <w:top w:w="0" w:type="dxa"/>
                    <w:left w:w="108" w:type="dxa"/>
                    <w:bottom w:w="0" w:type="dxa"/>
                    <w:right w:w="108" w:type="dxa"/>
                  </w:tcMar>
                  <w:vAlign w:val="center"/>
                </w:tcPr>
                <w:p w14:paraId="3D481BB3">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9761.357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1FFCDB1E">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4.883 </w:t>
                  </w:r>
                </w:p>
              </w:tc>
            </w:tr>
            <w:tr w14:paraId="072832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tcMar>
                    <w:top w:w="0" w:type="dxa"/>
                    <w:left w:w="108" w:type="dxa"/>
                    <w:bottom w:w="0" w:type="dxa"/>
                    <w:right w:w="108" w:type="dxa"/>
                  </w:tcMar>
                  <w:vAlign w:val="center"/>
                </w:tcPr>
                <w:p w14:paraId="39D23991">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锑</w:t>
                  </w:r>
                  <w:r>
                    <w:rPr>
                      <w:rFonts w:hint="default" w:cs="Times New Roman"/>
                      <w:color w:val="auto"/>
                      <w:kern w:val="2"/>
                      <w:sz w:val="21"/>
                      <w:szCs w:val="21"/>
                      <w:lang w:val="en-US" w:eastAsia="zh-CN" w:bidi="ar-SA"/>
                    </w:rPr>
                    <w:t>Sb</w:t>
                  </w:r>
                </w:p>
              </w:tc>
              <w:tc>
                <w:tcPr>
                  <w:tcW w:w="888" w:type="pct"/>
                  <w:tcBorders>
                    <w:tl2br w:val="nil"/>
                    <w:tr2bl w:val="nil"/>
                  </w:tcBorders>
                  <w:shd w:val="clear" w:color="auto" w:fill="auto"/>
                  <w:noWrap w:val="0"/>
                  <w:tcMar>
                    <w:top w:w="0" w:type="dxa"/>
                    <w:left w:w="108" w:type="dxa"/>
                    <w:bottom w:w="0" w:type="dxa"/>
                    <w:right w:w="108" w:type="dxa"/>
                  </w:tcMar>
                  <w:vAlign w:val="center"/>
                </w:tcPr>
                <w:p w14:paraId="6386DA13">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7578.711 </w:t>
                  </w:r>
                </w:p>
              </w:tc>
              <w:tc>
                <w:tcPr>
                  <w:tcW w:w="776" w:type="pct"/>
                  <w:tcBorders>
                    <w:tl2br w:val="nil"/>
                    <w:tr2bl w:val="nil"/>
                  </w:tcBorders>
                  <w:shd w:val="clear" w:color="auto" w:fill="auto"/>
                  <w:noWrap w:val="0"/>
                  <w:tcMar>
                    <w:top w:w="0" w:type="dxa"/>
                    <w:left w:w="108" w:type="dxa"/>
                    <w:bottom w:w="0" w:type="dxa"/>
                    <w:right w:w="108" w:type="dxa"/>
                  </w:tcMar>
                  <w:vAlign w:val="center"/>
                </w:tcPr>
                <w:p w14:paraId="282FD635">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99.95</w:t>
                  </w:r>
                </w:p>
              </w:tc>
              <w:tc>
                <w:tcPr>
                  <w:tcW w:w="720" w:type="pct"/>
                  <w:tcBorders>
                    <w:tl2br w:val="nil"/>
                    <w:tr2bl w:val="nil"/>
                  </w:tcBorders>
                  <w:shd w:val="clear" w:color="auto" w:fill="auto"/>
                  <w:noWrap w:val="0"/>
                  <w:tcMar>
                    <w:top w:w="0" w:type="dxa"/>
                    <w:left w:w="108" w:type="dxa"/>
                    <w:bottom w:w="0" w:type="dxa"/>
                    <w:right w:w="108" w:type="dxa"/>
                  </w:tcMar>
                  <w:vAlign w:val="center"/>
                </w:tcPr>
                <w:p w14:paraId="3064DD47">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tcMar>
                    <w:top w:w="0" w:type="dxa"/>
                    <w:left w:w="108" w:type="dxa"/>
                    <w:bottom w:w="0" w:type="dxa"/>
                    <w:right w:w="108" w:type="dxa"/>
                  </w:tcMar>
                  <w:vAlign w:val="center"/>
                </w:tcPr>
                <w:p w14:paraId="787BD22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7574.922 </w:t>
                  </w:r>
                </w:p>
              </w:tc>
              <w:tc>
                <w:tcPr>
                  <w:tcW w:w="1063" w:type="pct"/>
                  <w:tcBorders>
                    <w:tl2br w:val="nil"/>
                    <w:tr2bl w:val="nil"/>
                  </w:tcBorders>
                  <w:shd w:val="clear" w:color="auto" w:fill="auto"/>
                  <w:noWrap w:val="0"/>
                  <w:tcMar>
                    <w:top w:w="0" w:type="dxa"/>
                    <w:left w:w="108" w:type="dxa"/>
                    <w:bottom w:w="0" w:type="dxa"/>
                    <w:right w:w="108" w:type="dxa"/>
                  </w:tcMar>
                  <w:vAlign w:val="center"/>
                </w:tcPr>
                <w:p w14:paraId="298F35FE">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3.789 </w:t>
                  </w:r>
                </w:p>
              </w:tc>
            </w:tr>
            <w:tr w14:paraId="624AEF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vAlign w:val="center"/>
                </w:tcPr>
                <w:p w14:paraId="20AF9188">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钒</w:t>
                  </w:r>
                  <w:r>
                    <w:rPr>
                      <w:rFonts w:hint="default" w:cs="Times New Roman"/>
                      <w:color w:val="auto"/>
                      <w:kern w:val="2"/>
                      <w:sz w:val="21"/>
                      <w:szCs w:val="21"/>
                      <w:lang w:val="en-US" w:eastAsia="zh-CN" w:bidi="ar-SA"/>
                    </w:rPr>
                    <w:t>V</w:t>
                  </w:r>
                </w:p>
              </w:tc>
              <w:tc>
                <w:tcPr>
                  <w:tcW w:w="888" w:type="pct"/>
                  <w:tcBorders>
                    <w:tl2br w:val="nil"/>
                    <w:tr2bl w:val="nil"/>
                  </w:tcBorders>
                  <w:shd w:val="clear" w:color="auto" w:fill="auto"/>
                  <w:noWrap w:val="0"/>
                  <w:vAlign w:val="center"/>
                </w:tcPr>
                <w:p w14:paraId="066EF479">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6379.320 </w:t>
                  </w:r>
                </w:p>
              </w:tc>
              <w:tc>
                <w:tcPr>
                  <w:tcW w:w="776" w:type="pct"/>
                  <w:tcBorders>
                    <w:tl2br w:val="nil"/>
                    <w:tr2bl w:val="nil"/>
                  </w:tcBorders>
                  <w:shd w:val="clear" w:color="auto" w:fill="auto"/>
                  <w:noWrap w:val="0"/>
                  <w:vAlign w:val="center"/>
                </w:tcPr>
                <w:p w14:paraId="1D8579C3">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vAlign w:val="center"/>
                </w:tcPr>
                <w:p w14:paraId="122B467E">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vAlign w:val="center"/>
                </w:tcPr>
                <w:p w14:paraId="762901F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6372.941 </w:t>
                  </w:r>
                </w:p>
              </w:tc>
              <w:tc>
                <w:tcPr>
                  <w:tcW w:w="1063" w:type="pct"/>
                  <w:tcBorders>
                    <w:tl2br w:val="nil"/>
                    <w:tr2bl w:val="nil"/>
                  </w:tcBorders>
                  <w:shd w:val="clear" w:color="auto" w:fill="auto"/>
                  <w:noWrap w:val="0"/>
                  <w:vAlign w:val="center"/>
                </w:tcPr>
                <w:p w14:paraId="1D072C5F">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6.379 </w:t>
                  </w:r>
                </w:p>
              </w:tc>
            </w:tr>
            <w:tr w14:paraId="63211D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vAlign w:val="center"/>
                </w:tcPr>
                <w:p w14:paraId="2BB715E9">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铍</w:t>
                  </w:r>
                  <w:r>
                    <w:rPr>
                      <w:rFonts w:hint="default" w:cs="Times New Roman"/>
                      <w:color w:val="auto"/>
                      <w:kern w:val="2"/>
                      <w:sz w:val="21"/>
                      <w:szCs w:val="21"/>
                      <w:lang w:val="en-US" w:eastAsia="zh-CN" w:bidi="ar-SA"/>
                    </w:rPr>
                    <w:t>Be</w:t>
                  </w:r>
                </w:p>
              </w:tc>
              <w:tc>
                <w:tcPr>
                  <w:tcW w:w="888" w:type="pct"/>
                  <w:tcBorders>
                    <w:tl2br w:val="nil"/>
                    <w:tr2bl w:val="nil"/>
                  </w:tcBorders>
                  <w:shd w:val="clear" w:color="auto" w:fill="auto"/>
                  <w:noWrap w:val="0"/>
                  <w:vAlign w:val="center"/>
                </w:tcPr>
                <w:p w14:paraId="66CE6CC8">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38.819 </w:t>
                  </w:r>
                </w:p>
              </w:tc>
              <w:tc>
                <w:tcPr>
                  <w:tcW w:w="776" w:type="pct"/>
                  <w:tcBorders>
                    <w:tl2br w:val="nil"/>
                    <w:tr2bl w:val="nil"/>
                  </w:tcBorders>
                  <w:shd w:val="clear" w:color="auto" w:fill="auto"/>
                  <w:noWrap w:val="0"/>
                  <w:vAlign w:val="center"/>
                </w:tcPr>
                <w:p w14:paraId="5A49C433">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w:t>
                  </w:r>
                </w:p>
              </w:tc>
              <w:tc>
                <w:tcPr>
                  <w:tcW w:w="720" w:type="pct"/>
                  <w:tcBorders>
                    <w:tl2br w:val="nil"/>
                    <w:tr2bl w:val="nil"/>
                  </w:tcBorders>
                  <w:shd w:val="clear" w:color="auto" w:fill="auto"/>
                  <w:noWrap w:val="0"/>
                  <w:vAlign w:val="center"/>
                </w:tcPr>
                <w:p w14:paraId="66D95279">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vAlign w:val="center"/>
                </w:tcPr>
                <w:p w14:paraId="29537D85">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38.780 </w:t>
                  </w:r>
                </w:p>
              </w:tc>
              <w:tc>
                <w:tcPr>
                  <w:tcW w:w="1063" w:type="pct"/>
                  <w:tcBorders>
                    <w:tl2br w:val="nil"/>
                    <w:tr2bl w:val="nil"/>
                  </w:tcBorders>
                  <w:shd w:val="clear" w:color="auto" w:fill="auto"/>
                  <w:noWrap w:val="0"/>
                  <w:vAlign w:val="center"/>
                </w:tcPr>
                <w:p w14:paraId="38748E18">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0.039 </w:t>
                  </w:r>
                </w:p>
              </w:tc>
            </w:tr>
            <w:tr w14:paraId="7C0DBD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tcBorders>
                    <w:tl2br w:val="nil"/>
                    <w:tr2bl w:val="nil"/>
                  </w:tcBorders>
                  <w:shd w:val="clear" w:color="auto" w:fill="auto"/>
                  <w:noWrap w:val="0"/>
                  <w:vAlign w:val="center"/>
                </w:tcPr>
                <w:p w14:paraId="3D645811">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锌</w:t>
                  </w:r>
                  <w:r>
                    <w:rPr>
                      <w:rFonts w:hint="default" w:cs="Times New Roman"/>
                      <w:color w:val="auto"/>
                      <w:kern w:val="2"/>
                      <w:sz w:val="21"/>
                      <w:szCs w:val="21"/>
                      <w:lang w:val="en-US" w:eastAsia="zh-CN" w:bidi="ar-SA"/>
                    </w:rPr>
                    <w:t>Zn</w:t>
                  </w:r>
                </w:p>
              </w:tc>
              <w:tc>
                <w:tcPr>
                  <w:tcW w:w="888" w:type="pct"/>
                  <w:tcBorders>
                    <w:tl2br w:val="nil"/>
                    <w:tr2bl w:val="nil"/>
                  </w:tcBorders>
                  <w:shd w:val="clear" w:color="auto" w:fill="auto"/>
                  <w:noWrap w:val="0"/>
                  <w:vAlign w:val="center"/>
                </w:tcPr>
                <w:p w14:paraId="033154FF">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575015.700 </w:t>
                  </w:r>
                </w:p>
              </w:tc>
              <w:tc>
                <w:tcPr>
                  <w:tcW w:w="776" w:type="pct"/>
                  <w:tcBorders>
                    <w:tl2br w:val="nil"/>
                    <w:tr2bl w:val="nil"/>
                  </w:tcBorders>
                  <w:shd w:val="clear" w:color="auto" w:fill="auto"/>
                  <w:noWrap w:val="0"/>
                  <w:vAlign w:val="center"/>
                </w:tcPr>
                <w:p w14:paraId="012A54A8">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99.95</w:t>
                  </w:r>
                </w:p>
              </w:tc>
              <w:tc>
                <w:tcPr>
                  <w:tcW w:w="720" w:type="pct"/>
                  <w:tcBorders>
                    <w:tl2br w:val="nil"/>
                    <w:tr2bl w:val="nil"/>
                  </w:tcBorders>
                  <w:shd w:val="clear" w:color="auto" w:fill="auto"/>
                  <w:noWrap w:val="0"/>
                  <w:vAlign w:val="center"/>
                </w:tcPr>
                <w:p w14:paraId="352510F2">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1012" w:type="pct"/>
                  <w:tcBorders>
                    <w:tl2br w:val="nil"/>
                    <w:tr2bl w:val="nil"/>
                  </w:tcBorders>
                  <w:shd w:val="clear" w:color="auto" w:fill="auto"/>
                  <w:noWrap w:val="0"/>
                  <w:vAlign w:val="center"/>
                </w:tcPr>
                <w:p w14:paraId="47B1BDFB">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574728.192 </w:t>
                  </w:r>
                </w:p>
              </w:tc>
              <w:tc>
                <w:tcPr>
                  <w:tcW w:w="1063" w:type="pct"/>
                  <w:tcBorders>
                    <w:tl2br w:val="nil"/>
                    <w:tr2bl w:val="nil"/>
                  </w:tcBorders>
                  <w:shd w:val="clear" w:color="auto" w:fill="auto"/>
                  <w:noWrap w:val="0"/>
                  <w:vAlign w:val="center"/>
                </w:tcPr>
                <w:p w14:paraId="4472A7DD">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287.508 </w:t>
                  </w:r>
                </w:p>
              </w:tc>
            </w:tr>
            <w:tr w14:paraId="0287AA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38" w:type="pct"/>
                  <w:shd w:val="clear" w:color="auto" w:fill="auto"/>
                  <w:vAlign w:val="center"/>
                </w:tcPr>
                <w:p w14:paraId="6B8E7EDF">
                  <w:pPr>
                    <w:pStyle w:val="43"/>
                    <w:keepNext w:val="0"/>
                    <w:keepLines w:val="0"/>
                    <w:pageBreakBefore w:val="0"/>
                    <w:widowControl w:val="0"/>
                    <w:kinsoku/>
                    <w:wordWrap/>
                    <w:topLinePunct w:val="0"/>
                    <w:autoSpaceDE/>
                    <w:autoSpaceDN/>
                    <w:bidi w:val="0"/>
                    <w:adjustRightInd w:val="0"/>
                    <w:snapToGrid w:val="0"/>
                    <w:textAlignment w:val="baseline"/>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钴</w:t>
                  </w:r>
                  <w:r>
                    <w:rPr>
                      <w:rFonts w:hint="default" w:cs="Times New Roman"/>
                      <w:color w:val="auto"/>
                      <w:kern w:val="2"/>
                      <w:sz w:val="21"/>
                      <w:szCs w:val="21"/>
                      <w:lang w:val="en-US" w:eastAsia="zh-CN" w:bidi="ar-SA"/>
                    </w:rPr>
                    <w:t>Co</w:t>
                  </w:r>
                </w:p>
              </w:tc>
              <w:tc>
                <w:tcPr>
                  <w:tcW w:w="888" w:type="pct"/>
                  <w:shd w:val="clear" w:color="auto" w:fill="auto"/>
                  <w:vAlign w:val="center"/>
                </w:tcPr>
                <w:p w14:paraId="1272F3DF">
                  <w:pPr>
                    <w:pStyle w:val="43"/>
                    <w:bidi w:val="0"/>
                    <w:rPr>
                      <w:rFonts w:hint="default" w:cs="Times New Roman"/>
                      <w:color w:val="auto"/>
                      <w:kern w:val="2"/>
                      <w:sz w:val="21"/>
                      <w:szCs w:val="21"/>
                      <w:lang w:val="en-US" w:eastAsia="zh-CN" w:bidi="ar-SA"/>
                    </w:rPr>
                  </w:pPr>
                  <w:r>
                    <w:rPr>
                      <w:rFonts w:hint="default" w:cs="Times New Roman"/>
                      <w:color w:val="auto"/>
                      <w:kern w:val="2"/>
                      <w:sz w:val="21"/>
                      <w:szCs w:val="21"/>
                      <w:lang w:val="en-US" w:eastAsia="zh-CN" w:bidi="ar-SA"/>
                    </w:rPr>
                    <w:t xml:space="preserve">3007.901 </w:t>
                  </w:r>
                </w:p>
              </w:tc>
              <w:tc>
                <w:tcPr>
                  <w:tcW w:w="0" w:type="auto"/>
                  <w:shd w:val="clear" w:color="auto" w:fill="auto"/>
                  <w:vAlign w:val="center"/>
                </w:tcPr>
                <w:p w14:paraId="7B9DAC91">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99.95</w:t>
                  </w:r>
                </w:p>
              </w:tc>
              <w:tc>
                <w:tcPr>
                  <w:tcW w:w="0" w:type="auto"/>
                  <w:shd w:val="clear" w:color="auto" w:fill="auto"/>
                  <w:vAlign w:val="center"/>
                </w:tcPr>
                <w:p w14:paraId="3DEB5BD0">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w:t>
                  </w:r>
                </w:p>
              </w:tc>
              <w:tc>
                <w:tcPr>
                  <w:tcW w:w="0" w:type="auto"/>
                  <w:shd w:val="clear" w:color="auto" w:fill="auto"/>
                  <w:vAlign w:val="center"/>
                </w:tcPr>
                <w:p w14:paraId="052DE498">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3006.397 </w:t>
                  </w:r>
                </w:p>
              </w:tc>
              <w:tc>
                <w:tcPr>
                  <w:tcW w:w="0" w:type="auto"/>
                  <w:shd w:val="clear" w:color="auto" w:fill="auto"/>
                  <w:vAlign w:val="center"/>
                </w:tcPr>
                <w:p w14:paraId="0936919D">
                  <w:pPr>
                    <w:pStyle w:val="43"/>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1.504 </w:t>
                  </w:r>
                </w:p>
              </w:tc>
            </w:tr>
          </w:tbl>
          <w:p w14:paraId="6E426844">
            <w:pPr>
              <w:pStyle w:val="4"/>
              <w:pageBreakBefore w:val="0"/>
              <w:widowControl w:val="0"/>
              <w:numPr>
                <w:ilvl w:val="0"/>
                <w:numId w:val="0"/>
              </w:numPr>
              <w:kinsoku/>
              <w:wordWrap/>
              <w:overflowPunct/>
              <w:topLinePunct w:val="0"/>
              <w:autoSpaceDE/>
              <w:autoSpaceDN/>
              <w:bidi w:val="0"/>
              <w:snapToGrid/>
              <w:ind w:leftChars="0" w:firstLine="482" w:firstLineChars="200"/>
              <w:textAlignment w:val="auto"/>
              <w:rPr>
                <w:rFonts w:hint="default" w:ascii="Times New Roman" w:hAnsi="Times New Roman" w:cs="Times New Roman"/>
                <w:color w:val="auto"/>
                <w:highlight w:val="none"/>
                <w:lang w:val="en-US" w:eastAsia="zh-CN"/>
              </w:rPr>
            </w:pPr>
            <w:r>
              <w:rPr>
                <w:rFonts w:hint="eastAsia" w:eastAsia="宋体" w:cs="Times New Roman"/>
                <w:b/>
                <w:bCs w:val="0"/>
                <w:color w:val="auto"/>
                <w:lang w:val="en-US" w:eastAsia="zh-CN"/>
              </w:rPr>
              <w:t>4、氟（F）、氯（Cl）元素投加量及</w:t>
            </w:r>
            <w:r>
              <w:rPr>
                <w:rFonts w:hint="default" w:ascii="Times New Roman" w:hAnsi="Times New Roman" w:eastAsia="宋体" w:cs="Times New Roman"/>
                <w:b/>
                <w:bCs w:val="0"/>
                <w:color w:val="auto"/>
                <w:lang w:val="en-US" w:eastAsia="zh-CN"/>
              </w:rPr>
              <w:t>平衡</w:t>
            </w:r>
            <w:r>
              <w:rPr>
                <w:rFonts w:hint="eastAsia" w:eastAsia="宋体" w:cs="Times New Roman"/>
                <w:b/>
                <w:bCs w:val="0"/>
                <w:color w:val="auto"/>
                <w:lang w:val="en-US" w:eastAsia="zh-CN"/>
              </w:rPr>
              <w:t>分析</w:t>
            </w:r>
          </w:p>
          <w:p w14:paraId="3BD89318">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（1）氟（F）、氯（Cl）元素投加量分析</w:t>
            </w:r>
          </w:p>
          <w:p w14:paraId="3668597C">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根据《水泥窑协同处置固体废物环境保护技术规范》（HJ662-2013），协同处置企业应根据水泥生产工艺特点，控制随物料入窑的氯（Cl）和氟（F）元素的投加量，以保证水泥的正常生产和熟料质量符合国家标准。入窑物料中氟元素含量不应大于0.5%，氯元素含量不应大于0.04%，F元素或Cl元素含量的计算如下式所示：</w:t>
            </w:r>
          </w:p>
          <w:p w14:paraId="679C6B48">
            <w:pPr>
              <w:pStyle w:val="87"/>
              <w:numPr>
                <w:ilvl w:val="0"/>
                <w:numId w:val="0"/>
              </w:numPr>
              <w:ind w:leftChars="0"/>
              <w:jc w:val="center"/>
              <w:rPr>
                <w:rFonts w:hint="default" w:ascii="Times New Roman" w:hAnsi="Times New Roman" w:cs="Times New Roman"/>
                <w:bCs/>
                <w:color w:val="auto"/>
                <w:lang w:val="en-US" w:eastAsia="zh-CN"/>
              </w:rPr>
            </w:pPr>
            <w:r>
              <w:rPr>
                <w:rFonts w:hint="default" w:ascii="Times New Roman" w:hAnsi="Times New Roman" w:cs="Times New Roman"/>
                <w:color w:val="auto"/>
              </w:rPr>
              <w:drawing>
                <wp:inline distT="0" distB="0" distL="114300" distR="114300">
                  <wp:extent cx="3901440" cy="639445"/>
                  <wp:effectExtent l="0" t="0" r="3810" b="8255"/>
                  <wp:docPr id="44"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3"/>
                          <pic:cNvPicPr>
                            <a:picLocks noChangeAspect="1"/>
                          </pic:cNvPicPr>
                        </pic:nvPicPr>
                        <pic:blipFill>
                          <a:blip r:embed="rId12"/>
                          <a:stretch>
                            <a:fillRect/>
                          </a:stretch>
                        </pic:blipFill>
                        <pic:spPr>
                          <a:xfrm>
                            <a:off x="0" y="0"/>
                            <a:ext cx="3901440" cy="639445"/>
                          </a:xfrm>
                          <a:prstGeom prst="rect">
                            <a:avLst/>
                          </a:prstGeom>
                          <a:noFill/>
                          <a:ln>
                            <a:noFill/>
                          </a:ln>
                        </pic:spPr>
                      </pic:pic>
                    </a:graphicData>
                  </a:graphic>
                </wp:inline>
              </w:drawing>
            </w:r>
          </w:p>
          <w:p w14:paraId="1AA653DF">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式中：</w:t>
            </w:r>
          </w:p>
          <w:p w14:paraId="1E1FE503">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C为入窑物料中F元素或Cl元素的含量，%；</w:t>
            </w:r>
          </w:p>
          <w:p w14:paraId="2FD34C98">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C</w:t>
            </w:r>
            <w:r>
              <w:rPr>
                <w:rFonts w:hint="default" w:ascii="Times New Roman" w:hAnsi="Times New Roman" w:cs="Times New Roman"/>
                <w:bCs/>
                <w:color w:val="auto"/>
                <w:vertAlign w:val="subscript"/>
                <w:lang w:val="en-US" w:eastAsia="zh-CN"/>
              </w:rPr>
              <w:t>w</w:t>
            </w:r>
            <w:r>
              <w:rPr>
                <w:rFonts w:hint="default" w:ascii="Times New Roman" w:hAnsi="Times New Roman" w:cs="Times New Roman"/>
                <w:bCs/>
                <w:color w:val="auto"/>
                <w:lang w:val="en-US" w:eastAsia="zh-CN"/>
              </w:rPr>
              <w:t>、C</w:t>
            </w:r>
            <w:r>
              <w:rPr>
                <w:rFonts w:hint="default" w:ascii="Times New Roman" w:hAnsi="Times New Roman" w:cs="Times New Roman"/>
                <w:bCs/>
                <w:color w:val="auto"/>
                <w:vertAlign w:val="subscript"/>
                <w:lang w:val="en-US" w:eastAsia="zh-CN"/>
              </w:rPr>
              <w:t>f</w:t>
            </w:r>
            <w:r>
              <w:rPr>
                <w:rFonts w:hint="default" w:ascii="Times New Roman" w:hAnsi="Times New Roman" w:cs="Times New Roman"/>
                <w:bCs/>
                <w:color w:val="auto"/>
                <w:lang w:val="en-US" w:eastAsia="zh-CN"/>
              </w:rPr>
              <w:t>和C</w:t>
            </w:r>
            <w:r>
              <w:rPr>
                <w:rFonts w:hint="default" w:ascii="Times New Roman" w:hAnsi="Times New Roman" w:cs="Times New Roman"/>
                <w:bCs/>
                <w:color w:val="auto"/>
                <w:vertAlign w:val="subscript"/>
                <w:lang w:val="en-US" w:eastAsia="zh-CN"/>
              </w:rPr>
              <w:t>r</w:t>
            </w:r>
            <w:r>
              <w:rPr>
                <w:rFonts w:hint="default" w:ascii="Times New Roman" w:hAnsi="Times New Roman" w:cs="Times New Roman"/>
                <w:bCs/>
                <w:color w:val="auto"/>
                <w:lang w:val="en-US" w:eastAsia="zh-CN"/>
              </w:rPr>
              <w:t>分别为固体废物、常规燃料和常规原料中的F元素或Cl元素含量，%；</w:t>
            </w:r>
          </w:p>
          <w:p w14:paraId="3A7FEE87">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m</w:t>
            </w:r>
            <w:r>
              <w:rPr>
                <w:rFonts w:hint="default" w:ascii="Times New Roman" w:hAnsi="Times New Roman" w:cs="Times New Roman"/>
                <w:bCs/>
                <w:color w:val="auto"/>
                <w:vertAlign w:val="subscript"/>
                <w:lang w:val="en-US" w:eastAsia="zh-CN"/>
              </w:rPr>
              <w:t>w</w:t>
            </w:r>
            <w:r>
              <w:rPr>
                <w:rFonts w:hint="default" w:ascii="Times New Roman" w:hAnsi="Times New Roman" w:cs="Times New Roman"/>
                <w:bCs/>
                <w:color w:val="auto"/>
                <w:lang w:val="en-US" w:eastAsia="zh-CN"/>
              </w:rPr>
              <w:t>、m</w:t>
            </w:r>
            <w:r>
              <w:rPr>
                <w:rFonts w:hint="default" w:ascii="Times New Roman" w:hAnsi="Times New Roman" w:cs="Times New Roman"/>
                <w:bCs/>
                <w:color w:val="auto"/>
                <w:vertAlign w:val="subscript"/>
                <w:lang w:val="en-US" w:eastAsia="zh-CN"/>
              </w:rPr>
              <w:t>f</w:t>
            </w:r>
            <w:r>
              <w:rPr>
                <w:rFonts w:hint="default" w:ascii="Times New Roman" w:hAnsi="Times New Roman" w:cs="Times New Roman"/>
                <w:bCs/>
                <w:color w:val="auto"/>
                <w:lang w:val="en-US" w:eastAsia="zh-CN"/>
              </w:rPr>
              <w:t>和m</w:t>
            </w:r>
            <w:r>
              <w:rPr>
                <w:rFonts w:hint="default" w:ascii="Times New Roman" w:hAnsi="Times New Roman" w:cs="Times New Roman"/>
                <w:bCs/>
                <w:color w:val="auto"/>
                <w:vertAlign w:val="subscript"/>
                <w:lang w:val="en-US" w:eastAsia="zh-CN"/>
              </w:rPr>
              <w:t>r</w:t>
            </w:r>
            <w:r>
              <w:rPr>
                <w:rFonts w:hint="default" w:ascii="Times New Roman" w:hAnsi="Times New Roman" w:cs="Times New Roman"/>
                <w:bCs/>
                <w:color w:val="auto"/>
                <w:lang w:val="en-US" w:eastAsia="zh-CN"/>
              </w:rPr>
              <w:t>分别为单位时间内固体废物、常规燃料和常规原料的投加量，kg/h。</w:t>
            </w:r>
          </w:p>
          <w:p w14:paraId="6064128D">
            <w:pPr>
              <w:keepNext w:val="0"/>
              <w:keepLines w:val="0"/>
              <w:widowControl/>
              <w:suppressLineNumbers w:val="0"/>
              <w:ind w:firstLine="480" w:firstLineChars="200"/>
              <w:jc w:val="left"/>
              <w:rPr>
                <w:rFonts w:hint="default" w:ascii="Times New Roman" w:hAnsi="Times New Roman" w:cs="Times New Roman"/>
                <w:bCs/>
                <w:color w:val="auto"/>
                <w:lang w:val="en-US" w:eastAsia="zh-CN"/>
              </w:rPr>
            </w:pPr>
            <w:r>
              <w:rPr>
                <w:rFonts w:hint="eastAsia" w:cs="Times New Roman"/>
                <w:color w:val="auto"/>
                <w:lang w:val="en-US" w:eastAsia="zh-CN"/>
              </w:rPr>
              <w:t>根据项目拟利用固体废物用量表2-5和固体废物成分表2-9，同时根据建设单位及可研单位提供的常规原、燃料中氟（F）、氯（Cl）元素含量，计算项目建设后单位熟料重金属投加量见表2-18。符合</w:t>
            </w:r>
            <w:r>
              <w:rPr>
                <w:rFonts w:hint="default" w:ascii="Times New Roman" w:hAnsi="Times New Roman" w:cs="Times New Roman"/>
                <w:bCs/>
                <w:color w:val="auto"/>
                <w:lang w:val="en-US" w:eastAsia="zh-CN"/>
              </w:rPr>
              <w:t>《水泥窑协同处置固体废物环境保护技术规范》（HJ662-2013）</w:t>
            </w:r>
            <w:r>
              <w:rPr>
                <w:rFonts w:hint="eastAsia" w:cs="Times New Roman"/>
                <w:bCs/>
                <w:color w:val="auto"/>
                <w:lang w:val="en-US" w:eastAsia="zh-CN"/>
              </w:rPr>
              <w:t>中关于</w:t>
            </w:r>
            <w:r>
              <w:rPr>
                <w:rFonts w:hint="default" w:ascii="Times New Roman" w:hAnsi="Times New Roman" w:cs="Times New Roman"/>
                <w:bCs/>
                <w:color w:val="auto"/>
                <w:lang w:val="en-US" w:eastAsia="zh-CN"/>
              </w:rPr>
              <w:t>入窑物料中氟元素</w:t>
            </w:r>
            <w:r>
              <w:rPr>
                <w:rFonts w:hint="eastAsia" w:cs="Times New Roman"/>
                <w:bCs/>
                <w:color w:val="auto"/>
                <w:lang w:val="en-US" w:eastAsia="zh-CN"/>
              </w:rPr>
              <w:t>、氯元素含量的要求。</w:t>
            </w:r>
          </w:p>
          <w:p w14:paraId="26277BA5">
            <w:pPr>
              <w:pStyle w:val="45"/>
              <w:bidi w:val="0"/>
              <w:rPr>
                <w:rFonts w:hint="default" w:ascii="Times New Roman" w:hAnsi="Times New Roman" w:eastAsia="宋体" w:cs="Times New Roman"/>
                <w:b/>
                <w:bCs w:val="0"/>
                <w:color w:val="auto"/>
                <w:lang w:val="en-US"/>
              </w:rPr>
            </w:pPr>
            <w:r>
              <w:rPr>
                <w:rFonts w:hint="default" w:ascii="Times New Roman" w:hAnsi="Times New Roman" w:eastAsia="宋体" w:cs="Times New Roman"/>
                <w:b/>
                <w:bCs w:val="0"/>
                <w:color w:val="auto"/>
              </w:rPr>
              <w:t>表2-</w:t>
            </w:r>
            <w:r>
              <w:rPr>
                <w:rFonts w:hint="default" w:ascii="Times New Roman" w:hAnsi="Times New Roman" w:eastAsia="宋体" w:cs="Times New Roman"/>
                <w:b/>
                <w:bCs w:val="0"/>
                <w:color w:val="auto"/>
                <w:lang w:val="en-US" w:eastAsia="zh-CN"/>
              </w:rPr>
              <w:t>1</w:t>
            </w:r>
            <w:r>
              <w:rPr>
                <w:rFonts w:hint="eastAsia" w:eastAsia="宋体" w:cs="Times New Roman"/>
                <w:b/>
                <w:bCs w:val="0"/>
                <w:color w:val="auto"/>
                <w:lang w:val="en-US" w:eastAsia="zh-CN"/>
              </w:rPr>
              <w:t>8</w:t>
            </w:r>
            <w:r>
              <w:rPr>
                <w:rFonts w:hint="default" w:ascii="Times New Roman" w:hAnsi="Times New Roman" w:eastAsia="宋体" w:cs="Times New Roman"/>
                <w:b/>
                <w:bCs w:val="0"/>
                <w:color w:val="auto"/>
              </w:rPr>
              <w:t xml:space="preserve">  </w:t>
            </w:r>
            <w:r>
              <w:rPr>
                <w:rFonts w:hint="eastAsia" w:ascii="Times New Roman" w:hAnsi="Times New Roman" w:eastAsia="宋体" w:cs="Times New Roman"/>
                <w:b/>
                <w:bCs w:val="0"/>
                <w:color w:val="auto"/>
                <w:lang w:val="en-US" w:eastAsia="zh-CN"/>
              </w:rPr>
              <w:t>项目建设后</w:t>
            </w:r>
            <w:r>
              <w:rPr>
                <w:rFonts w:hint="eastAsia" w:eastAsia="宋体" w:cs="Times New Roman"/>
                <w:b/>
                <w:bCs w:val="0"/>
                <w:color w:val="auto"/>
                <w:lang w:val="en-US" w:eastAsia="zh-CN"/>
              </w:rPr>
              <w:t>入窑物料F、Cl元素的含量</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146"/>
              <w:gridCol w:w="1510"/>
              <w:gridCol w:w="2035"/>
              <w:gridCol w:w="2393"/>
            </w:tblGrid>
            <w:tr w14:paraId="7A9E0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27" w:type="pct"/>
                  <w:tcBorders>
                    <w:tl2br w:val="nil"/>
                    <w:tr2bl w:val="nil"/>
                  </w:tcBorders>
                  <w:noWrap w:val="0"/>
                  <w:vAlign w:val="center"/>
                </w:tcPr>
                <w:p w14:paraId="317ABBFD">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元素</w:t>
                  </w:r>
                </w:p>
              </w:tc>
              <w:tc>
                <w:tcPr>
                  <w:tcW w:w="933" w:type="pct"/>
                  <w:tcBorders>
                    <w:tl2br w:val="nil"/>
                    <w:tr2bl w:val="nil"/>
                  </w:tcBorders>
                  <w:noWrap w:val="0"/>
                  <w:vAlign w:val="center"/>
                </w:tcPr>
                <w:p w14:paraId="3AC70262">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zh-CN" w:eastAsia="zh-CN"/>
                    </w:rPr>
                  </w:pPr>
                  <w:r>
                    <w:rPr>
                      <w:rFonts w:hint="default" w:ascii="Times New Roman" w:hAnsi="Times New Roman" w:cs="Times New Roman"/>
                      <w:b/>
                      <w:bCs/>
                      <w:color w:val="auto"/>
                      <w:sz w:val="21"/>
                      <w:szCs w:val="21"/>
                      <w:lang w:val="en-US" w:eastAsia="zh-CN"/>
                    </w:rPr>
                    <w:t>单位</w:t>
                  </w:r>
                </w:p>
              </w:tc>
              <w:tc>
                <w:tcPr>
                  <w:tcW w:w="1258" w:type="pct"/>
                  <w:tcBorders>
                    <w:tl2br w:val="nil"/>
                    <w:tr2bl w:val="nil"/>
                  </w:tcBorders>
                  <w:noWrap w:val="0"/>
                  <w:vAlign w:val="center"/>
                </w:tcPr>
                <w:p w14:paraId="6F676810">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入窑物料含量</w:t>
                  </w:r>
                </w:p>
              </w:tc>
              <w:tc>
                <w:tcPr>
                  <w:tcW w:w="1480" w:type="pct"/>
                  <w:tcBorders>
                    <w:tl2br w:val="nil"/>
                    <w:tr2bl w:val="nil"/>
                  </w:tcBorders>
                  <w:noWrap w:val="0"/>
                  <w:vAlign w:val="center"/>
                </w:tcPr>
                <w:p w14:paraId="0426A8DA">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HJ662-2013</w:t>
                  </w:r>
                  <w:r>
                    <w:rPr>
                      <w:rFonts w:hint="default" w:ascii="Times New Roman" w:hAnsi="Times New Roman" w:cs="Times New Roman"/>
                      <w:b/>
                      <w:bCs/>
                      <w:color w:val="auto"/>
                      <w:sz w:val="21"/>
                      <w:szCs w:val="21"/>
                      <w:lang w:eastAsia="zh-CN"/>
                    </w:rPr>
                    <w:t>最大允许</w:t>
                  </w:r>
                  <w:r>
                    <w:rPr>
                      <w:rFonts w:hint="eastAsia" w:cs="Times New Roman"/>
                      <w:b/>
                      <w:bCs/>
                      <w:color w:val="auto"/>
                      <w:sz w:val="21"/>
                      <w:szCs w:val="21"/>
                      <w:lang w:val="en-US" w:eastAsia="zh-CN"/>
                    </w:rPr>
                    <w:t>含量</w:t>
                  </w:r>
                </w:p>
              </w:tc>
            </w:tr>
            <w:tr w14:paraId="33930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27" w:type="pct"/>
                  <w:tcBorders>
                    <w:tl2br w:val="nil"/>
                    <w:tr2bl w:val="nil"/>
                  </w:tcBorders>
                  <w:noWrap w:val="0"/>
                  <w:vAlign w:val="center"/>
                </w:tcPr>
                <w:p w14:paraId="1779E308">
                  <w:pPr>
                    <w:widowControl/>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氟（F）</w:t>
                  </w:r>
                </w:p>
              </w:tc>
              <w:tc>
                <w:tcPr>
                  <w:tcW w:w="933" w:type="pct"/>
                  <w:vMerge w:val="restart"/>
                  <w:tcBorders>
                    <w:tl2br w:val="nil"/>
                    <w:tr2bl w:val="nil"/>
                  </w:tcBorders>
                  <w:noWrap w:val="0"/>
                  <w:vAlign w:val="center"/>
                </w:tcPr>
                <w:p w14:paraId="55EB97D1">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58" w:type="pct"/>
                  <w:tcBorders>
                    <w:tl2br w:val="nil"/>
                    <w:tr2bl w:val="nil"/>
                  </w:tcBorders>
                  <w:noWrap w:val="0"/>
                  <w:vAlign w:val="center"/>
                </w:tcPr>
                <w:p w14:paraId="4C2424BF">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0.0122</w:t>
                  </w:r>
                </w:p>
              </w:tc>
              <w:tc>
                <w:tcPr>
                  <w:tcW w:w="1480" w:type="pct"/>
                  <w:tcBorders>
                    <w:tl2br w:val="nil"/>
                    <w:tr2bl w:val="nil"/>
                  </w:tcBorders>
                  <w:noWrap w:val="0"/>
                  <w:vAlign w:val="center"/>
                </w:tcPr>
                <w:p w14:paraId="22A87FC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p>
              </w:tc>
            </w:tr>
            <w:tr w14:paraId="15856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27" w:type="pct"/>
                  <w:tcBorders>
                    <w:tl2br w:val="nil"/>
                    <w:tr2bl w:val="nil"/>
                  </w:tcBorders>
                  <w:noWrap w:val="0"/>
                  <w:vAlign w:val="center"/>
                </w:tcPr>
                <w:p w14:paraId="6DA68FB6">
                  <w:pPr>
                    <w:widowControl/>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氯（Cl）</w:t>
                  </w:r>
                </w:p>
              </w:tc>
              <w:tc>
                <w:tcPr>
                  <w:tcW w:w="933" w:type="pct"/>
                  <w:vMerge w:val="continue"/>
                  <w:tcBorders>
                    <w:tl2br w:val="nil"/>
                    <w:tr2bl w:val="nil"/>
                  </w:tcBorders>
                  <w:noWrap w:val="0"/>
                  <w:vAlign w:val="center"/>
                </w:tcPr>
                <w:p w14:paraId="7B31FF62">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258" w:type="pct"/>
                  <w:tcBorders>
                    <w:tl2br w:val="nil"/>
                    <w:tr2bl w:val="nil"/>
                  </w:tcBorders>
                  <w:noWrap w:val="0"/>
                  <w:vAlign w:val="center"/>
                </w:tcPr>
                <w:p w14:paraId="0105753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0.0361</w:t>
                  </w:r>
                </w:p>
              </w:tc>
              <w:tc>
                <w:tcPr>
                  <w:tcW w:w="1480" w:type="pct"/>
                  <w:tcBorders>
                    <w:tl2br w:val="nil"/>
                    <w:tr2bl w:val="nil"/>
                  </w:tcBorders>
                  <w:noWrap w:val="0"/>
                  <w:vAlign w:val="center"/>
                </w:tcPr>
                <w:p w14:paraId="7B0093CA">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0.04</w:t>
                  </w:r>
                </w:p>
              </w:tc>
            </w:tr>
          </w:tbl>
          <w:p w14:paraId="49D713FE">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（2）氟（F）、氯（Cl）元素平衡分析</w:t>
            </w:r>
          </w:p>
          <w:p w14:paraId="5D020C8A">
            <w:pPr>
              <w:bidi w:val="0"/>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①氟平衡</w:t>
            </w:r>
          </w:p>
          <w:p w14:paraId="34BFC6EB">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水泥窑产生烟气中的氟化物主要为HF，HF主要来自于原燃料以及含氟矿化剂（CaF</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）。含氟原燃料在烧成过程形成的HF会与CaO、Al</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O</w:t>
            </w:r>
            <w:r>
              <w:rPr>
                <w:rFonts w:hint="default" w:ascii="Times New Roman" w:hAnsi="Times New Roman" w:cs="Times New Roman"/>
                <w:color w:val="auto"/>
                <w:vertAlign w:val="subscript"/>
                <w:lang w:val="en-US" w:eastAsia="zh-CN"/>
              </w:rPr>
              <w:t>3</w:t>
            </w:r>
            <w:r>
              <w:rPr>
                <w:rFonts w:hint="default" w:ascii="Times New Roman" w:hAnsi="Times New Roman" w:cs="Times New Roman"/>
                <w:color w:val="auto"/>
                <w:lang w:val="en-US" w:eastAsia="zh-CN"/>
              </w:rPr>
              <w:t>形成氟铝酸钙固溶于熟料中带出窑外，90%-95%的F元素会随熟料带入窑外，剩余的F元素以CaF</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的形式凝结在窑灰中在窑内进行循环，极少部分随尾气排放。回转窑内的碱性环境可以中和绝大部分HF，废物中的F含量主要对系统结皮和水泥产品质量有影响，而与烟气中HF的排放无直接关系</w:t>
            </w:r>
            <w:r>
              <w:rPr>
                <w:rFonts w:hint="eastAsia" w:cs="Times New Roman"/>
                <w:color w:val="auto"/>
                <w:lang w:val="en-US" w:eastAsia="zh-CN"/>
              </w:rPr>
              <w:t>，</w:t>
            </w:r>
            <w:r>
              <w:rPr>
                <w:rFonts w:hint="default" w:ascii="Times New Roman" w:hAnsi="Times New Roman" w:cs="Times New Roman"/>
                <w:color w:val="auto"/>
                <w:highlight w:val="none"/>
                <w:lang w:val="en-US" w:eastAsia="zh-CN"/>
              </w:rPr>
              <w:t>根据现有工程水泥窑脱</w:t>
            </w:r>
            <w:r>
              <w:rPr>
                <w:rFonts w:hint="default" w:ascii="Times New Roman" w:hAnsi="Times New Roman" w:cs="Times New Roman"/>
                <w:color w:val="auto"/>
                <w:lang w:val="en-US" w:eastAsia="zh-CN"/>
              </w:rPr>
              <w:t>氟</w:t>
            </w:r>
            <w:r>
              <w:rPr>
                <w:rFonts w:hint="default" w:ascii="Times New Roman" w:hAnsi="Times New Roman" w:cs="Times New Roman"/>
                <w:color w:val="auto"/>
                <w:highlight w:val="none"/>
                <w:lang w:val="en-US" w:eastAsia="zh-CN"/>
              </w:rPr>
              <w:t>效率，本次评价取值99%</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lang w:val="en-US" w:eastAsia="zh-CN"/>
              </w:rPr>
              <w:t>项目建设后水泥熟料生产线氟元素平衡见下表。</w:t>
            </w:r>
          </w:p>
          <w:p w14:paraId="019E0120">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rPr>
              <w:t>表</w:t>
            </w:r>
            <w:r>
              <w:rPr>
                <w:rFonts w:hint="default"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w:t>
            </w:r>
            <w:r>
              <w:rPr>
                <w:rFonts w:hint="eastAsia" w:eastAsia="宋体" w:cs="Times New Roman"/>
                <w:b/>
                <w:bCs w:val="0"/>
                <w:color w:val="auto"/>
                <w:lang w:val="en-US" w:eastAsia="zh-CN"/>
              </w:rPr>
              <w:t>19</w:t>
            </w:r>
            <w:r>
              <w:rPr>
                <w:rFonts w:hint="eastAsia"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lang w:val="en-US" w:eastAsia="zh-CN"/>
              </w:rPr>
              <w:t>项目建设</w:t>
            </w:r>
            <w:r>
              <w:rPr>
                <w:rFonts w:hint="eastAsia" w:eastAsia="宋体" w:cs="Times New Roman"/>
                <w:b/>
                <w:bCs w:val="0"/>
                <w:color w:val="auto"/>
                <w:lang w:val="en-US" w:eastAsia="zh-CN"/>
              </w:rPr>
              <w:t>后</w:t>
            </w:r>
            <w:r>
              <w:rPr>
                <w:rFonts w:hint="default" w:ascii="Times New Roman" w:hAnsi="Times New Roman" w:eastAsia="宋体" w:cs="Times New Roman"/>
                <w:b/>
                <w:bCs w:val="0"/>
                <w:color w:val="auto"/>
                <w:lang w:val="en-US" w:eastAsia="zh-CN"/>
              </w:rPr>
              <w:t>水泥熟料生产线氟</w:t>
            </w:r>
            <w:r>
              <w:rPr>
                <w:rFonts w:hint="eastAsia" w:eastAsia="宋体" w:cs="Times New Roman"/>
                <w:b/>
                <w:bCs w:val="0"/>
                <w:color w:val="auto"/>
                <w:lang w:val="en-US" w:eastAsia="zh-CN"/>
              </w:rPr>
              <w:t>元素</w:t>
            </w:r>
            <w:r>
              <w:rPr>
                <w:rFonts w:hint="default" w:ascii="Times New Roman" w:hAnsi="Times New Roman" w:eastAsia="宋体" w:cs="Times New Roman"/>
                <w:b/>
                <w:bCs w:val="0"/>
                <w:color w:val="auto"/>
                <w:lang w:val="en-US" w:eastAsia="zh-CN"/>
              </w:rPr>
              <w:t>平衡表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1405"/>
              <w:gridCol w:w="1556"/>
              <w:gridCol w:w="1434"/>
              <w:gridCol w:w="1481"/>
            </w:tblGrid>
            <w:tr w14:paraId="4B7B77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197" w:type="pct"/>
                  <w:gridSpan w:val="3"/>
                  <w:tcBorders>
                    <w:tl2br w:val="nil"/>
                    <w:tr2bl w:val="nil"/>
                  </w:tcBorders>
                  <w:noWrap w:val="0"/>
                  <w:tcMar>
                    <w:top w:w="0" w:type="dxa"/>
                    <w:left w:w="108" w:type="dxa"/>
                    <w:bottom w:w="0" w:type="dxa"/>
                    <w:right w:w="108" w:type="dxa"/>
                  </w:tcMar>
                  <w:vAlign w:val="center"/>
                </w:tcPr>
                <w:p w14:paraId="0BACD93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投入</w:t>
                  </w:r>
                </w:p>
              </w:tc>
              <w:tc>
                <w:tcPr>
                  <w:tcW w:w="1802" w:type="pct"/>
                  <w:gridSpan w:val="2"/>
                  <w:tcBorders>
                    <w:tl2br w:val="nil"/>
                    <w:tr2bl w:val="nil"/>
                  </w:tcBorders>
                  <w:noWrap w:val="0"/>
                  <w:tcMar>
                    <w:top w:w="0" w:type="dxa"/>
                    <w:left w:w="108" w:type="dxa"/>
                    <w:bottom w:w="0" w:type="dxa"/>
                    <w:right w:w="108" w:type="dxa"/>
                  </w:tcMar>
                  <w:vAlign w:val="center"/>
                </w:tcPr>
                <w:p w14:paraId="5D735D4B">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输出</w:t>
                  </w:r>
                </w:p>
              </w:tc>
            </w:tr>
            <w:tr w14:paraId="37DD98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1BD3986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869" w:type="pct"/>
                  <w:tcBorders>
                    <w:tl2br w:val="nil"/>
                    <w:tr2bl w:val="nil"/>
                  </w:tcBorders>
                  <w:noWrap w:val="0"/>
                  <w:tcMar>
                    <w:top w:w="0" w:type="dxa"/>
                    <w:left w:w="108" w:type="dxa"/>
                    <w:bottom w:w="0" w:type="dxa"/>
                    <w:right w:w="108" w:type="dxa"/>
                  </w:tcMar>
                  <w:vAlign w:val="center"/>
                </w:tcPr>
                <w:p w14:paraId="151C40BE">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进料t/a</w:t>
                  </w:r>
                </w:p>
              </w:tc>
              <w:tc>
                <w:tcPr>
                  <w:tcW w:w="962" w:type="pct"/>
                  <w:tcBorders>
                    <w:tl2br w:val="nil"/>
                    <w:tr2bl w:val="nil"/>
                  </w:tcBorders>
                  <w:noWrap w:val="0"/>
                  <w:tcMar>
                    <w:top w:w="0" w:type="dxa"/>
                    <w:left w:w="108" w:type="dxa"/>
                    <w:bottom w:w="0" w:type="dxa"/>
                    <w:right w:w="108" w:type="dxa"/>
                  </w:tcMar>
                  <w:vAlign w:val="center"/>
                </w:tcPr>
                <w:p w14:paraId="411C0B2E">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总氟t/a</w:t>
                  </w:r>
                </w:p>
              </w:tc>
              <w:tc>
                <w:tcPr>
                  <w:tcW w:w="886" w:type="pct"/>
                  <w:tcBorders>
                    <w:tl2br w:val="nil"/>
                    <w:tr2bl w:val="nil"/>
                  </w:tcBorders>
                  <w:noWrap w:val="0"/>
                  <w:tcMar>
                    <w:top w:w="0" w:type="dxa"/>
                    <w:left w:w="108" w:type="dxa"/>
                    <w:bottom w:w="0" w:type="dxa"/>
                    <w:right w:w="108" w:type="dxa"/>
                  </w:tcMar>
                  <w:vAlign w:val="center"/>
                </w:tcPr>
                <w:p w14:paraId="753B169D">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916" w:type="pct"/>
                  <w:tcBorders>
                    <w:tl2br w:val="nil"/>
                    <w:tr2bl w:val="nil"/>
                  </w:tcBorders>
                  <w:noWrap w:val="0"/>
                  <w:tcMar>
                    <w:top w:w="0" w:type="dxa"/>
                    <w:left w:w="108" w:type="dxa"/>
                    <w:bottom w:w="0" w:type="dxa"/>
                    <w:right w:w="108" w:type="dxa"/>
                  </w:tcMar>
                  <w:vAlign w:val="center"/>
                </w:tcPr>
                <w:p w14:paraId="777FCCC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总氟量t/a</w:t>
                  </w:r>
                </w:p>
              </w:tc>
            </w:tr>
            <w:tr w14:paraId="56C5AD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74CDB18E">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石灰石</w:t>
                  </w:r>
                </w:p>
              </w:tc>
              <w:tc>
                <w:tcPr>
                  <w:tcW w:w="869" w:type="pct"/>
                  <w:tcBorders>
                    <w:tl2br w:val="nil"/>
                    <w:tr2bl w:val="nil"/>
                  </w:tcBorders>
                  <w:shd w:val="clear" w:color="auto" w:fill="auto"/>
                  <w:noWrap w:val="0"/>
                  <w:tcMar>
                    <w:top w:w="0" w:type="dxa"/>
                    <w:left w:w="108" w:type="dxa"/>
                    <w:bottom w:w="0" w:type="dxa"/>
                    <w:right w:w="108" w:type="dxa"/>
                  </w:tcMar>
                  <w:vAlign w:val="center"/>
                </w:tcPr>
                <w:p w14:paraId="3EE2450C">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1880000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4247AC01">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2.933 </w:t>
                  </w:r>
                </w:p>
              </w:tc>
              <w:tc>
                <w:tcPr>
                  <w:tcW w:w="886" w:type="pct"/>
                  <w:tcBorders>
                    <w:tl2br w:val="nil"/>
                    <w:tr2bl w:val="nil"/>
                  </w:tcBorders>
                  <w:noWrap w:val="0"/>
                  <w:tcMar>
                    <w:top w:w="0" w:type="dxa"/>
                    <w:left w:w="108" w:type="dxa"/>
                    <w:bottom w:w="0" w:type="dxa"/>
                    <w:right w:w="108" w:type="dxa"/>
                  </w:tcMar>
                  <w:vAlign w:val="center"/>
                </w:tcPr>
                <w:p w14:paraId="13A3B62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进入熟料</w:t>
                  </w:r>
                </w:p>
              </w:tc>
              <w:tc>
                <w:tcPr>
                  <w:tcW w:w="916" w:type="pct"/>
                  <w:tcBorders>
                    <w:tl2br w:val="nil"/>
                    <w:tr2bl w:val="nil"/>
                  </w:tcBorders>
                  <w:noWrap w:val="0"/>
                  <w:tcMar>
                    <w:top w:w="0" w:type="dxa"/>
                    <w:left w:w="108" w:type="dxa"/>
                    <w:bottom w:w="0" w:type="dxa"/>
                    <w:right w:w="108" w:type="dxa"/>
                  </w:tcMar>
                  <w:vAlign w:val="center"/>
                </w:tcPr>
                <w:p w14:paraId="7A917C1A">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i w:val="0"/>
                      <w:iCs w:val="0"/>
                      <w:snapToGrid w:val="0"/>
                      <w:color w:val="000000"/>
                      <w:kern w:val="0"/>
                      <w:sz w:val="21"/>
                      <w:szCs w:val="21"/>
                      <w:u w:val="none"/>
                      <w:lang w:val="en-US" w:eastAsia="zh-CN" w:bidi="ar"/>
                    </w:rPr>
                    <w:t>328.678</w:t>
                  </w:r>
                </w:p>
              </w:tc>
            </w:tr>
            <w:tr w14:paraId="009D4B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67F8DBEE">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粘土</w:t>
                  </w:r>
                </w:p>
              </w:tc>
              <w:tc>
                <w:tcPr>
                  <w:tcW w:w="869" w:type="pct"/>
                  <w:tcBorders>
                    <w:tl2br w:val="nil"/>
                    <w:tr2bl w:val="nil"/>
                  </w:tcBorders>
                  <w:shd w:val="clear" w:color="auto" w:fill="auto"/>
                  <w:noWrap w:val="0"/>
                  <w:tcMar>
                    <w:top w:w="0" w:type="dxa"/>
                    <w:left w:w="108" w:type="dxa"/>
                    <w:bottom w:w="0" w:type="dxa"/>
                    <w:right w:w="108" w:type="dxa"/>
                  </w:tcMar>
                  <w:vAlign w:val="center"/>
                </w:tcPr>
                <w:p w14:paraId="630BC7D4">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120000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74384082">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0.187 </w:t>
                  </w:r>
                </w:p>
              </w:tc>
              <w:tc>
                <w:tcPr>
                  <w:tcW w:w="886" w:type="pct"/>
                  <w:tcBorders>
                    <w:tl2br w:val="nil"/>
                    <w:tr2bl w:val="nil"/>
                  </w:tcBorders>
                  <w:noWrap w:val="0"/>
                  <w:tcMar>
                    <w:top w:w="0" w:type="dxa"/>
                    <w:left w:w="108" w:type="dxa"/>
                    <w:bottom w:w="0" w:type="dxa"/>
                    <w:right w:w="108" w:type="dxa"/>
                  </w:tcMar>
                  <w:vAlign w:val="center"/>
                </w:tcPr>
                <w:p w14:paraId="1732FA5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窑尾废气</w:t>
                  </w:r>
                </w:p>
              </w:tc>
              <w:tc>
                <w:tcPr>
                  <w:tcW w:w="916" w:type="pct"/>
                  <w:tcBorders>
                    <w:tl2br w:val="nil"/>
                    <w:tr2bl w:val="nil"/>
                  </w:tcBorders>
                  <w:noWrap w:val="0"/>
                  <w:tcMar>
                    <w:top w:w="0" w:type="dxa"/>
                    <w:left w:w="108" w:type="dxa"/>
                    <w:bottom w:w="0" w:type="dxa"/>
                    <w:right w:w="108" w:type="dxa"/>
                  </w:tcMar>
                  <w:vAlign w:val="center"/>
                </w:tcPr>
                <w:p w14:paraId="187978ED">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3.320</w:t>
                  </w:r>
                </w:p>
              </w:tc>
            </w:tr>
            <w:tr w14:paraId="55606A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shd w:val="clear" w:color="auto" w:fill="auto"/>
                  <w:noWrap w:val="0"/>
                  <w:tcMar>
                    <w:top w:w="0" w:type="dxa"/>
                    <w:left w:w="108" w:type="dxa"/>
                    <w:bottom w:w="0" w:type="dxa"/>
                    <w:right w:w="108" w:type="dxa"/>
                  </w:tcMar>
                  <w:vAlign w:val="center"/>
                </w:tcPr>
                <w:p w14:paraId="447F8713">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本项目替代原料</w:t>
                  </w:r>
                </w:p>
              </w:tc>
              <w:tc>
                <w:tcPr>
                  <w:tcW w:w="869" w:type="pct"/>
                  <w:tcBorders>
                    <w:tl2br w:val="nil"/>
                    <w:tr2bl w:val="nil"/>
                  </w:tcBorders>
                  <w:shd w:val="clear" w:color="auto" w:fill="auto"/>
                  <w:noWrap w:val="0"/>
                  <w:tcMar>
                    <w:top w:w="0" w:type="dxa"/>
                    <w:left w:w="108" w:type="dxa"/>
                    <w:bottom w:w="0" w:type="dxa"/>
                    <w:right w:w="108" w:type="dxa"/>
                  </w:tcMar>
                  <w:vAlign w:val="center"/>
                </w:tcPr>
                <w:p w14:paraId="6F7144C1">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275000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7D5E309A">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147.800 </w:t>
                  </w:r>
                </w:p>
              </w:tc>
              <w:tc>
                <w:tcPr>
                  <w:tcW w:w="1802" w:type="pct"/>
                  <w:gridSpan w:val="2"/>
                  <w:vMerge w:val="restart"/>
                  <w:tcBorders>
                    <w:tl2br w:val="nil"/>
                    <w:tr2bl w:val="nil"/>
                  </w:tcBorders>
                  <w:noWrap w:val="0"/>
                  <w:tcMar>
                    <w:top w:w="0" w:type="dxa"/>
                    <w:left w:w="108" w:type="dxa"/>
                    <w:bottom w:w="0" w:type="dxa"/>
                    <w:right w:w="108" w:type="dxa"/>
                  </w:tcMar>
                  <w:vAlign w:val="center"/>
                </w:tcPr>
                <w:p w14:paraId="007BA2EE">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7E327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6424BDA0">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煤</w:t>
                  </w:r>
                </w:p>
              </w:tc>
              <w:tc>
                <w:tcPr>
                  <w:tcW w:w="869" w:type="pct"/>
                  <w:tcBorders>
                    <w:tl2br w:val="nil"/>
                    <w:tr2bl w:val="nil"/>
                  </w:tcBorders>
                  <w:shd w:val="clear" w:color="auto" w:fill="auto"/>
                  <w:noWrap w:val="0"/>
                  <w:tcMar>
                    <w:top w:w="0" w:type="dxa"/>
                    <w:left w:w="108" w:type="dxa"/>
                    <w:bottom w:w="0" w:type="dxa"/>
                    <w:right w:w="108" w:type="dxa"/>
                  </w:tcMar>
                  <w:vAlign w:val="center"/>
                </w:tcPr>
                <w:p w14:paraId="652438A9">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169058</w:t>
                  </w:r>
                </w:p>
              </w:tc>
              <w:tc>
                <w:tcPr>
                  <w:tcW w:w="962" w:type="pct"/>
                  <w:tcBorders>
                    <w:tl2br w:val="nil"/>
                    <w:tr2bl w:val="nil"/>
                  </w:tcBorders>
                  <w:shd w:val="clear" w:color="auto" w:fill="auto"/>
                  <w:noWrap w:val="0"/>
                  <w:tcMar>
                    <w:top w:w="0" w:type="dxa"/>
                    <w:left w:w="108" w:type="dxa"/>
                    <w:bottom w:w="0" w:type="dxa"/>
                    <w:right w:w="108" w:type="dxa"/>
                  </w:tcMar>
                  <w:vAlign w:val="center"/>
                </w:tcPr>
                <w:p w14:paraId="37C3AAF2">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18.596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253F36A0">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7A640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4EEC5641">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RDF</w:t>
                  </w:r>
                </w:p>
              </w:tc>
              <w:tc>
                <w:tcPr>
                  <w:tcW w:w="869" w:type="pct"/>
                  <w:tcBorders>
                    <w:tl2br w:val="nil"/>
                    <w:tr2bl w:val="nil"/>
                  </w:tcBorders>
                  <w:shd w:val="clear" w:color="auto" w:fill="auto"/>
                  <w:noWrap w:val="0"/>
                  <w:tcMar>
                    <w:top w:w="0" w:type="dxa"/>
                    <w:left w:w="108" w:type="dxa"/>
                    <w:bottom w:w="0" w:type="dxa"/>
                    <w:right w:w="108" w:type="dxa"/>
                  </w:tcMar>
                  <w:vAlign w:val="center"/>
                </w:tcPr>
                <w:p w14:paraId="5F57EBCA">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35000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23162DEC">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1.050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6BF44247">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649E86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69481FCA">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本项目替代燃料</w:t>
                  </w:r>
                </w:p>
              </w:tc>
              <w:tc>
                <w:tcPr>
                  <w:tcW w:w="869" w:type="pct"/>
                  <w:tcBorders>
                    <w:tl2br w:val="nil"/>
                    <w:tr2bl w:val="nil"/>
                  </w:tcBorders>
                  <w:shd w:val="clear" w:color="auto" w:fill="auto"/>
                  <w:noWrap w:val="0"/>
                  <w:tcMar>
                    <w:top w:w="0" w:type="dxa"/>
                    <w:left w:w="108" w:type="dxa"/>
                    <w:bottom w:w="0" w:type="dxa"/>
                    <w:right w:w="108" w:type="dxa"/>
                  </w:tcMar>
                  <w:vAlign w:val="center"/>
                </w:tcPr>
                <w:p w14:paraId="41DF5280">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35000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19832EDF">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5.432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28E42EC9">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534820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01128DF4">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其他协同处置</w:t>
                  </w:r>
                  <w:r>
                    <w:rPr>
                      <w:rFonts w:hint="default" w:ascii="Times New Roman" w:hAnsi="Times New Roman" w:cs="Times New Roman"/>
                      <w:color w:val="auto"/>
                      <w:sz w:val="21"/>
                      <w:szCs w:val="21"/>
                      <w:lang w:val="en-US" w:eastAsia="zh-CN"/>
                    </w:rPr>
                    <w:t>危险废物及一般固废</w:t>
                  </w:r>
                </w:p>
              </w:tc>
              <w:tc>
                <w:tcPr>
                  <w:tcW w:w="869" w:type="pct"/>
                  <w:tcBorders>
                    <w:tl2br w:val="nil"/>
                    <w:tr2bl w:val="nil"/>
                  </w:tcBorders>
                  <w:shd w:val="clear" w:color="auto" w:fill="auto"/>
                  <w:noWrap w:val="0"/>
                  <w:tcMar>
                    <w:top w:w="0" w:type="dxa"/>
                    <w:left w:w="108" w:type="dxa"/>
                    <w:bottom w:w="0" w:type="dxa"/>
                    <w:right w:w="108" w:type="dxa"/>
                  </w:tcMar>
                  <w:vAlign w:val="center"/>
                </w:tcPr>
                <w:p w14:paraId="0F3C3E1C">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200000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1956152D">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 xml:space="preserve">156.000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51228A40">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25A150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234" w:type="pct"/>
                  <w:gridSpan w:val="2"/>
                  <w:tcBorders>
                    <w:tl2br w:val="nil"/>
                    <w:tr2bl w:val="nil"/>
                  </w:tcBorders>
                  <w:noWrap w:val="0"/>
                  <w:tcMar>
                    <w:top w:w="0" w:type="dxa"/>
                    <w:left w:w="108" w:type="dxa"/>
                    <w:bottom w:w="0" w:type="dxa"/>
                    <w:right w:w="108" w:type="dxa"/>
                  </w:tcMar>
                  <w:vAlign w:val="center"/>
                </w:tcPr>
                <w:p w14:paraId="07363C1A">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合计</w:t>
                  </w:r>
                </w:p>
              </w:tc>
              <w:tc>
                <w:tcPr>
                  <w:tcW w:w="962" w:type="pct"/>
                  <w:tcBorders>
                    <w:tl2br w:val="nil"/>
                    <w:tr2bl w:val="nil"/>
                  </w:tcBorders>
                  <w:noWrap w:val="0"/>
                  <w:tcMar>
                    <w:top w:w="0" w:type="dxa"/>
                    <w:left w:w="108" w:type="dxa"/>
                    <w:bottom w:w="0" w:type="dxa"/>
                    <w:right w:w="108" w:type="dxa"/>
                  </w:tcMar>
                  <w:vAlign w:val="center"/>
                </w:tcPr>
                <w:p w14:paraId="694ACADE">
                  <w:pPr>
                    <w:pStyle w:val="46"/>
                    <w:keepNext w:val="0"/>
                    <w:keepLines w:val="0"/>
                    <w:pageBreakBefore w:val="0"/>
                    <w:kinsoku/>
                    <w:wordWrap/>
                    <w:topLinePunct w:val="0"/>
                    <w:autoSpaceDE/>
                    <w:autoSpaceDN/>
                    <w:bidi w:val="0"/>
                    <w:snapToGrid w:val="0"/>
                    <w:spacing w:beforeLines="0" w:afterLines="0" w:line="240" w:lineRule="auto"/>
                    <w:rPr>
                      <w:rFonts w:hint="default" w:cs="Times New Roman"/>
                      <w:color w:val="auto"/>
                      <w:sz w:val="21"/>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331.998 </w:t>
                  </w:r>
                </w:p>
              </w:tc>
              <w:tc>
                <w:tcPr>
                  <w:tcW w:w="886" w:type="pct"/>
                  <w:tcBorders>
                    <w:tl2br w:val="nil"/>
                    <w:tr2bl w:val="nil"/>
                  </w:tcBorders>
                  <w:noWrap w:val="0"/>
                  <w:tcMar>
                    <w:top w:w="0" w:type="dxa"/>
                    <w:left w:w="108" w:type="dxa"/>
                    <w:bottom w:w="0" w:type="dxa"/>
                    <w:right w:w="108" w:type="dxa"/>
                  </w:tcMar>
                  <w:vAlign w:val="center"/>
                </w:tcPr>
                <w:p w14:paraId="0B4A850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916" w:type="pct"/>
                  <w:tcBorders>
                    <w:tl2br w:val="nil"/>
                    <w:tr2bl w:val="nil"/>
                  </w:tcBorders>
                  <w:shd w:val="clear" w:color="auto" w:fill="auto"/>
                  <w:noWrap w:val="0"/>
                  <w:tcMar>
                    <w:top w:w="0" w:type="dxa"/>
                    <w:left w:w="108" w:type="dxa"/>
                    <w:bottom w:w="0" w:type="dxa"/>
                    <w:right w:w="108" w:type="dxa"/>
                  </w:tcMar>
                  <w:vAlign w:val="center"/>
                </w:tcPr>
                <w:p w14:paraId="68CECC7B">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331.998 </w:t>
                  </w:r>
                  <w:r>
                    <w:rPr>
                      <w:rFonts w:hint="eastAsia" w:ascii="Times New Roman" w:hAnsi="Times New Roman" w:eastAsia="宋体" w:cs="Times New Roman"/>
                      <w:i w:val="0"/>
                      <w:iCs w:val="0"/>
                      <w:snapToGrid w:val="0"/>
                      <w:color w:val="000000"/>
                      <w:kern w:val="0"/>
                      <w:sz w:val="21"/>
                      <w:szCs w:val="21"/>
                      <w:u w:val="none"/>
                      <w:lang w:val="en-US" w:eastAsia="zh-CN" w:bidi="ar"/>
                    </w:rPr>
                    <w:t xml:space="preserve"> </w:t>
                  </w:r>
                </w:p>
              </w:tc>
            </w:tr>
          </w:tbl>
          <w:p w14:paraId="02B1CDA6">
            <w:pPr>
              <w:bidi w:val="0"/>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②氯平衡</w:t>
            </w:r>
          </w:p>
          <w:p w14:paraId="408CB08C">
            <w:pPr>
              <w:bidi w:val="0"/>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4"/>
                <w:szCs w:val="24"/>
                <w:lang w:val="en-US" w:eastAsia="zh-CN" w:bidi="ar"/>
              </w:rPr>
              <w:t>水泥窑产生的HCl主要来自于含氯的原燃料在烧成过程中形成的HCl。由于水泥窑中具有强碱性环境，HCl在窑内与CaO反应生成CaCl</w:t>
            </w:r>
            <w:r>
              <w:rPr>
                <w:rFonts w:hint="default" w:ascii="Times New Roman" w:hAnsi="Times New Roman" w:eastAsia="宋体" w:cs="Times New Roman"/>
                <w:color w:val="auto"/>
                <w:kern w:val="0"/>
                <w:sz w:val="16"/>
                <w:szCs w:val="16"/>
                <w:lang w:val="en-US" w:eastAsia="zh-CN" w:bidi="ar"/>
              </w:rPr>
              <w:t>2</w:t>
            </w:r>
            <w:r>
              <w:rPr>
                <w:rFonts w:hint="default" w:ascii="Times New Roman" w:hAnsi="Times New Roman" w:eastAsia="宋体" w:cs="Times New Roman"/>
                <w:color w:val="auto"/>
                <w:kern w:val="0"/>
                <w:sz w:val="24"/>
                <w:szCs w:val="24"/>
                <w:lang w:val="en-US" w:eastAsia="zh-CN" w:bidi="ar"/>
              </w:rPr>
              <w:t>随熟料带出窑外，或与碱金属氧化物反应生成NaCl、KCl在窑内形成内循环而不断积蓄。通常情况下，97%以上的HCl在窑内会被碱性物质吸收，随尾气排放到窑外的量很少。</w:t>
            </w:r>
            <w:r>
              <w:rPr>
                <w:rFonts w:hint="default" w:ascii="Times New Roman" w:hAnsi="Times New Roman" w:cs="Times New Roman"/>
                <w:color w:val="auto"/>
                <w:highlight w:val="none"/>
                <w:lang w:val="en-US" w:eastAsia="zh-CN"/>
              </w:rPr>
              <w:t>根据现有工程水泥窑脱氯效率，本次评价取值99%</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lang w:val="en-US" w:eastAsia="zh-CN"/>
              </w:rPr>
              <w:t>项目建设后水泥熟料生产线氯元素平衡见下表。</w:t>
            </w:r>
          </w:p>
          <w:p w14:paraId="560F22A4">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rPr>
              <w:t>表</w:t>
            </w:r>
            <w:r>
              <w:rPr>
                <w:rFonts w:hint="default"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w:t>
            </w:r>
            <w:r>
              <w:rPr>
                <w:rFonts w:hint="eastAsia" w:ascii="Times New Roman" w:hAnsi="Times New Roman" w:eastAsia="宋体" w:cs="Times New Roman"/>
                <w:b/>
                <w:bCs w:val="0"/>
                <w:color w:val="auto"/>
                <w:lang w:val="en-US" w:eastAsia="zh-CN"/>
              </w:rPr>
              <w:t>2</w:t>
            </w:r>
            <w:r>
              <w:rPr>
                <w:rFonts w:hint="eastAsia" w:eastAsia="宋体" w:cs="Times New Roman"/>
                <w:b/>
                <w:bCs w:val="0"/>
                <w:color w:val="auto"/>
                <w:lang w:val="en-US" w:eastAsia="zh-CN"/>
              </w:rPr>
              <w:t>0</w:t>
            </w:r>
            <w:r>
              <w:rPr>
                <w:rFonts w:hint="eastAsia"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lang w:val="en-US" w:eastAsia="zh-CN"/>
              </w:rPr>
              <w:t>项目建设</w:t>
            </w:r>
            <w:r>
              <w:rPr>
                <w:rFonts w:hint="eastAsia" w:eastAsia="宋体" w:cs="Times New Roman"/>
                <w:b/>
                <w:bCs w:val="0"/>
                <w:color w:val="auto"/>
                <w:lang w:val="en-US" w:eastAsia="zh-CN"/>
              </w:rPr>
              <w:t>后</w:t>
            </w:r>
            <w:r>
              <w:rPr>
                <w:rFonts w:hint="default" w:ascii="Times New Roman" w:hAnsi="Times New Roman" w:eastAsia="宋体" w:cs="Times New Roman"/>
                <w:b/>
                <w:bCs w:val="0"/>
                <w:color w:val="auto"/>
                <w:lang w:val="en-US" w:eastAsia="zh-CN"/>
              </w:rPr>
              <w:t>水泥熟料生产线</w:t>
            </w:r>
            <w:r>
              <w:rPr>
                <w:rFonts w:hint="eastAsia" w:eastAsia="宋体" w:cs="Times New Roman"/>
                <w:b/>
                <w:bCs w:val="0"/>
                <w:color w:val="auto"/>
                <w:lang w:val="en-US" w:eastAsia="zh-CN"/>
              </w:rPr>
              <w:t>氯元素</w:t>
            </w:r>
            <w:r>
              <w:rPr>
                <w:rFonts w:hint="default" w:ascii="Times New Roman" w:hAnsi="Times New Roman" w:eastAsia="宋体" w:cs="Times New Roman"/>
                <w:b/>
                <w:bCs w:val="0"/>
                <w:color w:val="auto"/>
                <w:lang w:val="en-US" w:eastAsia="zh-CN"/>
              </w:rPr>
              <w:t>平衡表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1405"/>
              <w:gridCol w:w="1556"/>
              <w:gridCol w:w="1434"/>
              <w:gridCol w:w="1481"/>
            </w:tblGrid>
            <w:tr w14:paraId="0DEA36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197" w:type="pct"/>
                  <w:gridSpan w:val="3"/>
                  <w:tcBorders>
                    <w:tl2br w:val="nil"/>
                    <w:tr2bl w:val="nil"/>
                  </w:tcBorders>
                  <w:noWrap w:val="0"/>
                  <w:tcMar>
                    <w:top w:w="0" w:type="dxa"/>
                    <w:left w:w="108" w:type="dxa"/>
                    <w:bottom w:w="0" w:type="dxa"/>
                    <w:right w:w="108" w:type="dxa"/>
                  </w:tcMar>
                  <w:vAlign w:val="center"/>
                </w:tcPr>
                <w:p w14:paraId="0369C4D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投入</w:t>
                  </w:r>
                </w:p>
              </w:tc>
              <w:tc>
                <w:tcPr>
                  <w:tcW w:w="1802" w:type="pct"/>
                  <w:gridSpan w:val="2"/>
                  <w:tcBorders>
                    <w:tl2br w:val="nil"/>
                    <w:tr2bl w:val="nil"/>
                  </w:tcBorders>
                  <w:noWrap w:val="0"/>
                  <w:tcMar>
                    <w:top w:w="0" w:type="dxa"/>
                    <w:left w:w="108" w:type="dxa"/>
                    <w:bottom w:w="0" w:type="dxa"/>
                    <w:right w:w="108" w:type="dxa"/>
                  </w:tcMar>
                  <w:vAlign w:val="center"/>
                </w:tcPr>
                <w:p w14:paraId="5A176988">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输出</w:t>
                  </w:r>
                </w:p>
              </w:tc>
            </w:tr>
            <w:tr w14:paraId="4FF576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64B0C0F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869" w:type="pct"/>
                  <w:tcBorders>
                    <w:tl2br w:val="nil"/>
                    <w:tr2bl w:val="nil"/>
                  </w:tcBorders>
                  <w:noWrap w:val="0"/>
                  <w:tcMar>
                    <w:top w:w="0" w:type="dxa"/>
                    <w:left w:w="108" w:type="dxa"/>
                    <w:bottom w:w="0" w:type="dxa"/>
                    <w:right w:w="108" w:type="dxa"/>
                  </w:tcMar>
                  <w:vAlign w:val="center"/>
                </w:tcPr>
                <w:p w14:paraId="01D52DB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进料t/a</w:t>
                  </w:r>
                </w:p>
              </w:tc>
              <w:tc>
                <w:tcPr>
                  <w:tcW w:w="962" w:type="pct"/>
                  <w:tcBorders>
                    <w:tl2br w:val="nil"/>
                    <w:tr2bl w:val="nil"/>
                  </w:tcBorders>
                  <w:noWrap w:val="0"/>
                  <w:tcMar>
                    <w:top w:w="0" w:type="dxa"/>
                    <w:left w:w="108" w:type="dxa"/>
                    <w:bottom w:w="0" w:type="dxa"/>
                    <w:right w:w="108" w:type="dxa"/>
                  </w:tcMar>
                  <w:vAlign w:val="center"/>
                </w:tcPr>
                <w:p w14:paraId="59A6844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总</w:t>
                  </w:r>
                  <w:r>
                    <w:rPr>
                      <w:rFonts w:hint="eastAsia" w:cs="Times New Roman"/>
                      <w:color w:val="auto"/>
                      <w:sz w:val="21"/>
                      <w:szCs w:val="21"/>
                      <w:lang w:val="en-US" w:eastAsia="zh-CN"/>
                    </w:rPr>
                    <w:t>氯量</w:t>
                  </w:r>
                  <w:r>
                    <w:rPr>
                      <w:rFonts w:hint="default" w:ascii="Times New Roman" w:hAnsi="Times New Roman" w:cs="Times New Roman"/>
                      <w:color w:val="auto"/>
                      <w:sz w:val="21"/>
                      <w:szCs w:val="21"/>
                      <w:lang w:val="en-US" w:eastAsia="zh-CN"/>
                    </w:rPr>
                    <w:t>t/a</w:t>
                  </w:r>
                </w:p>
              </w:tc>
              <w:tc>
                <w:tcPr>
                  <w:tcW w:w="886" w:type="pct"/>
                  <w:tcBorders>
                    <w:tl2br w:val="nil"/>
                    <w:tr2bl w:val="nil"/>
                  </w:tcBorders>
                  <w:noWrap w:val="0"/>
                  <w:tcMar>
                    <w:top w:w="0" w:type="dxa"/>
                    <w:left w:w="108" w:type="dxa"/>
                    <w:bottom w:w="0" w:type="dxa"/>
                    <w:right w:w="108" w:type="dxa"/>
                  </w:tcMar>
                  <w:vAlign w:val="center"/>
                </w:tcPr>
                <w:p w14:paraId="477275D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916" w:type="pct"/>
                  <w:tcBorders>
                    <w:tl2br w:val="nil"/>
                    <w:tr2bl w:val="nil"/>
                  </w:tcBorders>
                  <w:noWrap w:val="0"/>
                  <w:tcMar>
                    <w:top w:w="0" w:type="dxa"/>
                    <w:left w:w="108" w:type="dxa"/>
                    <w:bottom w:w="0" w:type="dxa"/>
                    <w:right w:w="108" w:type="dxa"/>
                  </w:tcMar>
                  <w:vAlign w:val="center"/>
                </w:tcPr>
                <w:p w14:paraId="2231A94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总</w:t>
                  </w:r>
                  <w:r>
                    <w:rPr>
                      <w:rFonts w:hint="eastAsia" w:cs="Times New Roman"/>
                      <w:color w:val="auto"/>
                      <w:sz w:val="21"/>
                      <w:szCs w:val="21"/>
                      <w:lang w:val="en-US" w:eastAsia="zh-CN"/>
                    </w:rPr>
                    <w:t>氯</w:t>
                  </w:r>
                  <w:r>
                    <w:rPr>
                      <w:rFonts w:hint="default" w:ascii="Times New Roman" w:hAnsi="Times New Roman" w:cs="Times New Roman"/>
                      <w:color w:val="auto"/>
                      <w:sz w:val="21"/>
                      <w:szCs w:val="21"/>
                      <w:lang w:val="en-US" w:eastAsia="zh-CN"/>
                    </w:rPr>
                    <w:t>量t/a</w:t>
                  </w:r>
                </w:p>
              </w:tc>
            </w:tr>
            <w:tr w14:paraId="7E4C2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775A38B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石灰石</w:t>
                  </w:r>
                </w:p>
              </w:tc>
              <w:tc>
                <w:tcPr>
                  <w:tcW w:w="869" w:type="pct"/>
                  <w:tcBorders>
                    <w:tl2br w:val="nil"/>
                    <w:tr2bl w:val="nil"/>
                  </w:tcBorders>
                  <w:shd w:val="clear" w:color="auto" w:fill="auto"/>
                  <w:noWrap w:val="0"/>
                  <w:tcMar>
                    <w:top w:w="0" w:type="dxa"/>
                    <w:left w:w="108" w:type="dxa"/>
                    <w:bottom w:w="0" w:type="dxa"/>
                    <w:right w:w="108" w:type="dxa"/>
                  </w:tcMar>
                  <w:vAlign w:val="center"/>
                </w:tcPr>
                <w:p w14:paraId="57F42867">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1880000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21ABA119">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59.596 </w:t>
                  </w:r>
                </w:p>
              </w:tc>
              <w:tc>
                <w:tcPr>
                  <w:tcW w:w="886" w:type="pct"/>
                  <w:tcBorders>
                    <w:tl2br w:val="nil"/>
                    <w:tr2bl w:val="nil"/>
                  </w:tcBorders>
                  <w:noWrap w:val="0"/>
                  <w:tcMar>
                    <w:top w:w="0" w:type="dxa"/>
                    <w:left w:w="108" w:type="dxa"/>
                    <w:bottom w:w="0" w:type="dxa"/>
                    <w:right w:w="108" w:type="dxa"/>
                  </w:tcMar>
                  <w:vAlign w:val="center"/>
                </w:tcPr>
                <w:p w14:paraId="00B030A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进入熟料</w:t>
                  </w:r>
                </w:p>
              </w:tc>
              <w:tc>
                <w:tcPr>
                  <w:tcW w:w="916" w:type="pct"/>
                  <w:tcBorders>
                    <w:tl2br w:val="nil"/>
                    <w:tr2bl w:val="nil"/>
                  </w:tcBorders>
                  <w:shd w:val="clear" w:color="auto" w:fill="auto"/>
                  <w:noWrap w:val="0"/>
                  <w:tcMar>
                    <w:top w:w="0" w:type="dxa"/>
                    <w:left w:w="108" w:type="dxa"/>
                    <w:bottom w:w="0" w:type="dxa"/>
                    <w:right w:w="108" w:type="dxa"/>
                  </w:tcMar>
                  <w:vAlign w:val="center"/>
                </w:tcPr>
                <w:p w14:paraId="3D84C90B">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964.757 </w:t>
                  </w:r>
                </w:p>
              </w:tc>
            </w:tr>
            <w:tr w14:paraId="59F7C5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28AF4A79">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粘土</w:t>
                  </w:r>
                </w:p>
              </w:tc>
              <w:tc>
                <w:tcPr>
                  <w:tcW w:w="869" w:type="pct"/>
                  <w:tcBorders>
                    <w:tl2br w:val="nil"/>
                    <w:tr2bl w:val="nil"/>
                  </w:tcBorders>
                  <w:shd w:val="clear" w:color="auto" w:fill="auto"/>
                  <w:noWrap w:val="0"/>
                  <w:tcMar>
                    <w:top w:w="0" w:type="dxa"/>
                    <w:left w:w="108" w:type="dxa"/>
                    <w:bottom w:w="0" w:type="dxa"/>
                    <w:right w:w="108" w:type="dxa"/>
                  </w:tcMar>
                  <w:vAlign w:val="center"/>
                </w:tcPr>
                <w:p w14:paraId="5C2019C8">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120000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624AC05B">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8.400 </w:t>
                  </w:r>
                </w:p>
              </w:tc>
              <w:tc>
                <w:tcPr>
                  <w:tcW w:w="886" w:type="pct"/>
                  <w:tcBorders>
                    <w:tl2br w:val="nil"/>
                    <w:tr2bl w:val="nil"/>
                  </w:tcBorders>
                  <w:noWrap w:val="0"/>
                  <w:tcMar>
                    <w:top w:w="0" w:type="dxa"/>
                    <w:left w:w="108" w:type="dxa"/>
                    <w:bottom w:w="0" w:type="dxa"/>
                    <w:right w:w="108" w:type="dxa"/>
                  </w:tcMar>
                  <w:vAlign w:val="center"/>
                </w:tcPr>
                <w:p w14:paraId="154FF34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窑尾废气</w:t>
                  </w:r>
                </w:p>
              </w:tc>
              <w:tc>
                <w:tcPr>
                  <w:tcW w:w="916" w:type="pct"/>
                  <w:tcBorders>
                    <w:tl2br w:val="nil"/>
                    <w:tr2bl w:val="nil"/>
                  </w:tcBorders>
                  <w:shd w:val="clear" w:color="auto" w:fill="auto"/>
                  <w:noWrap w:val="0"/>
                  <w:tcMar>
                    <w:top w:w="0" w:type="dxa"/>
                    <w:left w:w="108" w:type="dxa"/>
                    <w:bottom w:w="0" w:type="dxa"/>
                    <w:right w:w="108" w:type="dxa"/>
                  </w:tcMar>
                  <w:vAlign w:val="center"/>
                </w:tcPr>
                <w:p w14:paraId="34D3D25F">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9.745</w:t>
                  </w:r>
                </w:p>
              </w:tc>
            </w:tr>
            <w:tr w14:paraId="25D379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shd w:val="clear" w:color="auto" w:fill="auto"/>
                  <w:noWrap w:val="0"/>
                  <w:tcMar>
                    <w:top w:w="0" w:type="dxa"/>
                    <w:left w:w="108" w:type="dxa"/>
                    <w:bottom w:w="0" w:type="dxa"/>
                    <w:right w:w="108" w:type="dxa"/>
                  </w:tcMar>
                  <w:vAlign w:val="center"/>
                </w:tcPr>
                <w:p w14:paraId="686CD461">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本项目替代原料</w:t>
                  </w:r>
                </w:p>
              </w:tc>
              <w:tc>
                <w:tcPr>
                  <w:tcW w:w="869" w:type="pct"/>
                  <w:tcBorders>
                    <w:tl2br w:val="nil"/>
                    <w:tr2bl w:val="nil"/>
                  </w:tcBorders>
                  <w:shd w:val="clear" w:color="auto" w:fill="auto"/>
                  <w:noWrap w:val="0"/>
                  <w:tcMar>
                    <w:top w:w="0" w:type="dxa"/>
                    <w:left w:w="108" w:type="dxa"/>
                    <w:bottom w:w="0" w:type="dxa"/>
                    <w:right w:w="108" w:type="dxa"/>
                  </w:tcMar>
                  <w:vAlign w:val="center"/>
                </w:tcPr>
                <w:p w14:paraId="01487A50">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275000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279D1E0A">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21.322 </w:t>
                  </w:r>
                </w:p>
              </w:tc>
              <w:tc>
                <w:tcPr>
                  <w:tcW w:w="1802" w:type="pct"/>
                  <w:gridSpan w:val="2"/>
                  <w:vMerge w:val="restart"/>
                  <w:tcBorders>
                    <w:tl2br w:val="nil"/>
                    <w:tr2bl w:val="nil"/>
                  </w:tcBorders>
                  <w:noWrap w:val="0"/>
                  <w:tcMar>
                    <w:top w:w="0" w:type="dxa"/>
                    <w:left w:w="108" w:type="dxa"/>
                    <w:bottom w:w="0" w:type="dxa"/>
                    <w:right w:w="108" w:type="dxa"/>
                  </w:tcMar>
                  <w:vAlign w:val="center"/>
                </w:tcPr>
                <w:p w14:paraId="022978FE">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11DBD8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2F3DFCF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煤</w:t>
                  </w:r>
                </w:p>
              </w:tc>
              <w:tc>
                <w:tcPr>
                  <w:tcW w:w="869" w:type="pct"/>
                  <w:tcBorders>
                    <w:tl2br w:val="nil"/>
                    <w:tr2bl w:val="nil"/>
                  </w:tcBorders>
                  <w:shd w:val="clear" w:color="auto" w:fill="auto"/>
                  <w:noWrap w:val="0"/>
                  <w:tcMar>
                    <w:top w:w="0" w:type="dxa"/>
                    <w:left w:w="108" w:type="dxa"/>
                    <w:bottom w:w="0" w:type="dxa"/>
                    <w:right w:w="108" w:type="dxa"/>
                  </w:tcMar>
                  <w:vAlign w:val="center"/>
                </w:tcPr>
                <w:p w14:paraId="7665F38F">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169058</w:t>
                  </w:r>
                </w:p>
              </w:tc>
              <w:tc>
                <w:tcPr>
                  <w:tcW w:w="962" w:type="pct"/>
                  <w:tcBorders>
                    <w:tl2br w:val="nil"/>
                    <w:tr2bl w:val="nil"/>
                  </w:tcBorders>
                  <w:shd w:val="clear" w:color="auto" w:fill="auto"/>
                  <w:noWrap w:val="0"/>
                  <w:tcMar>
                    <w:top w:w="0" w:type="dxa"/>
                    <w:left w:w="108" w:type="dxa"/>
                    <w:bottom w:w="0" w:type="dxa"/>
                    <w:right w:w="108" w:type="dxa"/>
                  </w:tcMar>
                  <w:vAlign w:val="center"/>
                </w:tcPr>
                <w:p w14:paraId="5306C32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11.834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1586CAC9">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5E7079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6A2D3C83">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RDF</w:t>
                  </w:r>
                </w:p>
              </w:tc>
              <w:tc>
                <w:tcPr>
                  <w:tcW w:w="869" w:type="pct"/>
                  <w:tcBorders>
                    <w:tl2br w:val="nil"/>
                    <w:tr2bl w:val="nil"/>
                  </w:tcBorders>
                  <w:shd w:val="clear" w:color="auto" w:fill="auto"/>
                  <w:noWrap w:val="0"/>
                  <w:tcMar>
                    <w:top w:w="0" w:type="dxa"/>
                    <w:left w:w="108" w:type="dxa"/>
                    <w:bottom w:w="0" w:type="dxa"/>
                    <w:right w:w="108" w:type="dxa"/>
                  </w:tcMar>
                  <w:vAlign w:val="center"/>
                </w:tcPr>
                <w:p w14:paraId="5FF58830">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35000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7AFFB9D7">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14.000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1711A44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5A1029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7D8C9497">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本项目替代燃料</w:t>
                  </w:r>
                </w:p>
              </w:tc>
              <w:tc>
                <w:tcPr>
                  <w:tcW w:w="869" w:type="pct"/>
                  <w:tcBorders>
                    <w:tl2br w:val="nil"/>
                    <w:tr2bl w:val="nil"/>
                  </w:tcBorders>
                  <w:shd w:val="clear" w:color="auto" w:fill="auto"/>
                  <w:noWrap w:val="0"/>
                  <w:tcMar>
                    <w:top w:w="0" w:type="dxa"/>
                    <w:left w:w="108" w:type="dxa"/>
                    <w:bottom w:w="0" w:type="dxa"/>
                    <w:right w:w="108" w:type="dxa"/>
                  </w:tcMar>
                  <w:vAlign w:val="center"/>
                </w:tcPr>
                <w:p w14:paraId="5E48C1E9">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35000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4B390921">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79.350</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2AF61CC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27E93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08AB55BB">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其他协同处置</w:t>
                  </w:r>
                  <w:r>
                    <w:rPr>
                      <w:rFonts w:hint="default" w:ascii="Times New Roman" w:hAnsi="Times New Roman" w:cs="Times New Roman"/>
                      <w:color w:val="auto"/>
                      <w:sz w:val="21"/>
                      <w:szCs w:val="21"/>
                      <w:lang w:val="en-US" w:eastAsia="zh-CN"/>
                    </w:rPr>
                    <w:t>危险废物及一般固废</w:t>
                  </w:r>
                </w:p>
              </w:tc>
              <w:tc>
                <w:tcPr>
                  <w:tcW w:w="869" w:type="pct"/>
                  <w:tcBorders>
                    <w:tl2br w:val="nil"/>
                    <w:tr2bl w:val="nil"/>
                  </w:tcBorders>
                  <w:shd w:val="clear" w:color="auto" w:fill="auto"/>
                  <w:noWrap w:val="0"/>
                  <w:tcMar>
                    <w:top w:w="0" w:type="dxa"/>
                    <w:left w:w="108" w:type="dxa"/>
                    <w:bottom w:w="0" w:type="dxa"/>
                    <w:right w:w="108" w:type="dxa"/>
                  </w:tcMar>
                  <w:vAlign w:val="center"/>
                </w:tcPr>
                <w:p w14:paraId="7A1E1BDE">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200000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3AB866F9">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780.000 </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24074B61">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26D067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234" w:type="pct"/>
                  <w:gridSpan w:val="2"/>
                  <w:tcBorders>
                    <w:tl2br w:val="nil"/>
                    <w:tr2bl w:val="nil"/>
                  </w:tcBorders>
                  <w:noWrap w:val="0"/>
                  <w:tcMar>
                    <w:top w:w="0" w:type="dxa"/>
                    <w:left w:w="108" w:type="dxa"/>
                    <w:bottom w:w="0" w:type="dxa"/>
                    <w:right w:w="108" w:type="dxa"/>
                  </w:tcMar>
                  <w:vAlign w:val="center"/>
                </w:tcPr>
                <w:p w14:paraId="1B19961F">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合计</w:t>
                  </w:r>
                </w:p>
              </w:tc>
              <w:tc>
                <w:tcPr>
                  <w:tcW w:w="962" w:type="pct"/>
                  <w:tcBorders>
                    <w:tl2br w:val="nil"/>
                    <w:tr2bl w:val="nil"/>
                  </w:tcBorders>
                  <w:noWrap w:val="0"/>
                  <w:tcMar>
                    <w:top w:w="0" w:type="dxa"/>
                    <w:left w:w="108" w:type="dxa"/>
                    <w:bottom w:w="0" w:type="dxa"/>
                    <w:right w:w="108" w:type="dxa"/>
                  </w:tcMar>
                  <w:vAlign w:val="center"/>
                </w:tcPr>
                <w:p w14:paraId="1B2C832E">
                  <w:pPr>
                    <w:pStyle w:val="46"/>
                    <w:keepNext w:val="0"/>
                    <w:keepLines w:val="0"/>
                    <w:pageBreakBefore w:val="0"/>
                    <w:kinsoku/>
                    <w:wordWrap/>
                    <w:topLinePunct w:val="0"/>
                    <w:autoSpaceDE/>
                    <w:autoSpaceDN/>
                    <w:bidi w:val="0"/>
                    <w:snapToGrid w:val="0"/>
                    <w:spacing w:beforeLines="0" w:afterLines="0" w:line="240" w:lineRule="auto"/>
                    <w:rPr>
                      <w:rFonts w:hint="default" w:cs="Times New Roman"/>
                      <w:color w:val="auto"/>
                      <w:sz w:val="21"/>
                      <w:szCs w:val="21"/>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974.502 </w:t>
                  </w:r>
                </w:p>
              </w:tc>
              <w:tc>
                <w:tcPr>
                  <w:tcW w:w="886" w:type="pct"/>
                  <w:tcBorders>
                    <w:tl2br w:val="nil"/>
                    <w:tr2bl w:val="nil"/>
                  </w:tcBorders>
                  <w:noWrap w:val="0"/>
                  <w:tcMar>
                    <w:top w:w="0" w:type="dxa"/>
                    <w:left w:w="108" w:type="dxa"/>
                    <w:bottom w:w="0" w:type="dxa"/>
                    <w:right w:w="108" w:type="dxa"/>
                  </w:tcMar>
                  <w:vAlign w:val="center"/>
                </w:tcPr>
                <w:p w14:paraId="7570BB8A">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916" w:type="pct"/>
                  <w:tcBorders>
                    <w:tl2br w:val="nil"/>
                    <w:tr2bl w:val="nil"/>
                  </w:tcBorders>
                  <w:shd w:val="clear" w:color="auto" w:fill="auto"/>
                  <w:noWrap w:val="0"/>
                  <w:tcMar>
                    <w:top w:w="0" w:type="dxa"/>
                    <w:left w:w="108" w:type="dxa"/>
                    <w:bottom w:w="0" w:type="dxa"/>
                    <w:right w:w="108" w:type="dxa"/>
                  </w:tcMar>
                  <w:vAlign w:val="center"/>
                </w:tcPr>
                <w:p w14:paraId="3D6B995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974.502 </w:t>
                  </w:r>
                  <w:r>
                    <w:rPr>
                      <w:rFonts w:hint="eastAsia" w:ascii="Times New Roman" w:hAnsi="Times New Roman" w:eastAsia="宋体" w:cs="Times New Roman"/>
                      <w:i w:val="0"/>
                      <w:iCs w:val="0"/>
                      <w:snapToGrid w:val="0"/>
                      <w:color w:val="000000"/>
                      <w:kern w:val="0"/>
                      <w:sz w:val="21"/>
                      <w:szCs w:val="21"/>
                      <w:u w:val="none"/>
                      <w:lang w:val="en-US" w:eastAsia="zh-CN" w:bidi="ar"/>
                    </w:rPr>
                    <w:t xml:space="preserve"> </w:t>
                  </w:r>
                </w:p>
              </w:tc>
            </w:tr>
          </w:tbl>
          <w:p w14:paraId="36E445A3">
            <w:pPr>
              <w:pStyle w:val="4"/>
              <w:pageBreakBefore w:val="0"/>
              <w:widowControl w:val="0"/>
              <w:numPr>
                <w:ilvl w:val="0"/>
                <w:numId w:val="0"/>
              </w:numPr>
              <w:kinsoku/>
              <w:wordWrap/>
              <w:overflowPunct/>
              <w:topLinePunct w:val="0"/>
              <w:autoSpaceDE/>
              <w:autoSpaceDN/>
              <w:bidi w:val="0"/>
              <w:snapToGrid/>
              <w:ind w:leftChars="0" w:firstLine="482" w:firstLineChars="200"/>
              <w:textAlignment w:val="auto"/>
              <w:rPr>
                <w:rFonts w:hint="default" w:ascii="Times New Roman" w:hAnsi="Times New Roman" w:cs="Times New Roman"/>
                <w:color w:val="auto"/>
                <w:highlight w:val="none"/>
                <w:lang w:val="en-US" w:eastAsia="zh-CN"/>
              </w:rPr>
            </w:pPr>
            <w:r>
              <w:rPr>
                <w:rFonts w:hint="eastAsia" w:eastAsia="宋体" w:cs="Times New Roman"/>
                <w:b/>
                <w:bCs w:val="0"/>
                <w:color w:val="auto"/>
                <w:lang w:val="en-US" w:eastAsia="zh-CN"/>
              </w:rPr>
              <w:t>5、硫（S）元素投加量及</w:t>
            </w:r>
            <w:r>
              <w:rPr>
                <w:rFonts w:hint="default" w:ascii="Times New Roman" w:hAnsi="Times New Roman" w:eastAsia="宋体" w:cs="Times New Roman"/>
                <w:b/>
                <w:bCs w:val="0"/>
                <w:color w:val="auto"/>
                <w:lang w:val="en-US" w:eastAsia="zh-CN"/>
              </w:rPr>
              <w:t>平衡</w:t>
            </w:r>
            <w:r>
              <w:rPr>
                <w:rFonts w:hint="eastAsia" w:eastAsia="宋体" w:cs="Times New Roman"/>
                <w:b/>
                <w:bCs w:val="0"/>
                <w:color w:val="auto"/>
                <w:lang w:val="en-US" w:eastAsia="zh-CN"/>
              </w:rPr>
              <w:t>分析</w:t>
            </w:r>
          </w:p>
          <w:p w14:paraId="245B51D7">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（1）硫（S）元素投加量分析</w:t>
            </w:r>
          </w:p>
          <w:p w14:paraId="640C39A6">
            <w:pPr>
              <w:pStyle w:val="87"/>
              <w:numPr>
                <w:ilvl w:val="0"/>
                <w:numId w:val="0"/>
              </w:numPr>
              <w:ind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根据《水泥窑协同处置固体废物环境保护技术规范》（HJ662-2013），协同处置企业应控制物料中硫元素的投加量。通过配料系统投加的物料中硫化物硫与有机硫总含量不应大于0.014%；从窑头、窑尾高温区投加的全硫与配料系统投加的硫酸盐硫总投加量不应大于3000mg/kg-cli。</w:t>
            </w:r>
          </w:p>
          <w:p w14:paraId="790287AD">
            <w:pPr>
              <w:pStyle w:val="87"/>
              <w:numPr>
                <w:ilvl w:val="0"/>
                <w:numId w:val="0"/>
              </w:numPr>
              <w:ind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从配料系统投加的物料中硫化物S和有机S总含量的计算如下式所示：</w:t>
            </w:r>
          </w:p>
          <w:p w14:paraId="4E0D1EB6">
            <w:pPr>
              <w:pStyle w:val="87"/>
              <w:numPr>
                <w:ilvl w:val="0"/>
                <w:numId w:val="0"/>
              </w:numPr>
              <w:ind w:leftChars="0" w:firstLine="480" w:firstLineChars="200"/>
              <w:jc w:val="center"/>
              <w:rPr>
                <w:rFonts w:hint="default" w:ascii="Times New Roman" w:hAnsi="Times New Roman" w:cs="Times New Roman"/>
                <w:bCs/>
                <w:color w:val="auto"/>
                <w:lang w:val="en-US" w:eastAsia="zh-CN"/>
              </w:rPr>
            </w:pPr>
            <w:r>
              <w:rPr>
                <w:rFonts w:hint="default" w:ascii="Times New Roman" w:hAnsi="Times New Roman" w:cs="Times New Roman"/>
                <w:color w:val="auto"/>
              </w:rPr>
              <w:drawing>
                <wp:inline distT="0" distB="0" distL="114300" distR="114300">
                  <wp:extent cx="3479800" cy="593090"/>
                  <wp:effectExtent l="0" t="0" r="6350" b="16510"/>
                  <wp:docPr id="4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74"/>
                          <pic:cNvPicPr>
                            <a:picLocks noChangeAspect="1"/>
                          </pic:cNvPicPr>
                        </pic:nvPicPr>
                        <pic:blipFill>
                          <a:blip r:embed="rId13"/>
                          <a:stretch>
                            <a:fillRect/>
                          </a:stretch>
                        </pic:blipFill>
                        <pic:spPr>
                          <a:xfrm>
                            <a:off x="0" y="0"/>
                            <a:ext cx="3479800" cy="593090"/>
                          </a:xfrm>
                          <a:prstGeom prst="rect">
                            <a:avLst/>
                          </a:prstGeom>
                          <a:noFill/>
                          <a:ln>
                            <a:noFill/>
                          </a:ln>
                        </pic:spPr>
                      </pic:pic>
                    </a:graphicData>
                  </a:graphic>
                </wp:inline>
              </w:drawing>
            </w:r>
          </w:p>
          <w:p w14:paraId="4824A74E">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式中：C为从配料系统投加的物料中硫化物S和有机S总含量，%；</w:t>
            </w:r>
          </w:p>
          <w:p w14:paraId="5D2DFFB6">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w</w:t>
            </w:r>
            <w:r>
              <w:rPr>
                <w:rFonts w:hint="default" w:ascii="Times New Roman" w:hAnsi="Times New Roman" w:cs="Times New Roman"/>
                <w:color w:val="auto"/>
                <w:lang w:val="en-US" w:eastAsia="zh-CN"/>
              </w:rPr>
              <w:t>和C</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分别为从配料系统投加的固体废物和常规原料中的硫化物S和有机S总含量，%；</w:t>
            </w:r>
          </w:p>
          <w:p w14:paraId="16ABA58F">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w</w:t>
            </w:r>
            <w:r>
              <w:rPr>
                <w:rFonts w:hint="default" w:ascii="Times New Roman" w:hAnsi="Times New Roman" w:cs="Times New Roman"/>
                <w:color w:val="auto"/>
                <w:lang w:val="en-US" w:eastAsia="zh-CN"/>
              </w:rPr>
              <w:t>和m</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分别为单位时间内固体废物和常规原料的投加量，kg/h。</w:t>
            </w:r>
          </w:p>
          <w:p w14:paraId="27CEB5B2">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从窑头、窑尾高温区投加的全S与配料系统投加的硫酸盐S总投加量的计算公式如下：</w:t>
            </w:r>
          </w:p>
          <w:p w14:paraId="7A627EC9">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drawing>
                <wp:inline distT="0" distB="0" distL="114300" distR="114300">
                  <wp:extent cx="4067810" cy="573405"/>
                  <wp:effectExtent l="0" t="0" r="8890" b="17145"/>
                  <wp:docPr id="4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5"/>
                          <pic:cNvPicPr>
                            <a:picLocks noChangeAspect="1"/>
                          </pic:cNvPicPr>
                        </pic:nvPicPr>
                        <pic:blipFill>
                          <a:blip r:embed="rId14"/>
                          <a:stretch>
                            <a:fillRect/>
                          </a:stretch>
                        </pic:blipFill>
                        <pic:spPr>
                          <a:xfrm>
                            <a:off x="0" y="0"/>
                            <a:ext cx="4067810" cy="573405"/>
                          </a:xfrm>
                          <a:prstGeom prst="rect">
                            <a:avLst/>
                          </a:prstGeom>
                          <a:noFill/>
                          <a:ln>
                            <a:noFill/>
                          </a:ln>
                        </pic:spPr>
                      </pic:pic>
                    </a:graphicData>
                  </a:graphic>
                </wp:inline>
              </w:drawing>
            </w:r>
          </w:p>
          <w:p w14:paraId="681B5839">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FM</w:t>
            </w:r>
            <w:r>
              <w:rPr>
                <w:rFonts w:hint="default" w:ascii="Times New Roman" w:hAnsi="Times New Roman" w:cs="Times New Roman"/>
                <w:color w:val="auto"/>
                <w:vertAlign w:val="subscript"/>
                <w:lang w:val="en-US" w:eastAsia="zh-CN"/>
              </w:rPr>
              <w:t>S</w:t>
            </w:r>
            <w:r>
              <w:rPr>
                <w:rFonts w:hint="default" w:ascii="Times New Roman" w:hAnsi="Times New Roman" w:cs="Times New Roman"/>
                <w:color w:val="auto"/>
                <w:lang w:val="en-US" w:eastAsia="zh-CN"/>
              </w:rPr>
              <w:t>——为从窑头、窑尾高温区投加的全硫与配料系统投加的硫酸盐硫总投加量，mg/kg-cli；</w:t>
            </w:r>
          </w:p>
          <w:p w14:paraId="60E4A8B9">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w1</w:t>
            </w:r>
            <w:r>
              <w:rPr>
                <w:rFonts w:hint="default" w:ascii="Times New Roman" w:hAnsi="Times New Roman" w:cs="Times New Roman"/>
                <w:color w:val="auto"/>
                <w:lang w:val="en-US" w:eastAsia="zh-CN"/>
              </w:rPr>
              <w:t>和C</w:t>
            </w:r>
            <w:r>
              <w:rPr>
                <w:rFonts w:hint="default" w:ascii="Times New Roman" w:hAnsi="Times New Roman" w:cs="Times New Roman"/>
                <w:color w:val="auto"/>
                <w:vertAlign w:val="subscript"/>
                <w:lang w:val="en-US" w:eastAsia="zh-CN"/>
              </w:rPr>
              <w:t>f</w:t>
            </w:r>
            <w:r>
              <w:rPr>
                <w:rFonts w:hint="default" w:ascii="Times New Roman" w:hAnsi="Times New Roman" w:cs="Times New Roman"/>
                <w:color w:val="auto"/>
                <w:lang w:val="en-US" w:eastAsia="zh-CN"/>
              </w:rPr>
              <w:t>——分别为从高温区投加的固体废物和常规燃料中的全硫含量，％；</w:t>
            </w:r>
          </w:p>
          <w:p w14:paraId="013AC36A">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w:t>
            </w:r>
            <w:r>
              <w:rPr>
                <w:rFonts w:hint="default" w:ascii="Times New Roman" w:hAnsi="Times New Roman" w:cs="Times New Roman"/>
                <w:color w:val="auto"/>
                <w:vertAlign w:val="subscript"/>
                <w:lang w:val="en-US" w:eastAsia="zh-CN"/>
              </w:rPr>
              <w:t>w2</w:t>
            </w:r>
            <w:r>
              <w:rPr>
                <w:rFonts w:hint="default" w:ascii="Times New Roman" w:hAnsi="Times New Roman" w:cs="Times New Roman"/>
                <w:color w:val="auto"/>
                <w:lang w:val="en-US" w:eastAsia="zh-CN"/>
              </w:rPr>
              <w:t>和C</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——分别为从配料系统投加的固体废物和常规原料中的硫酸盐 S 含量，％；</w:t>
            </w:r>
          </w:p>
          <w:p w14:paraId="7B9D72E2">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w1</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w2</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f</w:t>
            </w:r>
            <w:r>
              <w:rPr>
                <w:rFonts w:hint="default" w:ascii="Times New Roman" w:hAnsi="Times New Roman" w:cs="Times New Roman"/>
                <w:color w:val="auto"/>
                <w:lang w:val="en-US" w:eastAsia="zh-CN"/>
              </w:rPr>
              <w:t>和m</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lang w:val="en-US" w:eastAsia="zh-CN"/>
              </w:rPr>
              <w:t>——分别为单位时间内从高温区投加的固体废物、从配料系统投加的固体废物、常规燃料和常规原料的投加量，kg/h；</w:t>
            </w:r>
          </w:p>
          <w:p w14:paraId="4CE8C509">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w:t>
            </w:r>
            <w:r>
              <w:rPr>
                <w:rFonts w:hint="default" w:ascii="Times New Roman" w:hAnsi="Times New Roman" w:cs="Times New Roman"/>
                <w:color w:val="auto"/>
                <w:vertAlign w:val="subscript"/>
                <w:lang w:val="en-US" w:eastAsia="zh-CN"/>
              </w:rPr>
              <w:t>cli</w:t>
            </w:r>
            <w:r>
              <w:rPr>
                <w:rFonts w:hint="default" w:ascii="Times New Roman" w:hAnsi="Times New Roman" w:cs="Times New Roman"/>
                <w:color w:val="auto"/>
                <w:lang w:val="en-US" w:eastAsia="zh-CN"/>
              </w:rPr>
              <w:t>——为单位时间的熟料产量，kg/h。</w:t>
            </w:r>
          </w:p>
          <w:p w14:paraId="4EFD8F77">
            <w:pPr>
              <w:pStyle w:val="45"/>
              <w:bidi w:val="0"/>
              <w:rPr>
                <w:rFonts w:hint="default" w:ascii="Times New Roman" w:hAnsi="Times New Roman" w:eastAsia="宋体" w:cs="Times New Roman"/>
                <w:b/>
                <w:bCs w:val="0"/>
                <w:color w:val="auto"/>
                <w:lang w:val="en-US"/>
              </w:rPr>
            </w:pPr>
            <w:r>
              <w:rPr>
                <w:rFonts w:hint="default" w:ascii="Times New Roman" w:hAnsi="Times New Roman" w:eastAsia="宋体" w:cs="Times New Roman"/>
                <w:b/>
                <w:bCs w:val="0"/>
                <w:color w:val="auto"/>
              </w:rPr>
              <w:t>表2-</w:t>
            </w:r>
            <w:r>
              <w:rPr>
                <w:rFonts w:hint="eastAsia" w:eastAsia="宋体" w:cs="Times New Roman"/>
                <w:b/>
                <w:bCs w:val="0"/>
                <w:color w:val="auto"/>
                <w:lang w:val="en-US" w:eastAsia="zh-CN"/>
              </w:rPr>
              <w:t>21</w:t>
            </w:r>
            <w:r>
              <w:rPr>
                <w:rFonts w:hint="default" w:ascii="Times New Roman" w:hAnsi="Times New Roman" w:eastAsia="宋体" w:cs="Times New Roman"/>
                <w:b/>
                <w:bCs w:val="0"/>
                <w:color w:val="auto"/>
              </w:rPr>
              <w:t xml:space="preserve">  </w:t>
            </w:r>
            <w:r>
              <w:rPr>
                <w:rFonts w:hint="eastAsia" w:eastAsia="宋体" w:cs="Times New Roman"/>
                <w:b/>
                <w:bCs w:val="0"/>
                <w:color w:val="auto"/>
                <w:lang w:val="en-US" w:eastAsia="zh-CN"/>
              </w:rPr>
              <w:t>项目建成后</w:t>
            </w:r>
            <w:r>
              <w:rPr>
                <w:rFonts w:hint="eastAsia" w:ascii="Times New Roman" w:hAnsi="Times New Roman" w:eastAsia="宋体" w:cs="Times New Roman"/>
                <w:b/>
                <w:bCs w:val="0"/>
                <w:color w:val="auto"/>
                <w:lang w:val="en-US" w:eastAsia="zh-CN"/>
              </w:rPr>
              <w:t>全厂从配料系统投加的硫（S）元素投加含量</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27"/>
              <w:gridCol w:w="1928"/>
              <w:gridCol w:w="2035"/>
              <w:gridCol w:w="2394"/>
            </w:tblGrid>
            <w:tr w14:paraId="0D1D6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067150D1">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物料</w:t>
                  </w:r>
                </w:p>
              </w:tc>
              <w:tc>
                <w:tcPr>
                  <w:tcW w:w="1192" w:type="pct"/>
                  <w:tcBorders>
                    <w:tl2br w:val="nil"/>
                    <w:tr2bl w:val="nil"/>
                  </w:tcBorders>
                  <w:noWrap w:val="0"/>
                  <w:vAlign w:val="center"/>
                </w:tcPr>
                <w:p w14:paraId="7A53B82A">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投加量t/a</w:t>
                  </w:r>
                </w:p>
              </w:tc>
              <w:tc>
                <w:tcPr>
                  <w:tcW w:w="1258" w:type="pct"/>
                  <w:tcBorders>
                    <w:tl2br w:val="nil"/>
                    <w:tr2bl w:val="nil"/>
                  </w:tcBorders>
                  <w:noWrap w:val="0"/>
                  <w:vAlign w:val="center"/>
                </w:tcPr>
                <w:p w14:paraId="66003CB8">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S投入量t/a</w:t>
                  </w:r>
                </w:p>
              </w:tc>
              <w:tc>
                <w:tcPr>
                  <w:tcW w:w="1480" w:type="pct"/>
                  <w:tcBorders>
                    <w:tl2br w:val="nil"/>
                    <w:tr2bl w:val="nil"/>
                  </w:tcBorders>
                  <w:noWrap w:val="0"/>
                  <w:vAlign w:val="center"/>
                </w:tcPr>
                <w:p w14:paraId="2C82C97F">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S含量%</w:t>
                  </w:r>
                </w:p>
              </w:tc>
            </w:tr>
            <w:tr w14:paraId="38125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6594D20C">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石灰石</w:t>
                  </w:r>
                </w:p>
              </w:tc>
              <w:tc>
                <w:tcPr>
                  <w:tcW w:w="1192" w:type="pct"/>
                  <w:tcBorders>
                    <w:tl2br w:val="nil"/>
                    <w:tr2bl w:val="nil"/>
                  </w:tcBorders>
                  <w:shd w:val="clear" w:color="auto" w:fill="auto"/>
                  <w:noWrap w:val="0"/>
                  <w:vAlign w:val="center"/>
                </w:tcPr>
                <w:p w14:paraId="46F780A5">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1880000</w:t>
                  </w:r>
                </w:p>
              </w:tc>
              <w:tc>
                <w:tcPr>
                  <w:tcW w:w="1258" w:type="pct"/>
                  <w:tcBorders>
                    <w:tl2br w:val="nil"/>
                    <w:tr2bl w:val="nil"/>
                  </w:tcBorders>
                  <w:noWrap w:val="0"/>
                  <w:vAlign w:val="center"/>
                </w:tcPr>
                <w:p w14:paraId="3911545A">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18.8</w:t>
                  </w:r>
                </w:p>
              </w:tc>
              <w:tc>
                <w:tcPr>
                  <w:tcW w:w="1480" w:type="pct"/>
                  <w:vMerge w:val="restart"/>
                  <w:tcBorders>
                    <w:tl2br w:val="nil"/>
                    <w:tr2bl w:val="nil"/>
                  </w:tcBorders>
                  <w:noWrap w:val="0"/>
                  <w:vAlign w:val="center"/>
                </w:tcPr>
                <w:p w14:paraId="7DBF9FD8">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0.0086</w:t>
                  </w:r>
                </w:p>
              </w:tc>
            </w:tr>
            <w:tr w14:paraId="08974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03E80F00">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粘土</w:t>
                  </w:r>
                </w:p>
              </w:tc>
              <w:tc>
                <w:tcPr>
                  <w:tcW w:w="1192" w:type="pct"/>
                  <w:tcBorders>
                    <w:tl2br w:val="nil"/>
                    <w:tr2bl w:val="nil"/>
                  </w:tcBorders>
                  <w:shd w:val="clear" w:color="auto" w:fill="auto"/>
                  <w:noWrap w:val="0"/>
                  <w:vAlign w:val="center"/>
                </w:tcPr>
                <w:p w14:paraId="6F1194D7">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120000</w:t>
                  </w:r>
                </w:p>
              </w:tc>
              <w:tc>
                <w:tcPr>
                  <w:tcW w:w="1258" w:type="pct"/>
                  <w:tcBorders>
                    <w:tl2br w:val="nil"/>
                    <w:tr2bl w:val="nil"/>
                  </w:tcBorders>
                  <w:noWrap w:val="0"/>
                  <w:vAlign w:val="center"/>
                </w:tcPr>
                <w:p w14:paraId="292C1F14">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1480" w:type="pct"/>
                  <w:vMerge w:val="continue"/>
                  <w:tcBorders>
                    <w:tl2br w:val="nil"/>
                    <w:tr2bl w:val="nil"/>
                  </w:tcBorders>
                  <w:noWrap w:val="0"/>
                  <w:vAlign w:val="center"/>
                </w:tcPr>
                <w:p w14:paraId="557D07C2">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r>
            <w:tr w14:paraId="1CF5E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3552A261">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本项目替代原料</w:t>
                  </w:r>
                </w:p>
              </w:tc>
              <w:tc>
                <w:tcPr>
                  <w:tcW w:w="1192" w:type="pct"/>
                  <w:tcBorders>
                    <w:tl2br w:val="nil"/>
                    <w:tr2bl w:val="nil"/>
                  </w:tcBorders>
                  <w:noWrap w:val="0"/>
                  <w:vAlign w:val="center"/>
                </w:tcPr>
                <w:p w14:paraId="1734C4C8">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cs="Times New Roman"/>
                      <w:color w:val="auto"/>
                      <w:sz w:val="21"/>
                      <w:szCs w:val="21"/>
                      <w:lang w:val="en-US" w:eastAsia="zh-CN"/>
                    </w:rPr>
                    <w:t>275000</w:t>
                  </w:r>
                </w:p>
              </w:tc>
              <w:tc>
                <w:tcPr>
                  <w:tcW w:w="1258" w:type="pct"/>
                  <w:tcBorders>
                    <w:tl2br w:val="nil"/>
                    <w:tr2bl w:val="nil"/>
                  </w:tcBorders>
                  <w:noWrap w:val="0"/>
                  <w:vAlign w:val="center"/>
                </w:tcPr>
                <w:p w14:paraId="1F843324">
                  <w:pPr>
                    <w:widowControl/>
                    <w:adjustRightInd w:val="0"/>
                    <w:snapToGrid w:val="0"/>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175.108</w:t>
                  </w:r>
                </w:p>
              </w:tc>
              <w:tc>
                <w:tcPr>
                  <w:tcW w:w="1480" w:type="pct"/>
                  <w:vMerge w:val="continue"/>
                  <w:tcBorders>
                    <w:tl2br w:val="nil"/>
                    <w:tr2bl w:val="nil"/>
                  </w:tcBorders>
                  <w:noWrap w:val="0"/>
                  <w:vAlign w:val="center"/>
                </w:tcPr>
                <w:p w14:paraId="4B11AAF3">
                  <w:pPr>
                    <w:widowControl/>
                    <w:adjustRightInd w:val="0"/>
                    <w:snapToGrid w:val="0"/>
                    <w:spacing w:line="240" w:lineRule="auto"/>
                    <w:jc w:val="center"/>
                    <w:rPr>
                      <w:rFonts w:hint="eastAsia" w:cs="Times New Roman"/>
                      <w:color w:val="auto"/>
                      <w:sz w:val="21"/>
                      <w:szCs w:val="21"/>
                      <w:lang w:val="en-US" w:eastAsia="zh-CN"/>
                    </w:rPr>
                  </w:pPr>
                </w:p>
              </w:tc>
            </w:tr>
          </w:tbl>
          <w:p w14:paraId="00234C69">
            <w:pPr>
              <w:pStyle w:val="45"/>
              <w:bidi w:val="0"/>
              <w:rPr>
                <w:rFonts w:hint="default" w:ascii="Times New Roman" w:hAnsi="Times New Roman" w:eastAsia="宋体" w:cs="Times New Roman"/>
                <w:b/>
                <w:bCs w:val="0"/>
                <w:color w:val="auto"/>
                <w:lang w:val="en-US"/>
              </w:rPr>
            </w:pPr>
            <w:r>
              <w:rPr>
                <w:rFonts w:hint="default" w:ascii="Times New Roman" w:hAnsi="Times New Roman" w:eastAsia="宋体" w:cs="Times New Roman"/>
                <w:b/>
                <w:bCs w:val="0"/>
                <w:color w:val="auto"/>
              </w:rPr>
              <w:t>表2-</w:t>
            </w:r>
            <w:r>
              <w:rPr>
                <w:rFonts w:hint="eastAsia" w:eastAsia="宋体" w:cs="Times New Roman"/>
                <w:b/>
                <w:bCs w:val="0"/>
                <w:color w:val="auto"/>
                <w:lang w:val="en-US" w:eastAsia="zh-CN"/>
              </w:rPr>
              <w:t>22</w:t>
            </w:r>
            <w:r>
              <w:rPr>
                <w:rFonts w:hint="default" w:ascii="Times New Roman" w:hAnsi="Times New Roman" w:eastAsia="宋体" w:cs="Times New Roman"/>
                <w:b/>
                <w:bCs w:val="0"/>
                <w:color w:val="auto"/>
              </w:rPr>
              <w:t xml:space="preserve"> </w:t>
            </w:r>
            <w:r>
              <w:rPr>
                <w:rFonts w:hint="eastAsia" w:ascii="Times New Roman" w:hAnsi="Times New Roman" w:eastAsia="宋体" w:cs="Times New Roman"/>
                <w:b/>
                <w:bCs w:val="0"/>
                <w:color w:val="auto"/>
                <w:lang w:val="en-US" w:eastAsia="zh-CN"/>
              </w:rPr>
              <w:t>全厂窑头、窑尾投加的全S与配料系统投加的硫酸盐硫元素投加量</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27"/>
              <w:gridCol w:w="1928"/>
              <w:gridCol w:w="1399"/>
              <w:gridCol w:w="1286"/>
              <w:gridCol w:w="1744"/>
            </w:tblGrid>
            <w:tr w14:paraId="36D1B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2A944D78">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物料</w:t>
                  </w:r>
                </w:p>
              </w:tc>
              <w:tc>
                <w:tcPr>
                  <w:tcW w:w="1192" w:type="pct"/>
                  <w:tcBorders>
                    <w:tl2br w:val="nil"/>
                    <w:tr2bl w:val="nil"/>
                  </w:tcBorders>
                  <w:noWrap w:val="0"/>
                  <w:vAlign w:val="center"/>
                </w:tcPr>
                <w:p w14:paraId="16D31767">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投加量t/a</w:t>
                  </w:r>
                </w:p>
              </w:tc>
              <w:tc>
                <w:tcPr>
                  <w:tcW w:w="865" w:type="pct"/>
                  <w:tcBorders>
                    <w:tl2br w:val="nil"/>
                    <w:tr2bl w:val="nil"/>
                  </w:tcBorders>
                  <w:noWrap w:val="0"/>
                  <w:vAlign w:val="center"/>
                </w:tcPr>
                <w:p w14:paraId="04604C41">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S投入量t/a</w:t>
                  </w:r>
                </w:p>
              </w:tc>
              <w:tc>
                <w:tcPr>
                  <w:tcW w:w="795" w:type="pct"/>
                  <w:tcBorders>
                    <w:tl2br w:val="nil"/>
                    <w:tr2bl w:val="nil"/>
                  </w:tcBorders>
                  <w:noWrap w:val="0"/>
                  <w:vAlign w:val="center"/>
                </w:tcPr>
                <w:p w14:paraId="41744BDB">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熟料产量</w:t>
                  </w:r>
                </w:p>
              </w:tc>
              <w:tc>
                <w:tcPr>
                  <w:tcW w:w="1078" w:type="pct"/>
                  <w:tcBorders>
                    <w:tl2br w:val="nil"/>
                    <w:tr2bl w:val="nil"/>
                  </w:tcBorders>
                  <w:noWrap w:val="0"/>
                  <w:vAlign w:val="center"/>
                </w:tcPr>
                <w:p w14:paraId="1C7D5A47">
                  <w:pPr>
                    <w:widowControl/>
                    <w:autoSpaceDE w:val="0"/>
                    <w:autoSpaceDN w:val="0"/>
                    <w:adjustRightInd w:val="0"/>
                    <w:snapToGrid w:val="0"/>
                    <w:spacing w:line="240" w:lineRule="auto"/>
                    <w:jc w:val="center"/>
                    <w:rPr>
                      <w:rFonts w:hint="default" w:cs="Times New Roman"/>
                      <w:b/>
                      <w:bCs/>
                      <w:color w:val="auto"/>
                      <w:sz w:val="21"/>
                      <w:szCs w:val="21"/>
                      <w:lang w:val="en-US" w:eastAsia="zh-CN"/>
                    </w:rPr>
                  </w:pPr>
                  <w:r>
                    <w:rPr>
                      <w:rFonts w:hint="eastAsia" w:cs="Times New Roman"/>
                      <w:b/>
                      <w:bCs/>
                      <w:color w:val="auto"/>
                      <w:sz w:val="21"/>
                      <w:szCs w:val="21"/>
                      <w:lang w:val="en-US" w:eastAsia="zh-CN"/>
                    </w:rPr>
                    <w:t>S总投加量mg/kg-cli</w:t>
                  </w:r>
                </w:p>
              </w:tc>
            </w:tr>
            <w:tr w14:paraId="530C6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31850315">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石灰石</w:t>
                  </w:r>
                </w:p>
              </w:tc>
              <w:tc>
                <w:tcPr>
                  <w:tcW w:w="1192" w:type="pct"/>
                  <w:tcBorders>
                    <w:tl2br w:val="nil"/>
                    <w:tr2bl w:val="nil"/>
                  </w:tcBorders>
                  <w:shd w:val="clear" w:color="auto" w:fill="auto"/>
                  <w:noWrap w:val="0"/>
                  <w:vAlign w:val="center"/>
                </w:tcPr>
                <w:p w14:paraId="44BF3E58">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1880000</w:t>
                  </w:r>
                </w:p>
              </w:tc>
              <w:tc>
                <w:tcPr>
                  <w:tcW w:w="865" w:type="pct"/>
                  <w:tcBorders>
                    <w:tl2br w:val="nil"/>
                    <w:tr2bl w:val="nil"/>
                  </w:tcBorders>
                  <w:shd w:val="clear" w:color="auto" w:fill="auto"/>
                  <w:noWrap w:val="0"/>
                  <w:vAlign w:val="center"/>
                </w:tcPr>
                <w:p w14:paraId="60B8E996">
                  <w:pPr>
                    <w:widowControl/>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18.80</w:t>
                  </w:r>
                </w:p>
              </w:tc>
              <w:tc>
                <w:tcPr>
                  <w:tcW w:w="795" w:type="pct"/>
                  <w:vMerge w:val="restart"/>
                  <w:tcBorders>
                    <w:tl2br w:val="nil"/>
                    <w:tr2bl w:val="nil"/>
                  </w:tcBorders>
                  <w:noWrap w:val="0"/>
                  <w:vAlign w:val="center"/>
                </w:tcPr>
                <w:p w14:paraId="1537B123">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1550000</w:t>
                  </w:r>
                </w:p>
              </w:tc>
              <w:tc>
                <w:tcPr>
                  <w:tcW w:w="1078" w:type="pct"/>
                  <w:vMerge w:val="restart"/>
                  <w:tcBorders>
                    <w:tl2br w:val="nil"/>
                    <w:tr2bl w:val="nil"/>
                  </w:tcBorders>
                  <w:noWrap w:val="0"/>
                  <w:vAlign w:val="center"/>
                </w:tcPr>
                <w:p w14:paraId="1D4B5828">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1196.664</w:t>
                  </w:r>
                </w:p>
              </w:tc>
            </w:tr>
            <w:tr w14:paraId="45D39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6D87A26C">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粘土</w:t>
                  </w:r>
                </w:p>
              </w:tc>
              <w:tc>
                <w:tcPr>
                  <w:tcW w:w="1192" w:type="pct"/>
                  <w:tcBorders>
                    <w:tl2br w:val="nil"/>
                    <w:tr2bl w:val="nil"/>
                  </w:tcBorders>
                  <w:shd w:val="clear" w:color="auto" w:fill="auto"/>
                  <w:noWrap w:val="0"/>
                  <w:vAlign w:val="center"/>
                </w:tcPr>
                <w:p w14:paraId="1CB6AAF5">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120000</w:t>
                  </w:r>
                </w:p>
              </w:tc>
              <w:tc>
                <w:tcPr>
                  <w:tcW w:w="865" w:type="pct"/>
                  <w:tcBorders>
                    <w:tl2br w:val="nil"/>
                    <w:tr2bl w:val="nil"/>
                  </w:tcBorders>
                  <w:shd w:val="clear" w:color="auto" w:fill="auto"/>
                  <w:noWrap w:val="0"/>
                  <w:vAlign w:val="center"/>
                </w:tcPr>
                <w:p w14:paraId="4B416D33">
                  <w:pPr>
                    <w:widowControl/>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1.20</w:t>
                  </w:r>
                </w:p>
              </w:tc>
              <w:tc>
                <w:tcPr>
                  <w:tcW w:w="795" w:type="pct"/>
                  <w:vMerge w:val="continue"/>
                  <w:tcBorders>
                    <w:tl2br w:val="nil"/>
                    <w:tr2bl w:val="nil"/>
                  </w:tcBorders>
                  <w:noWrap w:val="0"/>
                  <w:vAlign w:val="center"/>
                </w:tcPr>
                <w:p w14:paraId="079C9BB6">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078" w:type="pct"/>
                  <w:vMerge w:val="continue"/>
                  <w:tcBorders>
                    <w:tl2br w:val="nil"/>
                    <w:tr2bl w:val="nil"/>
                  </w:tcBorders>
                  <w:noWrap w:val="0"/>
                  <w:vAlign w:val="center"/>
                </w:tcPr>
                <w:p w14:paraId="4C9F357C">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r>
            <w:tr w14:paraId="15D52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noWrap w:val="0"/>
                  <w:vAlign w:val="center"/>
                </w:tcPr>
                <w:p w14:paraId="1A9A2FB6">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本项目替代原料</w:t>
                  </w:r>
                </w:p>
              </w:tc>
              <w:tc>
                <w:tcPr>
                  <w:tcW w:w="1192" w:type="pct"/>
                  <w:tcBorders>
                    <w:tl2br w:val="nil"/>
                    <w:tr2bl w:val="nil"/>
                  </w:tcBorders>
                  <w:noWrap w:val="0"/>
                  <w:vAlign w:val="center"/>
                </w:tcPr>
                <w:p w14:paraId="670736D3">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cs="Times New Roman"/>
                      <w:color w:val="auto"/>
                      <w:sz w:val="21"/>
                      <w:szCs w:val="21"/>
                      <w:lang w:val="en-US" w:eastAsia="zh-CN"/>
                    </w:rPr>
                    <w:t>275000</w:t>
                  </w:r>
                </w:p>
              </w:tc>
              <w:tc>
                <w:tcPr>
                  <w:tcW w:w="865" w:type="pct"/>
                  <w:tcBorders>
                    <w:tl2br w:val="nil"/>
                    <w:tr2bl w:val="nil"/>
                  </w:tcBorders>
                  <w:shd w:val="clear" w:color="auto" w:fill="auto"/>
                  <w:noWrap w:val="0"/>
                  <w:vAlign w:val="center"/>
                </w:tcPr>
                <w:p w14:paraId="371375A3">
                  <w:pPr>
                    <w:widowControl/>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175.11</w:t>
                  </w:r>
                </w:p>
              </w:tc>
              <w:tc>
                <w:tcPr>
                  <w:tcW w:w="795" w:type="pct"/>
                  <w:vMerge w:val="continue"/>
                  <w:tcBorders>
                    <w:tl2br w:val="nil"/>
                    <w:tr2bl w:val="nil"/>
                  </w:tcBorders>
                  <w:noWrap w:val="0"/>
                  <w:vAlign w:val="center"/>
                </w:tcPr>
                <w:p w14:paraId="16FB880E">
                  <w:pPr>
                    <w:widowControl/>
                    <w:adjustRightInd w:val="0"/>
                    <w:snapToGrid w:val="0"/>
                    <w:spacing w:line="240" w:lineRule="auto"/>
                    <w:jc w:val="center"/>
                    <w:rPr>
                      <w:rFonts w:hint="eastAsia" w:cs="Times New Roman"/>
                      <w:color w:val="auto"/>
                      <w:sz w:val="21"/>
                      <w:szCs w:val="21"/>
                      <w:lang w:val="en-US" w:eastAsia="zh-CN"/>
                    </w:rPr>
                  </w:pPr>
                </w:p>
              </w:tc>
              <w:tc>
                <w:tcPr>
                  <w:tcW w:w="1078" w:type="pct"/>
                  <w:vMerge w:val="continue"/>
                  <w:tcBorders>
                    <w:tl2br w:val="nil"/>
                    <w:tr2bl w:val="nil"/>
                  </w:tcBorders>
                  <w:noWrap w:val="0"/>
                  <w:vAlign w:val="center"/>
                </w:tcPr>
                <w:p w14:paraId="511402D2">
                  <w:pPr>
                    <w:widowControl/>
                    <w:adjustRightInd w:val="0"/>
                    <w:snapToGrid w:val="0"/>
                    <w:spacing w:line="240" w:lineRule="auto"/>
                    <w:jc w:val="center"/>
                    <w:rPr>
                      <w:rFonts w:hint="eastAsia" w:cs="Times New Roman"/>
                      <w:color w:val="auto"/>
                      <w:sz w:val="21"/>
                      <w:szCs w:val="21"/>
                      <w:lang w:val="en-US" w:eastAsia="zh-CN"/>
                    </w:rPr>
                  </w:pPr>
                </w:p>
              </w:tc>
            </w:tr>
            <w:tr w14:paraId="53779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68" w:type="pct"/>
                  <w:tcBorders>
                    <w:tl2br w:val="nil"/>
                    <w:tr2bl w:val="nil"/>
                  </w:tcBorders>
                  <w:shd w:val="clear" w:color="auto" w:fill="auto"/>
                  <w:noWrap w:val="0"/>
                  <w:vAlign w:val="center"/>
                </w:tcPr>
                <w:p w14:paraId="474F47E2">
                  <w:pPr>
                    <w:pStyle w:val="46"/>
                    <w:keepNext w:val="0"/>
                    <w:keepLines w:val="0"/>
                    <w:pageBreakBefore w:val="0"/>
                    <w:kinsoku/>
                    <w:wordWrap/>
                    <w:topLinePunct w:val="0"/>
                    <w:autoSpaceDE/>
                    <w:autoSpaceDN/>
                    <w:bidi w:val="0"/>
                    <w:snapToGrid w:val="0"/>
                    <w:spacing w:beforeLines="0" w:afterLines="0"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煤</w:t>
                  </w:r>
                </w:p>
              </w:tc>
              <w:tc>
                <w:tcPr>
                  <w:tcW w:w="1192" w:type="pct"/>
                  <w:tcBorders>
                    <w:tl2br w:val="nil"/>
                    <w:tr2bl w:val="nil"/>
                  </w:tcBorders>
                  <w:shd w:val="clear" w:color="auto" w:fill="auto"/>
                  <w:noWrap w:val="0"/>
                  <w:vAlign w:val="center"/>
                </w:tcPr>
                <w:p w14:paraId="0B5224B0">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169058</w:t>
                  </w:r>
                </w:p>
              </w:tc>
              <w:tc>
                <w:tcPr>
                  <w:tcW w:w="865" w:type="pct"/>
                  <w:tcBorders>
                    <w:tl2br w:val="nil"/>
                    <w:tr2bl w:val="nil"/>
                  </w:tcBorders>
                  <w:shd w:val="clear" w:color="auto" w:fill="auto"/>
                  <w:noWrap w:val="0"/>
                  <w:vAlign w:val="center"/>
                </w:tcPr>
                <w:p w14:paraId="12AF4CDD">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726.95</w:t>
                  </w:r>
                </w:p>
              </w:tc>
              <w:tc>
                <w:tcPr>
                  <w:tcW w:w="795" w:type="pct"/>
                  <w:vMerge w:val="continue"/>
                  <w:tcBorders>
                    <w:tl2br w:val="nil"/>
                    <w:tr2bl w:val="nil"/>
                  </w:tcBorders>
                  <w:noWrap w:val="0"/>
                  <w:vAlign w:val="center"/>
                </w:tcPr>
                <w:p w14:paraId="6FF12CA0">
                  <w:pPr>
                    <w:widowControl/>
                    <w:adjustRightInd w:val="0"/>
                    <w:snapToGrid w:val="0"/>
                    <w:spacing w:line="240" w:lineRule="auto"/>
                    <w:jc w:val="center"/>
                    <w:rPr>
                      <w:rFonts w:hint="eastAsia" w:cs="Times New Roman"/>
                      <w:color w:val="auto"/>
                      <w:sz w:val="21"/>
                      <w:szCs w:val="21"/>
                      <w:lang w:val="en-US" w:eastAsia="zh-CN"/>
                    </w:rPr>
                  </w:pPr>
                </w:p>
              </w:tc>
              <w:tc>
                <w:tcPr>
                  <w:tcW w:w="1078" w:type="pct"/>
                  <w:vMerge w:val="continue"/>
                  <w:tcBorders>
                    <w:tl2br w:val="nil"/>
                    <w:tr2bl w:val="nil"/>
                  </w:tcBorders>
                  <w:noWrap w:val="0"/>
                  <w:vAlign w:val="center"/>
                </w:tcPr>
                <w:p w14:paraId="5923F4ED">
                  <w:pPr>
                    <w:widowControl/>
                    <w:adjustRightInd w:val="0"/>
                    <w:snapToGrid w:val="0"/>
                    <w:spacing w:line="240" w:lineRule="auto"/>
                    <w:jc w:val="center"/>
                    <w:rPr>
                      <w:rFonts w:hint="eastAsia" w:cs="Times New Roman"/>
                      <w:color w:val="auto"/>
                      <w:sz w:val="21"/>
                      <w:szCs w:val="21"/>
                      <w:lang w:val="en-US" w:eastAsia="zh-CN"/>
                    </w:rPr>
                  </w:pPr>
                </w:p>
              </w:tc>
            </w:tr>
            <w:tr w14:paraId="7610F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0" w:type="auto"/>
                  <w:shd w:val="clear" w:color="auto" w:fill="auto"/>
                  <w:vAlign w:val="center"/>
                </w:tcPr>
                <w:p w14:paraId="17A8E0F1">
                  <w:pPr>
                    <w:pStyle w:val="46"/>
                    <w:keepNext w:val="0"/>
                    <w:keepLines w:val="0"/>
                    <w:pageBreakBefore w:val="0"/>
                    <w:kinsoku/>
                    <w:wordWrap/>
                    <w:topLinePunct w:val="0"/>
                    <w:autoSpaceDE/>
                    <w:autoSpaceDN/>
                    <w:bidi w:val="0"/>
                    <w:snapToGrid w:val="0"/>
                    <w:spacing w:beforeLines="0" w:afterLines="0"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RDF</w:t>
                  </w:r>
                </w:p>
              </w:tc>
              <w:tc>
                <w:tcPr>
                  <w:tcW w:w="0" w:type="auto"/>
                  <w:shd w:val="clear" w:color="auto" w:fill="auto"/>
                  <w:vAlign w:val="center"/>
                </w:tcPr>
                <w:p w14:paraId="7D6B2BDE">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35000</w:t>
                  </w:r>
                </w:p>
              </w:tc>
              <w:tc>
                <w:tcPr>
                  <w:tcW w:w="865" w:type="pct"/>
                  <w:shd w:val="clear" w:color="auto" w:fill="auto"/>
                  <w:vAlign w:val="center"/>
                </w:tcPr>
                <w:p w14:paraId="4FBA26CF">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75.60</w:t>
                  </w:r>
                </w:p>
              </w:tc>
              <w:tc>
                <w:tcPr>
                  <w:tcW w:w="795" w:type="pct"/>
                  <w:vMerge w:val="continue"/>
                </w:tcPr>
                <w:p w14:paraId="53D2546D">
                  <w:pPr>
                    <w:widowControl/>
                    <w:adjustRightInd w:val="0"/>
                    <w:snapToGrid w:val="0"/>
                    <w:spacing w:line="240" w:lineRule="auto"/>
                    <w:jc w:val="center"/>
                    <w:rPr>
                      <w:rFonts w:hint="eastAsia" w:cs="Times New Roman"/>
                      <w:color w:val="auto"/>
                      <w:sz w:val="21"/>
                      <w:szCs w:val="21"/>
                      <w:lang w:val="en-US" w:eastAsia="zh-CN"/>
                    </w:rPr>
                  </w:pPr>
                </w:p>
              </w:tc>
              <w:tc>
                <w:tcPr>
                  <w:tcW w:w="1078" w:type="pct"/>
                  <w:vMerge w:val="continue"/>
                </w:tcPr>
                <w:p w14:paraId="21A46605">
                  <w:pPr>
                    <w:widowControl/>
                    <w:adjustRightInd w:val="0"/>
                    <w:snapToGrid w:val="0"/>
                    <w:spacing w:line="240" w:lineRule="auto"/>
                    <w:jc w:val="center"/>
                    <w:rPr>
                      <w:rFonts w:hint="eastAsia" w:cs="Times New Roman"/>
                      <w:color w:val="auto"/>
                      <w:sz w:val="21"/>
                      <w:szCs w:val="21"/>
                      <w:lang w:val="en-US" w:eastAsia="zh-CN"/>
                    </w:rPr>
                  </w:pPr>
                </w:p>
              </w:tc>
            </w:tr>
            <w:tr w14:paraId="4A2C4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0" w:type="auto"/>
                  <w:shd w:val="clear" w:color="auto" w:fill="auto"/>
                  <w:vAlign w:val="center"/>
                </w:tcPr>
                <w:p w14:paraId="542AB900">
                  <w:pPr>
                    <w:pStyle w:val="46"/>
                    <w:keepNext w:val="0"/>
                    <w:keepLines w:val="0"/>
                    <w:pageBreakBefore w:val="0"/>
                    <w:kinsoku/>
                    <w:wordWrap/>
                    <w:topLinePunct w:val="0"/>
                    <w:autoSpaceDE/>
                    <w:autoSpaceDN/>
                    <w:bidi w:val="0"/>
                    <w:snapToGrid w:val="0"/>
                    <w:spacing w:beforeLines="0" w:afterLines="0" w:line="240" w:lineRule="auto"/>
                    <w:rPr>
                      <w:rFonts w:hint="eastAsia"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本项目替代燃料</w:t>
                  </w:r>
                </w:p>
              </w:tc>
              <w:tc>
                <w:tcPr>
                  <w:tcW w:w="0" w:type="auto"/>
                  <w:shd w:val="clear" w:color="auto" w:fill="auto"/>
                  <w:vAlign w:val="center"/>
                </w:tcPr>
                <w:p w14:paraId="264D51BB">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35000</w:t>
                  </w:r>
                </w:p>
              </w:tc>
              <w:tc>
                <w:tcPr>
                  <w:tcW w:w="865" w:type="pct"/>
                  <w:shd w:val="clear" w:color="auto" w:fill="auto"/>
                  <w:vAlign w:val="center"/>
                </w:tcPr>
                <w:p w14:paraId="0F607949">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297.17</w:t>
                  </w:r>
                </w:p>
              </w:tc>
              <w:tc>
                <w:tcPr>
                  <w:tcW w:w="795" w:type="pct"/>
                  <w:vMerge w:val="continue"/>
                </w:tcPr>
                <w:p w14:paraId="0F803AC7">
                  <w:pPr>
                    <w:widowControl/>
                    <w:adjustRightInd w:val="0"/>
                    <w:snapToGrid w:val="0"/>
                    <w:spacing w:line="240" w:lineRule="auto"/>
                    <w:jc w:val="center"/>
                    <w:rPr>
                      <w:rFonts w:hint="eastAsia" w:cs="Times New Roman"/>
                      <w:color w:val="auto"/>
                      <w:sz w:val="21"/>
                      <w:szCs w:val="21"/>
                      <w:lang w:val="en-US" w:eastAsia="zh-CN"/>
                    </w:rPr>
                  </w:pPr>
                </w:p>
              </w:tc>
              <w:tc>
                <w:tcPr>
                  <w:tcW w:w="1078" w:type="pct"/>
                  <w:vMerge w:val="continue"/>
                </w:tcPr>
                <w:p w14:paraId="6E0916E6">
                  <w:pPr>
                    <w:widowControl/>
                    <w:adjustRightInd w:val="0"/>
                    <w:snapToGrid w:val="0"/>
                    <w:spacing w:line="240" w:lineRule="auto"/>
                    <w:jc w:val="center"/>
                    <w:rPr>
                      <w:rFonts w:hint="eastAsia" w:cs="Times New Roman"/>
                      <w:color w:val="auto"/>
                      <w:sz w:val="21"/>
                      <w:szCs w:val="21"/>
                      <w:lang w:val="en-US" w:eastAsia="zh-CN"/>
                    </w:rPr>
                  </w:pPr>
                </w:p>
              </w:tc>
            </w:tr>
            <w:tr w14:paraId="57746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0" w:type="auto"/>
                  <w:shd w:val="clear" w:color="auto" w:fill="auto"/>
                  <w:vAlign w:val="center"/>
                </w:tcPr>
                <w:p w14:paraId="193DFF7B">
                  <w:pPr>
                    <w:pStyle w:val="46"/>
                    <w:keepNext w:val="0"/>
                    <w:keepLines w:val="0"/>
                    <w:pageBreakBefore w:val="0"/>
                    <w:kinsoku/>
                    <w:wordWrap/>
                    <w:topLinePunct w:val="0"/>
                    <w:autoSpaceDE/>
                    <w:autoSpaceDN/>
                    <w:bidi w:val="0"/>
                    <w:snapToGrid w:val="0"/>
                    <w:spacing w:beforeLines="0" w:afterLines="0" w:line="240" w:lineRule="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其他协同处置</w:t>
                  </w:r>
                  <w:r>
                    <w:rPr>
                      <w:rFonts w:hint="default" w:ascii="Times New Roman" w:hAnsi="Times New Roman" w:cs="Times New Roman"/>
                      <w:color w:val="auto"/>
                      <w:sz w:val="21"/>
                      <w:szCs w:val="21"/>
                      <w:lang w:val="en-US" w:eastAsia="zh-CN"/>
                    </w:rPr>
                    <w:t>危险废物及一般固废</w:t>
                  </w:r>
                </w:p>
              </w:tc>
              <w:tc>
                <w:tcPr>
                  <w:tcW w:w="0" w:type="auto"/>
                  <w:shd w:val="clear" w:color="auto" w:fill="auto"/>
                  <w:vAlign w:val="center"/>
                </w:tcPr>
                <w:p w14:paraId="2A677A75">
                  <w:pPr>
                    <w:keepNext w:val="0"/>
                    <w:keepLines w:val="0"/>
                    <w:pageBreakBefore w:val="0"/>
                    <w:widowControl/>
                    <w:kinsoku/>
                    <w:wordWrap/>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200000</w:t>
                  </w:r>
                </w:p>
              </w:tc>
              <w:tc>
                <w:tcPr>
                  <w:tcW w:w="865" w:type="pct"/>
                  <w:shd w:val="clear" w:color="auto" w:fill="auto"/>
                  <w:vAlign w:val="center"/>
                </w:tcPr>
                <w:p w14:paraId="516C9F5C">
                  <w:pPr>
                    <w:widowControl/>
                    <w:adjustRightInd w:val="0"/>
                    <w:snapToGrid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560.00</w:t>
                  </w:r>
                </w:p>
              </w:tc>
              <w:tc>
                <w:tcPr>
                  <w:tcW w:w="795" w:type="pct"/>
                  <w:vMerge w:val="continue"/>
                </w:tcPr>
                <w:p w14:paraId="14C03F6C">
                  <w:pPr>
                    <w:widowControl/>
                    <w:adjustRightInd w:val="0"/>
                    <w:snapToGrid w:val="0"/>
                    <w:spacing w:line="240" w:lineRule="auto"/>
                    <w:jc w:val="center"/>
                    <w:rPr>
                      <w:rFonts w:hint="eastAsia" w:cs="Times New Roman"/>
                      <w:color w:val="auto"/>
                      <w:sz w:val="21"/>
                      <w:szCs w:val="21"/>
                      <w:lang w:val="en-US" w:eastAsia="zh-CN"/>
                    </w:rPr>
                  </w:pPr>
                </w:p>
              </w:tc>
              <w:tc>
                <w:tcPr>
                  <w:tcW w:w="1078" w:type="pct"/>
                  <w:vMerge w:val="continue"/>
                </w:tcPr>
                <w:p w14:paraId="7DFAD9ED">
                  <w:pPr>
                    <w:widowControl/>
                    <w:adjustRightInd w:val="0"/>
                    <w:snapToGrid w:val="0"/>
                    <w:spacing w:line="240" w:lineRule="auto"/>
                    <w:jc w:val="center"/>
                    <w:rPr>
                      <w:rFonts w:hint="eastAsia" w:cs="Times New Roman"/>
                      <w:color w:val="auto"/>
                      <w:sz w:val="21"/>
                      <w:szCs w:val="21"/>
                      <w:lang w:val="en-US" w:eastAsia="zh-CN"/>
                    </w:rPr>
                  </w:pPr>
                </w:p>
              </w:tc>
            </w:tr>
            <w:tr w14:paraId="05D1D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60" w:type="pct"/>
                  <w:gridSpan w:val="2"/>
                  <w:shd w:val="clear" w:color="auto" w:fill="auto"/>
                  <w:vAlign w:val="center"/>
                </w:tcPr>
                <w:p w14:paraId="65DADA32">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合计</w:t>
                  </w:r>
                </w:p>
              </w:tc>
              <w:tc>
                <w:tcPr>
                  <w:tcW w:w="865" w:type="pct"/>
                  <w:shd w:val="clear" w:color="auto" w:fill="auto"/>
                  <w:vAlign w:val="center"/>
                </w:tcPr>
                <w:p w14:paraId="23D14D00">
                  <w:pPr>
                    <w:widowControl/>
                    <w:adjustRightInd w:val="0"/>
                    <w:snapToGrid w:val="0"/>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1854.829</w:t>
                  </w:r>
                </w:p>
              </w:tc>
              <w:tc>
                <w:tcPr>
                  <w:tcW w:w="795" w:type="pct"/>
                  <w:vMerge w:val="continue"/>
                </w:tcPr>
                <w:p w14:paraId="5275D995">
                  <w:pPr>
                    <w:widowControl/>
                    <w:adjustRightInd w:val="0"/>
                    <w:snapToGrid w:val="0"/>
                    <w:spacing w:line="240" w:lineRule="auto"/>
                    <w:jc w:val="center"/>
                    <w:rPr>
                      <w:rFonts w:hint="eastAsia" w:cs="Times New Roman"/>
                      <w:color w:val="auto"/>
                      <w:sz w:val="21"/>
                      <w:szCs w:val="21"/>
                      <w:lang w:val="en-US" w:eastAsia="zh-CN"/>
                    </w:rPr>
                  </w:pPr>
                </w:p>
              </w:tc>
              <w:tc>
                <w:tcPr>
                  <w:tcW w:w="1078" w:type="pct"/>
                  <w:vMerge w:val="continue"/>
                </w:tcPr>
                <w:p w14:paraId="0BC5503D">
                  <w:pPr>
                    <w:widowControl/>
                    <w:adjustRightInd w:val="0"/>
                    <w:snapToGrid w:val="0"/>
                    <w:spacing w:line="240" w:lineRule="auto"/>
                    <w:jc w:val="center"/>
                    <w:rPr>
                      <w:rFonts w:hint="eastAsia" w:cs="Times New Roman"/>
                      <w:color w:val="auto"/>
                      <w:sz w:val="21"/>
                      <w:szCs w:val="21"/>
                      <w:lang w:val="en-US" w:eastAsia="zh-CN"/>
                    </w:rPr>
                  </w:pPr>
                </w:p>
              </w:tc>
            </w:tr>
          </w:tbl>
          <w:p w14:paraId="420FB2EF">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根据计算，</w:t>
            </w:r>
            <w:r>
              <w:rPr>
                <w:rFonts w:hint="eastAsia" w:cs="Times New Roman"/>
                <w:color w:val="auto"/>
                <w:lang w:val="en-US" w:eastAsia="zh-CN"/>
              </w:rPr>
              <w:t>项目建成后全厂</w:t>
            </w:r>
            <w:r>
              <w:rPr>
                <w:rFonts w:hint="default" w:ascii="Times New Roman" w:hAnsi="Times New Roman" w:cs="Times New Roman"/>
                <w:bCs/>
                <w:color w:val="auto"/>
                <w:lang w:val="en-US" w:eastAsia="zh-CN"/>
              </w:rPr>
              <w:t>通过配料系统投加的物料中硫化物硫与有机硫总含量</w:t>
            </w:r>
            <w:r>
              <w:rPr>
                <w:rFonts w:hint="eastAsia" w:cs="Times New Roman"/>
                <w:bCs/>
                <w:color w:val="auto"/>
                <w:lang w:val="en-US" w:eastAsia="zh-CN"/>
              </w:rPr>
              <w:t>为</w:t>
            </w:r>
            <w:r>
              <w:rPr>
                <w:rFonts w:hint="default" w:ascii="Times New Roman" w:hAnsi="Times New Roman" w:cs="Times New Roman"/>
                <w:bCs/>
                <w:color w:val="auto"/>
                <w:lang w:val="en-US" w:eastAsia="zh-CN"/>
              </w:rPr>
              <w:t>0.0</w:t>
            </w:r>
            <w:r>
              <w:rPr>
                <w:rFonts w:hint="eastAsia" w:cs="Times New Roman"/>
                <w:bCs/>
                <w:color w:val="auto"/>
                <w:lang w:val="en-US" w:eastAsia="zh-CN"/>
              </w:rPr>
              <w:t>086</w:t>
            </w:r>
            <w:r>
              <w:rPr>
                <w:rFonts w:hint="default" w:ascii="Times New Roman" w:hAnsi="Times New Roman" w:cs="Times New Roman"/>
                <w:bCs/>
                <w:color w:val="auto"/>
                <w:lang w:val="en-US" w:eastAsia="zh-CN"/>
              </w:rPr>
              <w:t>%</w:t>
            </w:r>
            <w:r>
              <w:rPr>
                <w:rFonts w:hint="eastAsia" w:cs="Times New Roman"/>
                <w:bCs/>
                <w:color w:val="auto"/>
                <w:lang w:val="en-US" w:eastAsia="zh-CN"/>
              </w:rPr>
              <w:t>，不超过</w:t>
            </w:r>
            <w:r>
              <w:rPr>
                <w:rFonts w:hint="default" w:ascii="Times New Roman" w:hAnsi="Times New Roman" w:cs="Times New Roman"/>
                <w:bCs/>
                <w:color w:val="auto"/>
                <w:lang w:val="en-US" w:eastAsia="zh-CN"/>
              </w:rPr>
              <w:t>0.014%</w:t>
            </w:r>
            <w:r>
              <w:rPr>
                <w:rFonts w:hint="eastAsia" w:cs="Times New Roman"/>
                <w:bCs/>
                <w:color w:val="auto"/>
                <w:lang w:val="en-US" w:eastAsia="zh-CN"/>
              </w:rPr>
              <w:t>的限值；</w:t>
            </w:r>
            <w:r>
              <w:rPr>
                <w:rFonts w:hint="default" w:ascii="Times New Roman" w:hAnsi="Times New Roman" w:cs="Times New Roman"/>
                <w:color w:val="auto"/>
                <w:lang w:val="en-US" w:eastAsia="zh-CN"/>
              </w:rPr>
              <w:t>从窑尾高温区投加的全硫与配料系统投加的硫酸盐硫总投加量为</w:t>
            </w:r>
            <w:r>
              <w:rPr>
                <w:rFonts w:hint="eastAsia" w:cs="Times New Roman"/>
                <w:color w:val="auto"/>
                <w:highlight w:val="none"/>
                <w:lang w:val="en-US" w:eastAsia="zh-CN"/>
              </w:rPr>
              <w:t>1196.664</w:t>
            </w:r>
            <w:r>
              <w:rPr>
                <w:rFonts w:hint="default" w:ascii="Times New Roman" w:hAnsi="Times New Roman" w:cs="Times New Roman"/>
                <w:color w:val="auto"/>
                <w:highlight w:val="none"/>
                <w:lang w:val="en-US" w:eastAsia="zh-CN"/>
              </w:rPr>
              <w:t>mg</w:t>
            </w:r>
            <w:r>
              <w:rPr>
                <w:rFonts w:hint="default" w:ascii="Times New Roman" w:hAnsi="Times New Roman" w:cs="Times New Roman"/>
                <w:color w:val="auto"/>
                <w:lang w:val="en-US" w:eastAsia="zh-CN"/>
              </w:rPr>
              <w:t>/kg-cli＜</w:t>
            </w:r>
            <w:r>
              <w:rPr>
                <w:rFonts w:hint="default" w:ascii="Times New Roman" w:hAnsi="Times New Roman" w:cs="Times New Roman"/>
                <w:bCs/>
                <w:color w:val="auto"/>
                <w:lang w:val="en-US" w:eastAsia="zh-CN"/>
              </w:rPr>
              <w:t>3000mg/kg-cli</w:t>
            </w:r>
            <w:r>
              <w:rPr>
                <w:rFonts w:hint="default" w:ascii="Times New Roman" w:hAnsi="Times New Roman" w:cs="Times New Roman"/>
                <w:color w:val="auto"/>
                <w:lang w:val="en-US" w:eastAsia="zh-CN"/>
              </w:rPr>
              <w:t>，满足《水泥窑协同处置固体废物环境保护技术规范》（HJ662-2013）要求。</w:t>
            </w:r>
          </w:p>
          <w:p w14:paraId="23AC76F7">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（2）硫（S）元素平衡分析</w:t>
            </w:r>
          </w:p>
          <w:p w14:paraId="7F818D29">
            <w:pPr>
              <w:keepNext w:val="0"/>
              <w:keepLines w:val="0"/>
              <w:widowControl/>
              <w:suppressLineNumbers w:val="0"/>
              <w:ind w:firstLine="48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根据《&lt;水泥窑协同处置危险废物污染控制标准&gt;编制说明》（征求意见稿）等相关资料显示，回转窑熟料煅烧系统中原辅材料带入的易挥发性硫化物是造成SO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排放的主要根源，在800~1000℃产生的大部分SO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被物料中的CaO等碱性氧化物吸收生成CaSO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、CaSO</w:t>
            </w:r>
            <w:r>
              <w:rPr>
                <w:rFonts w:hint="default" w:ascii="Times New Roman" w:hAnsi="Times New Roman" w:cs="Times New Roman"/>
                <w:color w:val="auto"/>
                <w:vertAlign w:val="subscript"/>
                <w:lang w:val="en-US" w:eastAsia="zh-CN"/>
              </w:rPr>
              <w:t>3</w:t>
            </w:r>
            <w:r>
              <w:rPr>
                <w:rFonts w:hint="default" w:ascii="Times New Roman" w:hAnsi="Times New Roman" w:cs="Times New Roman"/>
                <w:color w:val="auto"/>
                <w:lang w:val="en-US" w:eastAsia="zh-CN"/>
              </w:rPr>
              <w:t>等中间物质，从高温区投入的固体废物中的S元素主要对系统结皮及水泥产品质量有影响，而与SO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排放无直接关系。对于SO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气体来说，水泥熟料煅烧系统本身就是一种脱硫装置，燃烧产生的SO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可以和生料中的碱性金属氧化物反应，生成硫酸盐矿物或固熔物，因此随气体排放到大气中的SO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是非常低的。</w:t>
            </w:r>
          </w:p>
          <w:p w14:paraId="5B40F387">
            <w:pPr>
              <w:keepNext w:val="0"/>
              <w:keepLines w:val="0"/>
              <w:widowControl/>
              <w:suppressLineNumbers w:val="0"/>
              <w:ind w:firstLine="48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由于脱硫措施不变，故窑外分解炉的回转窑在物料的煅烧过程中对SO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的吸收率按不变考虑。结合水泥厂现状</w:t>
            </w:r>
            <w:r>
              <w:rPr>
                <w:rFonts w:hint="eastAsia" w:cs="Times New Roman"/>
                <w:color w:val="auto"/>
                <w:lang w:val="en-US" w:eastAsia="zh-CN"/>
              </w:rPr>
              <w:t>运行监测数据</w:t>
            </w:r>
            <w:r>
              <w:rPr>
                <w:rFonts w:hint="default" w:ascii="Times New Roman" w:hAnsi="Times New Roman" w:cs="Times New Roman"/>
                <w:color w:val="auto"/>
                <w:lang w:val="en-US" w:eastAsia="zh-CN"/>
              </w:rPr>
              <w:t>，窑外分解炉的回转窑在物料的煅烧过程中对SO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的吸收率</w:t>
            </w:r>
            <w:r>
              <w:rPr>
                <w:rFonts w:hint="eastAsia" w:cs="Times New Roman"/>
                <w:color w:val="auto"/>
                <w:lang w:val="en-US" w:eastAsia="zh-CN"/>
              </w:rPr>
              <w:t>平均约为</w:t>
            </w:r>
            <w:r>
              <w:rPr>
                <w:rFonts w:hint="default" w:ascii="Times New Roman" w:hAnsi="Times New Roman" w:cs="Times New Roman"/>
                <w:color w:val="auto"/>
                <w:vertAlign w:val="baseline"/>
                <w:lang w:val="en-US" w:eastAsia="zh-CN"/>
              </w:rPr>
              <w:t>98.989%</w:t>
            </w:r>
            <w:r>
              <w:rPr>
                <w:rFonts w:hint="default" w:ascii="Times New Roman" w:hAnsi="Times New Roman" w:cs="Times New Roman"/>
                <w:color w:val="auto"/>
                <w:lang w:val="en-US" w:eastAsia="zh-CN"/>
              </w:rPr>
              <w:t>。本项目建成后熟料生产线硫平衡详见下表。</w:t>
            </w:r>
          </w:p>
          <w:p w14:paraId="2793FDC5">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rPr>
              <w:t>表</w:t>
            </w:r>
            <w:r>
              <w:rPr>
                <w:rFonts w:hint="default"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w:t>
            </w:r>
            <w:r>
              <w:rPr>
                <w:rFonts w:hint="eastAsia" w:ascii="Times New Roman" w:hAnsi="Times New Roman" w:eastAsia="宋体" w:cs="Times New Roman"/>
                <w:b/>
                <w:bCs w:val="0"/>
                <w:color w:val="auto"/>
                <w:lang w:val="en-US" w:eastAsia="zh-CN"/>
              </w:rPr>
              <w:t>2</w:t>
            </w:r>
            <w:r>
              <w:rPr>
                <w:rFonts w:hint="eastAsia" w:eastAsia="宋体" w:cs="Times New Roman"/>
                <w:b/>
                <w:bCs w:val="0"/>
                <w:color w:val="auto"/>
                <w:lang w:val="en-US" w:eastAsia="zh-CN"/>
              </w:rPr>
              <w:t>3</w:t>
            </w:r>
            <w:r>
              <w:rPr>
                <w:rFonts w:hint="eastAsia"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lang w:val="en-US" w:eastAsia="zh-CN"/>
              </w:rPr>
              <w:t>项目建设</w:t>
            </w:r>
            <w:r>
              <w:rPr>
                <w:rFonts w:hint="eastAsia" w:eastAsia="宋体" w:cs="Times New Roman"/>
                <w:b/>
                <w:bCs w:val="0"/>
                <w:color w:val="auto"/>
                <w:lang w:val="en-US" w:eastAsia="zh-CN"/>
              </w:rPr>
              <w:t>后</w:t>
            </w:r>
            <w:r>
              <w:rPr>
                <w:rFonts w:hint="default" w:ascii="Times New Roman" w:hAnsi="Times New Roman" w:eastAsia="宋体" w:cs="Times New Roman"/>
                <w:b/>
                <w:bCs w:val="0"/>
                <w:color w:val="auto"/>
                <w:lang w:val="en-US" w:eastAsia="zh-CN"/>
              </w:rPr>
              <w:t>水泥熟料生产线</w:t>
            </w:r>
            <w:r>
              <w:rPr>
                <w:rFonts w:hint="eastAsia" w:eastAsia="宋体" w:cs="Times New Roman"/>
                <w:b/>
                <w:bCs w:val="0"/>
                <w:color w:val="auto"/>
                <w:lang w:val="en-US" w:eastAsia="zh-CN"/>
              </w:rPr>
              <w:t>硫元素</w:t>
            </w:r>
            <w:r>
              <w:rPr>
                <w:rFonts w:hint="default" w:ascii="Times New Roman" w:hAnsi="Times New Roman" w:eastAsia="宋体" w:cs="Times New Roman"/>
                <w:b/>
                <w:bCs w:val="0"/>
                <w:color w:val="auto"/>
                <w:lang w:val="en-US" w:eastAsia="zh-CN"/>
              </w:rPr>
              <w:t>平衡表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1405"/>
              <w:gridCol w:w="1556"/>
              <w:gridCol w:w="1434"/>
              <w:gridCol w:w="1481"/>
            </w:tblGrid>
            <w:tr w14:paraId="032FC3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197" w:type="pct"/>
                  <w:gridSpan w:val="3"/>
                  <w:tcBorders>
                    <w:tl2br w:val="nil"/>
                    <w:tr2bl w:val="nil"/>
                  </w:tcBorders>
                  <w:noWrap w:val="0"/>
                  <w:tcMar>
                    <w:top w:w="0" w:type="dxa"/>
                    <w:left w:w="108" w:type="dxa"/>
                    <w:bottom w:w="0" w:type="dxa"/>
                    <w:right w:w="108" w:type="dxa"/>
                  </w:tcMar>
                  <w:vAlign w:val="center"/>
                </w:tcPr>
                <w:p w14:paraId="025FA758">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投入</w:t>
                  </w:r>
                </w:p>
              </w:tc>
              <w:tc>
                <w:tcPr>
                  <w:tcW w:w="1802" w:type="pct"/>
                  <w:gridSpan w:val="2"/>
                  <w:tcBorders>
                    <w:tl2br w:val="nil"/>
                    <w:tr2bl w:val="nil"/>
                  </w:tcBorders>
                  <w:noWrap w:val="0"/>
                  <w:tcMar>
                    <w:top w:w="0" w:type="dxa"/>
                    <w:left w:w="108" w:type="dxa"/>
                    <w:bottom w:w="0" w:type="dxa"/>
                    <w:right w:w="108" w:type="dxa"/>
                  </w:tcMar>
                  <w:vAlign w:val="center"/>
                </w:tcPr>
                <w:p w14:paraId="1A187D0D">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输出</w:t>
                  </w:r>
                </w:p>
              </w:tc>
            </w:tr>
            <w:tr w14:paraId="4F7B08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18D3EDB1">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869" w:type="pct"/>
                  <w:tcBorders>
                    <w:tl2br w:val="nil"/>
                    <w:tr2bl w:val="nil"/>
                  </w:tcBorders>
                  <w:noWrap w:val="0"/>
                  <w:tcMar>
                    <w:top w:w="0" w:type="dxa"/>
                    <w:left w:w="108" w:type="dxa"/>
                    <w:bottom w:w="0" w:type="dxa"/>
                    <w:right w:w="108" w:type="dxa"/>
                  </w:tcMar>
                  <w:vAlign w:val="center"/>
                </w:tcPr>
                <w:p w14:paraId="20036BAD">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进料t/a</w:t>
                  </w:r>
                </w:p>
              </w:tc>
              <w:tc>
                <w:tcPr>
                  <w:tcW w:w="962" w:type="pct"/>
                  <w:tcBorders>
                    <w:tl2br w:val="nil"/>
                    <w:tr2bl w:val="nil"/>
                  </w:tcBorders>
                  <w:noWrap w:val="0"/>
                  <w:tcMar>
                    <w:top w:w="0" w:type="dxa"/>
                    <w:left w:w="108" w:type="dxa"/>
                    <w:bottom w:w="0" w:type="dxa"/>
                    <w:right w:w="108" w:type="dxa"/>
                  </w:tcMar>
                  <w:vAlign w:val="center"/>
                </w:tcPr>
                <w:p w14:paraId="0ABD77C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总</w:t>
                  </w:r>
                  <w:r>
                    <w:rPr>
                      <w:rFonts w:hint="eastAsia" w:cs="Times New Roman"/>
                      <w:color w:val="auto"/>
                      <w:sz w:val="21"/>
                      <w:szCs w:val="21"/>
                      <w:lang w:val="en-US" w:eastAsia="zh-CN"/>
                    </w:rPr>
                    <w:t>硫量</w:t>
                  </w:r>
                  <w:r>
                    <w:rPr>
                      <w:rFonts w:hint="default" w:ascii="Times New Roman" w:hAnsi="Times New Roman" w:cs="Times New Roman"/>
                      <w:color w:val="auto"/>
                      <w:sz w:val="21"/>
                      <w:szCs w:val="21"/>
                      <w:lang w:val="en-US" w:eastAsia="zh-CN"/>
                    </w:rPr>
                    <w:t>t/a</w:t>
                  </w:r>
                </w:p>
              </w:tc>
              <w:tc>
                <w:tcPr>
                  <w:tcW w:w="886" w:type="pct"/>
                  <w:tcBorders>
                    <w:tl2br w:val="nil"/>
                    <w:tr2bl w:val="nil"/>
                  </w:tcBorders>
                  <w:noWrap w:val="0"/>
                  <w:tcMar>
                    <w:top w:w="0" w:type="dxa"/>
                    <w:left w:w="108" w:type="dxa"/>
                    <w:bottom w:w="0" w:type="dxa"/>
                    <w:right w:w="108" w:type="dxa"/>
                  </w:tcMar>
                  <w:vAlign w:val="center"/>
                </w:tcPr>
                <w:p w14:paraId="09510A93">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916" w:type="pct"/>
                  <w:tcBorders>
                    <w:tl2br w:val="nil"/>
                    <w:tr2bl w:val="nil"/>
                  </w:tcBorders>
                  <w:noWrap w:val="0"/>
                  <w:tcMar>
                    <w:top w:w="0" w:type="dxa"/>
                    <w:left w:w="108" w:type="dxa"/>
                    <w:bottom w:w="0" w:type="dxa"/>
                    <w:right w:w="108" w:type="dxa"/>
                  </w:tcMar>
                  <w:vAlign w:val="center"/>
                </w:tcPr>
                <w:p w14:paraId="1492A947">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总</w:t>
                  </w:r>
                  <w:r>
                    <w:rPr>
                      <w:rFonts w:hint="eastAsia" w:cs="Times New Roman"/>
                      <w:color w:val="auto"/>
                      <w:sz w:val="21"/>
                      <w:szCs w:val="21"/>
                      <w:lang w:val="en-US" w:eastAsia="zh-CN"/>
                    </w:rPr>
                    <w:t>硫</w:t>
                  </w:r>
                  <w:r>
                    <w:rPr>
                      <w:rFonts w:hint="default" w:ascii="Times New Roman" w:hAnsi="Times New Roman" w:cs="Times New Roman"/>
                      <w:color w:val="auto"/>
                      <w:sz w:val="21"/>
                      <w:szCs w:val="21"/>
                      <w:lang w:val="en-US" w:eastAsia="zh-CN"/>
                    </w:rPr>
                    <w:t>量t/a</w:t>
                  </w:r>
                </w:p>
              </w:tc>
            </w:tr>
            <w:tr w14:paraId="0ADE2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1C84851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石灰石</w:t>
                  </w:r>
                </w:p>
              </w:tc>
              <w:tc>
                <w:tcPr>
                  <w:tcW w:w="869" w:type="pct"/>
                  <w:tcBorders>
                    <w:tl2br w:val="nil"/>
                    <w:tr2bl w:val="nil"/>
                  </w:tcBorders>
                  <w:shd w:val="clear" w:color="auto" w:fill="auto"/>
                  <w:noWrap w:val="0"/>
                  <w:tcMar>
                    <w:top w:w="0" w:type="dxa"/>
                    <w:left w:w="108" w:type="dxa"/>
                    <w:bottom w:w="0" w:type="dxa"/>
                    <w:right w:w="108" w:type="dxa"/>
                  </w:tcMar>
                  <w:vAlign w:val="center"/>
                </w:tcPr>
                <w:p w14:paraId="70A060A4">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1880000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2D366DBD">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18.80</w:t>
                  </w:r>
                </w:p>
              </w:tc>
              <w:tc>
                <w:tcPr>
                  <w:tcW w:w="886" w:type="pct"/>
                  <w:tcBorders>
                    <w:tl2br w:val="nil"/>
                    <w:tr2bl w:val="nil"/>
                  </w:tcBorders>
                  <w:noWrap w:val="0"/>
                  <w:tcMar>
                    <w:top w:w="0" w:type="dxa"/>
                    <w:left w:w="108" w:type="dxa"/>
                    <w:bottom w:w="0" w:type="dxa"/>
                    <w:right w:w="108" w:type="dxa"/>
                  </w:tcMar>
                  <w:vAlign w:val="center"/>
                </w:tcPr>
                <w:p w14:paraId="33B2F34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进入熟料</w:t>
                  </w:r>
                </w:p>
              </w:tc>
              <w:tc>
                <w:tcPr>
                  <w:tcW w:w="916" w:type="pct"/>
                  <w:tcBorders>
                    <w:tl2br w:val="nil"/>
                    <w:tr2bl w:val="nil"/>
                  </w:tcBorders>
                  <w:shd w:val="clear" w:color="auto" w:fill="auto"/>
                  <w:noWrap w:val="0"/>
                  <w:tcMar>
                    <w:top w:w="0" w:type="dxa"/>
                    <w:left w:w="108" w:type="dxa"/>
                    <w:bottom w:w="0" w:type="dxa"/>
                    <w:right w:w="108" w:type="dxa"/>
                  </w:tcMar>
                  <w:vAlign w:val="center"/>
                </w:tcPr>
                <w:p w14:paraId="2A7BE0FF">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cs="Times New Roman"/>
                      <w:i w:val="0"/>
                      <w:iCs w:val="0"/>
                      <w:snapToGrid w:val="0"/>
                      <w:color w:val="000000"/>
                      <w:kern w:val="0"/>
                      <w:sz w:val="21"/>
                      <w:szCs w:val="21"/>
                      <w:u w:val="none"/>
                      <w:lang w:val="en-US" w:eastAsia="zh-CN" w:bidi="ar"/>
                    </w:rPr>
                    <w:t>1836.077</w:t>
                  </w:r>
                </w:p>
              </w:tc>
            </w:tr>
            <w:tr w14:paraId="6C852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0084DCBF">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粘土</w:t>
                  </w:r>
                </w:p>
              </w:tc>
              <w:tc>
                <w:tcPr>
                  <w:tcW w:w="869" w:type="pct"/>
                  <w:tcBorders>
                    <w:tl2br w:val="nil"/>
                    <w:tr2bl w:val="nil"/>
                  </w:tcBorders>
                  <w:shd w:val="clear" w:color="auto" w:fill="auto"/>
                  <w:noWrap w:val="0"/>
                  <w:tcMar>
                    <w:top w:w="0" w:type="dxa"/>
                    <w:left w:w="108" w:type="dxa"/>
                    <w:bottom w:w="0" w:type="dxa"/>
                    <w:right w:w="108" w:type="dxa"/>
                  </w:tcMar>
                  <w:vAlign w:val="center"/>
                </w:tcPr>
                <w:p w14:paraId="61FBFAFA">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120000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472D9A5A">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1.20</w:t>
                  </w:r>
                </w:p>
              </w:tc>
              <w:tc>
                <w:tcPr>
                  <w:tcW w:w="886" w:type="pct"/>
                  <w:tcBorders>
                    <w:tl2br w:val="nil"/>
                    <w:tr2bl w:val="nil"/>
                  </w:tcBorders>
                  <w:noWrap w:val="0"/>
                  <w:tcMar>
                    <w:top w:w="0" w:type="dxa"/>
                    <w:left w:w="108" w:type="dxa"/>
                    <w:bottom w:w="0" w:type="dxa"/>
                    <w:right w:w="108" w:type="dxa"/>
                  </w:tcMar>
                  <w:vAlign w:val="center"/>
                </w:tcPr>
                <w:p w14:paraId="76C9B9F0">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窑尾废气</w:t>
                  </w:r>
                </w:p>
              </w:tc>
              <w:tc>
                <w:tcPr>
                  <w:tcW w:w="916" w:type="pct"/>
                  <w:tcBorders>
                    <w:tl2br w:val="nil"/>
                    <w:tr2bl w:val="nil"/>
                  </w:tcBorders>
                  <w:shd w:val="clear" w:color="auto" w:fill="auto"/>
                  <w:noWrap w:val="0"/>
                  <w:tcMar>
                    <w:top w:w="0" w:type="dxa"/>
                    <w:left w:w="108" w:type="dxa"/>
                    <w:bottom w:w="0" w:type="dxa"/>
                    <w:right w:w="108" w:type="dxa"/>
                  </w:tcMar>
                  <w:vAlign w:val="center"/>
                </w:tcPr>
                <w:p w14:paraId="689347A3">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cs="Times New Roman"/>
                      <w:i w:val="0"/>
                      <w:iCs w:val="0"/>
                      <w:snapToGrid w:val="0"/>
                      <w:color w:val="000000"/>
                      <w:kern w:val="0"/>
                      <w:sz w:val="21"/>
                      <w:szCs w:val="21"/>
                      <w:u w:val="none"/>
                      <w:lang w:val="en-US" w:eastAsia="zh-CN" w:bidi="ar"/>
                    </w:rPr>
                    <w:t>18.752</w:t>
                  </w:r>
                </w:p>
              </w:tc>
            </w:tr>
            <w:tr w14:paraId="0EE63E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shd w:val="clear" w:color="auto" w:fill="auto"/>
                  <w:noWrap w:val="0"/>
                  <w:tcMar>
                    <w:top w:w="0" w:type="dxa"/>
                    <w:left w:w="108" w:type="dxa"/>
                    <w:bottom w:w="0" w:type="dxa"/>
                    <w:right w:w="108" w:type="dxa"/>
                  </w:tcMar>
                  <w:vAlign w:val="center"/>
                </w:tcPr>
                <w:p w14:paraId="102E4CF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本项目替代原料</w:t>
                  </w:r>
                </w:p>
              </w:tc>
              <w:tc>
                <w:tcPr>
                  <w:tcW w:w="869" w:type="pct"/>
                  <w:tcBorders>
                    <w:tl2br w:val="nil"/>
                    <w:tr2bl w:val="nil"/>
                  </w:tcBorders>
                  <w:shd w:val="clear" w:color="auto" w:fill="auto"/>
                  <w:noWrap w:val="0"/>
                  <w:tcMar>
                    <w:top w:w="0" w:type="dxa"/>
                    <w:left w:w="108" w:type="dxa"/>
                    <w:bottom w:w="0" w:type="dxa"/>
                    <w:right w:w="108" w:type="dxa"/>
                  </w:tcMar>
                  <w:vAlign w:val="center"/>
                </w:tcPr>
                <w:p w14:paraId="68622C72">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275000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7E416781">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175.11</w:t>
                  </w:r>
                </w:p>
              </w:tc>
              <w:tc>
                <w:tcPr>
                  <w:tcW w:w="1802" w:type="pct"/>
                  <w:gridSpan w:val="2"/>
                  <w:vMerge w:val="restart"/>
                  <w:tcBorders>
                    <w:tl2br w:val="nil"/>
                    <w:tr2bl w:val="nil"/>
                  </w:tcBorders>
                  <w:noWrap w:val="0"/>
                  <w:tcMar>
                    <w:top w:w="0" w:type="dxa"/>
                    <w:left w:w="108" w:type="dxa"/>
                    <w:bottom w:w="0" w:type="dxa"/>
                    <w:right w:w="108" w:type="dxa"/>
                  </w:tcMar>
                  <w:vAlign w:val="center"/>
                </w:tcPr>
                <w:p w14:paraId="08170117">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4E3D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12EA8BB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煤</w:t>
                  </w:r>
                </w:p>
              </w:tc>
              <w:tc>
                <w:tcPr>
                  <w:tcW w:w="869" w:type="pct"/>
                  <w:tcBorders>
                    <w:tl2br w:val="nil"/>
                    <w:tr2bl w:val="nil"/>
                  </w:tcBorders>
                  <w:shd w:val="clear" w:color="auto" w:fill="auto"/>
                  <w:noWrap w:val="0"/>
                  <w:tcMar>
                    <w:top w:w="0" w:type="dxa"/>
                    <w:left w:w="108" w:type="dxa"/>
                    <w:bottom w:w="0" w:type="dxa"/>
                    <w:right w:w="108" w:type="dxa"/>
                  </w:tcMar>
                  <w:vAlign w:val="center"/>
                </w:tcPr>
                <w:p w14:paraId="6367DF71">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169058</w:t>
                  </w:r>
                </w:p>
              </w:tc>
              <w:tc>
                <w:tcPr>
                  <w:tcW w:w="962" w:type="pct"/>
                  <w:tcBorders>
                    <w:tl2br w:val="nil"/>
                    <w:tr2bl w:val="nil"/>
                  </w:tcBorders>
                  <w:shd w:val="clear" w:color="auto" w:fill="auto"/>
                  <w:noWrap w:val="0"/>
                  <w:tcMar>
                    <w:top w:w="0" w:type="dxa"/>
                    <w:left w:w="108" w:type="dxa"/>
                    <w:bottom w:w="0" w:type="dxa"/>
                    <w:right w:w="108" w:type="dxa"/>
                  </w:tcMar>
                  <w:vAlign w:val="center"/>
                </w:tcPr>
                <w:p w14:paraId="656E4F3F">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726.95</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0B4EDBA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04280B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362034D0">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RDF</w:t>
                  </w:r>
                </w:p>
              </w:tc>
              <w:tc>
                <w:tcPr>
                  <w:tcW w:w="869" w:type="pct"/>
                  <w:tcBorders>
                    <w:tl2br w:val="nil"/>
                    <w:tr2bl w:val="nil"/>
                  </w:tcBorders>
                  <w:shd w:val="clear" w:color="auto" w:fill="auto"/>
                  <w:noWrap w:val="0"/>
                  <w:tcMar>
                    <w:top w:w="0" w:type="dxa"/>
                    <w:left w:w="108" w:type="dxa"/>
                    <w:bottom w:w="0" w:type="dxa"/>
                    <w:right w:w="108" w:type="dxa"/>
                  </w:tcMar>
                  <w:vAlign w:val="center"/>
                </w:tcPr>
                <w:p w14:paraId="3D1E4EDD">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35000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35EDDD1F">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75.60</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2CB1F2C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7A61D2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76444534">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本项目替代燃料</w:t>
                  </w:r>
                </w:p>
              </w:tc>
              <w:tc>
                <w:tcPr>
                  <w:tcW w:w="869" w:type="pct"/>
                  <w:tcBorders>
                    <w:tl2br w:val="nil"/>
                    <w:tr2bl w:val="nil"/>
                  </w:tcBorders>
                  <w:shd w:val="clear" w:color="auto" w:fill="auto"/>
                  <w:noWrap w:val="0"/>
                  <w:tcMar>
                    <w:top w:w="0" w:type="dxa"/>
                    <w:left w:w="108" w:type="dxa"/>
                    <w:bottom w:w="0" w:type="dxa"/>
                    <w:right w:w="108" w:type="dxa"/>
                  </w:tcMar>
                  <w:vAlign w:val="center"/>
                </w:tcPr>
                <w:p w14:paraId="2E8318FB">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35000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60032378">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297.17</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3AC351D5">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14E01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65" w:type="pct"/>
                  <w:tcBorders>
                    <w:tl2br w:val="nil"/>
                    <w:tr2bl w:val="nil"/>
                  </w:tcBorders>
                  <w:noWrap w:val="0"/>
                  <w:tcMar>
                    <w:top w:w="0" w:type="dxa"/>
                    <w:left w:w="108" w:type="dxa"/>
                    <w:bottom w:w="0" w:type="dxa"/>
                    <w:right w:w="108" w:type="dxa"/>
                  </w:tcMar>
                  <w:vAlign w:val="center"/>
                </w:tcPr>
                <w:p w14:paraId="01E9619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其他协同处置</w:t>
                  </w:r>
                  <w:r>
                    <w:rPr>
                      <w:rFonts w:hint="default" w:ascii="Times New Roman" w:hAnsi="Times New Roman" w:cs="Times New Roman"/>
                      <w:color w:val="auto"/>
                      <w:sz w:val="21"/>
                      <w:szCs w:val="21"/>
                      <w:lang w:val="en-US" w:eastAsia="zh-CN"/>
                    </w:rPr>
                    <w:t>危险废物及一般固废</w:t>
                  </w:r>
                </w:p>
              </w:tc>
              <w:tc>
                <w:tcPr>
                  <w:tcW w:w="869" w:type="pct"/>
                  <w:tcBorders>
                    <w:tl2br w:val="nil"/>
                    <w:tr2bl w:val="nil"/>
                  </w:tcBorders>
                  <w:shd w:val="clear" w:color="auto" w:fill="auto"/>
                  <w:noWrap w:val="0"/>
                  <w:tcMar>
                    <w:top w:w="0" w:type="dxa"/>
                    <w:left w:w="108" w:type="dxa"/>
                    <w:bottom w:w="0" w:type="dxa"/>
                    <w:right w:w="108" w:type="dxa"/>
                  </w:tcMar>
                  <w:vAlign w:val="center"/>
                </w:tcPr>
                <w:p w14:paraId="12F9EE8F">
                  <w:pPr>
                    <w:keepNext w:val="0"/>
                    <w:keepLines w:val="0"/>
                    <w:pageBreakBefore w:val="0"/>
                    <w:widowControl/>
                    <w:kinsoku/>
                    <w:wordWrap/>
                    <w:topLinePunct w:val="0"/>
                    <w:autoSpaceDE/>
                    <w:autoSpaceDN/>
                    <w:bidi w:val="0"/>
                    <w:adjustRightInd w:val="0"/>
                    <w:snapToGrid w:val="0"/>
                    <w:spacing w:line="240" w:lineRule="auto"/>
                    <w:jc w:val="center"/>
                    <w:rPr>
                      <w:rFonts w:hint="default" w:cs="Times New Roman"/>
                      <w:color w:val="auto"/>
                      <w:sz w:val="21"/>
                      <w:szCs w:val="21"/>
                      <w:lang w:val="en-US" w:eastAsia="zh-CN"/>
                    </w:rPr>
                  </w:pPr>
                  <w:r>
                    <w:rPr>
                      <w:rFonts w:hint="default" w:cs="Times New Roman"/>
                      <w:color w:val="auto"/>
                      <w:sz w:val="21"/>
                      <w:szCs w:val="21"/>
                      <w:lang w:val="en-US" w:eastAsia="zh-CN"/>
                    </w:rPr>
                    <w:t>200000</w:t>
                  </w:r>
                </w:p>
              </w:tc>
              <w:tc>
                <w:tcPr>
                  <w:tcW w:w="962" w:type="pct"/>
                  <w:tcBorders>
                    <w:tl2br w:val="nil"/>
                    <w:tr2bl w:val="nil"/>
                  </w:tcBorders>
                  <w:shd w:val="clear" w:color="auto" w:fill="auto"/>
                  <w:noWrap w:val="0"/>
                  <w:tcMar>
                    <w:top w:w="0" w:type="dxa"/>
                    <w:left w:w="108" w:type="dxa"/>
                    <w:bottom w:w="0" w:type="dxa"/>
                    <w:right w:w="108" w:type="dxa"/>
                  </w:tcMar>
                  <w:vAlign w:val="center"/>
                </w:tcPr>
                <w:p w14:paraId="59497D12">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560.00</w:t>
                  </w:r>
                </w:p>
              </w:tc>
              <w:tc>
                <w:tcPr>
                  <w:tcW w:w="1802" w:type="pct"/>
                  <w:gridSpan w:val="2"/>
                  <w:vMerge w:val="continue"/>
                  <w:tcBorders>
                    <w:tl2br w:val="nil"/>
                    <w:tr2bl w:val="nil"/>
                  </w:tcBorders>
                  <w:noWrap w:val="0"/>
                  <w:tcMar>
                    <w:top w:w="0" w:type="dxa"/>
                    <w:left w:w="108" w:type="dxa"/>
                    <w:bottom w:w="0" w:type="dxa"/>
                    <w:right w:w="108" w:type="dxa"/>
                  </w:tcMar>
                  <w:vAlign w:val="center"/>
                </w:tcPr>
                <w:p w14:paraId="28D8DEB2">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p>
              </w:tc>
            </w:tr>
            <w:tr w14:paraId="40603F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234" w:type="pct"/>
                  <w:gridSpan w:val="2"/>
                  <w:tcBorders>
                    <w:tl2br w:val="nil"/>
                    <w:tr2bl w:val="nil"/>
                  </w:tcBorders>
                  <w:noWrap w:val="0"/>
                  <w:tcMar>
                    <w:top w:w="0" w:type="dxa"/>
                    <w:left w:w="108" w:type="dxa"/>
                    <w:bottom w:w="0" w:type="dxa"/>
                    <w:right w:w="108" w:type="dxa"/>
                  </w:tcMar>
                  <w:vAlign w:val="center"/>
                </w:tcPr>
                <w:p w14:paraId="781F3EFC">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合计</w:t>
                  </w:r>
                </w:p>
              </w:tc>
              <w:tc>
                <w:tcPr>
                  <w:tcW w:w="962" w:type="pct"/>
                  <w:tcBorders>
                    <w:tl2br w:val="nil"/>
                    <w:tr2bl w:val="nil"/>
                  </w:tcBorders>
                  <w:noWrap w:val="0"/>
                  <w:tcMar>
                    <w:top w:w="0" w:type="dxa"/>
                    <w:left w:w="108" w:type="dxa"/>
                    <w:bottom w:w="0" w:type="dxa"/>
                    <w:right w:w="108" w:type="dxa"/>
                  </w:tcMar>
                  <w:vAlign w:val="center"/>
                </w:tcPr>
                <w:p w14:paraId="20E4CE89">
                  <w:pPr>
                    <w:pStyle w:val="46"/>
                    <w:keepNext w:val="0"/>
                    <w:keepLines w:val="0"/>
                    <w:pageBreakBefore w:val="0"/>
                    <w:kinsoku/>
                    <w:wordWrap/>
                    <w:topLinePunct w:val="0"/>
                    <w:autoSpaceDE/>
                    <w:autoSpaceDN/>
                    <w:bidi w:val="0"/>
                    <w:snapToGrid w:val="0"/>
                    <w:spacing w:beforeLines="0" w:afterLines="0" w:line="240" w:lineRule="auto"/>
                    <w:rPr>
                      <w:rFonts w:hint="default" w:cs="Times New Roman"/>
                      <w:color w:val="auto"/>
                      <w:sz w:val="21"/>
                      <w:szCs w:val="21"/>
                      <w:lang w:val="en-US" w:eastAsia="zh-CN"/>
                    </w:rPr>
                  </w:pPr>
                  <w:r>
                    <w:rPr>
                      <w:rFonts w:hint="eastAsia" w:cs="Times New Roman"/>
                      <w:color w:val="auto"/>
                      <w:sz w:val="21"/>
                      <w:szCs w:val="21"/>
                      <w:lang w:val="en-US" w:eastAsia="zh-CN"/>
                    </w:rPr>
                    <w:t>1854.829</w:t>
                  </w:r>
                </w:p>
              </w:tc>
              <w:tc>
                <w:tcPr>
                  <w:tcW w:w="886" w:type="pct"/>
                  <w:tcBorders>
                    <w:tl2br w:val="nil"/>
                    <w:tr2bl w:val="nil"/>
                  </w:tcBorders>
                  <w:shd w:val="clear" w:color="auto" w:fill="auto"/>
                  <w:noWrap w:val="0"/>
                  <w:tcMar>
                    <w:top w:w="0" w:type="dxa"/>
                    <w:left w:w="108" w:type="dxa"/>
                    <w:bottom w:w="0" w:type="dxa"/>
                    <w:right w:w="108" w:type="dxa"/>
                  </w:tcMar>
                  <w:vAlign w:val="center"/>
                </w:tcPr>
                <w:p w14:paraId="5770DB39">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916" w:type="pct"/>
                  <w:tcBorders>
                    <w:tl2br w:val="nil"/>
                    <w:tr2bl w:val="nil"/>
                  </w:tcBorders>
                  <w:shd w:val="clear" w:color="auto" w:fill="auto"/>
                  <w:noWrap w:val="0"/>
                  <w:tcMar>
                    <w:top w:w="0" w:type="dxa"/>
                    <w:left w:w="108" w:type="dxa"/>
                    <w:bottom w:w="0" w:type="dxa"/>
                    <w:right w:w="108" w:type="dxa"/>
                  </w:tcMar>
                  <w:vAlign w:val="center"/>
                </w:tcPr>
                <w:p w14:paraId="0797A6E6">
                  <w:pPr>
                    <w:pStyle w:val="46"/>
                    <w:keepNext w:val="0"/>
                    <w:keepLines w:val="0"/>
                    <w:pageBreakBefore w:val="0"/>
                    <w:kinsoku/>
                    <w:wordWrap/>
                    <w:topLinePunct w:val="0"/>
                    <w:autoSpaceDE/>
                    <w:autoSpaceDN/>
                    <w:bidi w:val="0"/>
                    <w:snapToGrid w:val="0"/>
                    <w:spacing w:beforeLines="0" w:afterLines="0" w:line="240" w:lineRule="auto"/>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Times New Roman" w:hAnsi="Times New Roman" w:eastAsia="宋体" w:cs="Times New Roman"/>
                      <w:i w:val="0"/>
                      <w:iCs w:val="0"/>
                      <w:snapToGrid w:val="0"/>
                      <w:color w:val="000000"/>
                      <w:kern w:val="0"/>
                      <w:sz w:val="21"/>
                      <w:szCs w:val="21"/>
                      <w:u w:val="none"/>
                      <w:lang w:val="en-US" w:eastAsia="zh-CN" w:bidi="ar"/>
                    </w:rPr>
                    <w:t xml:space="preserve"> </w:t>
                  </w:r>
                  <w:r>
                    <w:rPr>
                      <w:rFonts w:hint="eastAsia" w:cs="Times New Roman"/>
                      <w:color w:val="auto"/>
                      <w:sz w:val="21"/>
                      <w:szCs w:val="21"/>
                      <w:lang w:val="en-US" w:eastAsia="zh-CN"/>
                    </w:rPr>
                    <w:t>1854.829</w:t>
                  </w:r>
                </w:p>
              </w:tc>
            </w:tr>
          </w:tbl>
          <w:p w14:paraId="16AC1D63">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lang w:val="en-US" w:eastAsia="zh-CN"/>
              </w:rPr>
              <w:t>八</w:t>
            </w:r>
            <w:r>
              <w:rPr>
                <w:rFonts w:hint="default" w:ascii="Times New Roman" w:hAnsi="Times New Roman" w:eastAsia="宋体" w:cs="Times New Roman"/>
                <w:b/>
                <w:bCs w:val="0"/>
                <w:color w:val="auto"/>
              </w:rPr>
              <w:t>、工作制度及劳动定员</w:t>
            </w:r>
          </w:p>
          <w:p w14:paraId="16E40A6D">
            <w:pPr>
              <w:tabs>
                <w:tab w:val="left" w:pos="360"/>
              </w:tabs>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不</w:t>
            </w:r>
            <w:r>
              <w:rPr>
                <w:rFonts w:hint="default" w:ascii="Times New Roman" w:hAnsi="Times New Roman" w:cs="Times New Roman"/>
                <w:color w:val="auto"/>
              </w:rPr>
              <w:t>新增劳动定员，</w:t>
            </w:r>
            <w:r>
              <w:rPr>
                <w:rFonts w:hint="default" w:ascii="Times New Roman" w:hAnsi="Times New Roman" w:cs="Times New Roman"/>
                <w:color w:val="auto"/>
                <w:lang w:val="en-US" w:eastAsia="zh-CN"/>
              </w:rPr>
              <w:t>从现有工作人员中调配。</w:t>
            </w:r>
            <w:r>
              <w:rPr>
                <w:rFonts w:hint="default" w:ascii="Times New Roman" w:hAnsi="Times New Roman" w:cs="Times New Roman"/>
                <w:bCs/>
                <w:color w:val="auto"/>
              </w:rPr>
              <w:t>年工作时</w:t>
            </w:r>
            <w:r>
              <w:rPr>
                <w:rFonts w:hint="default" w:ascii="Times New Roman" w:hAnsi="Times New Roman" w:cs="Times New Roman"/>
                <w:bCs/>
                <w:color w:val="auto"/>
                <w:highlight w:val="none"/>
              </w:rPr>
              <w:t>间</w:t>
            </w:r>
            <w:r>
              <w:rPr>
                <w:rFonts w:hint="default" w:ascii="Times New Roman" w:hAnsi="Times New Roman" w:cs="Times New Roman"/>
                <w:bCs/>
                <w:color w:val="auto"/>
                <w:highlight w:val="none"/>
                <w:lang w:val="en-US" w:eastAsia="zh-CN"/>
              </w:rPr>
              <w:t>330</w:t>
            </w:r>
            <w:r>
              <w:rPr>
                <w:rFonts w:hint="default" w:ascii="Times New Roman" w:hAnsi="Times New Roman" w:cs="Times New Roman"/>
                <w:bCs/>
                <w:color w:val="auto"/>
                <w:highlight w:val="none"/>
              </w:rPr>
              <w:t>天</w:t>
            </w:r>
            <w:r>
              <w:rPr>
                <w:rFonts w:hint="default" w:ascii="Times New Roman" w:hAnsi="Times New Roman" w:cs="Times New Roman"/>
                <w:bCs/>
                <w:color w:val="auto"/>
              </w:rPr>
              <w:t>，</w:t>
            </w:r>
            <w:r>
              <w:rPr>
                <w:rFonts w:hint="default" w:ascii="Times New Roman" w:hAnsi="Times New Roman" w:cs="Times New Roman"/>
                <w:bCs/>
                <w:color w:val="auto"/>
                <w:lang w:val="en-US" w:eastAsia="zh-CN"/>
              </w:rPr>
              <w:t>三</w:t>
            </w:r>
            <w:r>
              <w:rPr>
                <w:rFonts w:hint="default" w:ascii="Times New Roman" w:hAnsi="Times New Roman" w:cs="Times New Roman"/>
                <w:bCs/>
                <w:color w:val="auto"/>
              </w:rPr>
              <w:t>班制，每班工作8小时</w:t>
            </w:r>
            <w:r>
              <w:rPr>
                <w:rFonts w:hint="default" w:ascii="Times New Roman" w:hAnsi="Times New Roman" w:cs="Times New Roman"/>
                <w:color w:val="auto"/>
              </w:rPr>
              <w:t>。</w:t>
            </w:r>
          </w:p>
          <w:p w14:paraId="2E2645FE">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九</w:t>
            </w:r>
            <w:r>
              <w:rPr>
                <w:rFonts w:hint="default" w:ascii="Times New Roman" w:hAnsi="Times New Roman" w:eastAsia="宋体" w:cs="Times New Roman"/>
                <w:b/>
                <w:bCs w:val="0"/>
                <w:color w:val="auto"/>
                <w:lang w:val="en-US" w:eastAsia="zh-CN"/>
              </w:rPr>
              <w:t>、平面布置</w:t>
            </w:r>
          </w:p>
          <w:p w14:paraId="44C689B7">
            <w:pPr>
              <w:bidi w:val="0"/>
              <w:ind w:firstLine="480" w:firstLineChars="200"/>
              <w:rPr>
                <w:rFonts w:hint="default" w:ascii="Times New Roman" w:hAnsi="Times New Roman" w:cs="Times New Roman"/>
                <w:color w:val="auto"/>
                <w:lang w:eastAsia="zh-CN"/>
              </w:rPr>
            </w:pPr>
            <w:r>
              <w:rPr>
                <w:rFonts w:hint="default" w:ascii="Times New Roman" w:hAnsi="Times New Roman" w:cs="Times New Roman"/>
                <w:color w:val="auto"/>
              </w:rPr>
              <w:t>济宁海螺水泥有限责任公司厂区共分为五个大区域：原料区域，主生产区域，水泥粉磨及发运区域，厂前区域，辅助生产区域</w:t>
            </w:r>
            <w:r>
              <w:rPr>
                <w:rFonts w:hint="default" w:ascii="Times New Roman" w:hAnsi="Times New Roman" w:cs="Times New Roman"/>
                <w:color w:val="auto"/>
                <w:lang w:eastAsia="zh-CN"/>
              </w:rPr>
              <w:t>。</w:t>
            </w:r>
          </w:p>
          <w:p w14:paraId="74A81B96">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济宁海螺环保科技有限责任公司位于</w:t>
            </w:r>
            <w:r>
              <w:rPr>
                <w:rFonts w:hint="default" w:ascii="Times New Roman" w:hAnsi="Times New Roman" w:cs="Times New Roman"/>
                <w:color w:val="auto"/>
              </w:rPr>
              <w:t>济宁海螺水泥有限责任公司</w:t>
            </w:r>
            <w:r>
              <w:rPr>
                <w:rFonts w:hint="default" w:ascii="Times New Roman" w:hAnsi="Times New Roman" w:cs="Times New Roman"/>
                <w:color w:val="auto"/>
                <w:lang w:val="en-US" w:eastAsia="zh-CN"/>
              </w:rPr>
              <w:t>厂区内，现有</w:t>
            </w:r>
            <w:r>
              <w:rPr>
                <w:rFonts w:hint="eastAsia" w:cs="Times New Roman"/>
                <w:color w:val="auto"/>
                <w:u w:val="none" w:color="FF0000"/>
                <w:lang w:val="en-US" w:eastAsia="zh-CN"/>
              </w:rPr>
              <w:t>2</w:t>
            </w:r>
            <w:r>
              <w:rPr>
                <w:rFonts w:hint="default" w:ascii="Times New Roman" w:hAnsi="Times New Roman" w:cs="Times New Roman"/>
                <w:color w:val="auto"/>
                <w:u w:val="none" w:color="FF0000"/>
              </w:rPr>
              <w:t>座固废存储及输送车间、</w:t>
            </w:r>
            <w:r>
              <w:rPr>
                <w:rFonts w:hint="eastAsia" w:cs="Times New Roman"/>
                <w:color w:val="auto"/>
                <w:u w:val="none" w:color="FF0000"/>
                <w:lang w:val="en-US" w:eastAsia="zh-CN"/>
              </w:rPr>
              <w:t>1</w:t>
            </w:r>
            <w:r>
              <w:rPr>
                <w:rFonts w:hint="default" w:ascii="Times New Roman" w:hAnsi="Times New Roman" w:cs="Times New Roman"/>
                <w:color w:val="auto"/>
                <w:u w:val="none" w:color="FF0000"/>
                <w:lang w:val="en-US" w:eastAsia="zh-CN"/>
              </w:rPr>
              <w:t>座危废暂</w:t>
            </w:r>
            <w:r>
              <w:rPr>
                <w:rFonts w:hint="eastAsia" w:cs="Times New Roman"/>
                <w:color w:val="auto"/>
                <w:u w:val="none" w:color="FF0000"/>
                <w:lang w:val="en-US" w:eastAsia="zh-CN"/>
              </w:rPr>
              <w:t>存</w:t>
            </w:r>
            <w:r>
              <w:rPr>
                <w:rFonts w:hint="default" w:ascii="Times New Roman" w:hAnsi="Times New Roman" w:cs="Times New Roman"/>
                <w:color w:val="auto"/>
                <w:u w:val="none" w:color="FF0000"/>
                <w:lang w:val="en-US" w:eastAsia="zh-CN"/>
              </w:rPr>
              <w:t>库、</w:t>
            </w:r>
            <w:r>
              <w:rPr>
                <w:rFonts w:hint="default" w:ascii="Times New Roman" w:hAnsi="Times New Roman" w:cs="Times New Roman"/>
                <w:color w:val="auto"/>
                <w:u w:val="none" w:color="FF0000"/>
              </w:rPr>
              <w:t>1座废液暂存车间、1座无机污泥储存及输送车间及停车场等辅助工程。</w:t>
            </w:r>
          </w:p>
          <w:p w14:paraId="5F408A76">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本项目依托现有的</w:t>
            </w:r>
            <w:r>
              <w:rPr>
                <w:rFonts w:hint="eastAsia" w:cs="Times New Roman"/>
                <w:color w:val="auto"/>
                <w:lang w:val="en-US" w:eastAsia="zh-CN"/>
              </w:rPr>
              <w:t>联合储库、辅材堆棚、海螺环保固废暂存间II及</w:t>
            </w:r>
            <w:r>
              <w:rPr>
                <w:rFonts w:hint="default" w:ascii="Times New Roman" w:hAnsi="Times New Roman" w:cs="Times New Roman"/>
                <w:color w:val="auto"/>
              </w:rPr>
              <w:t>1条4500t/d水泥熟料生产装置</w:t>
            </w:r>
            <w:r>
              <w:rPr>
                <w:rFonts w:hint="eastAsia" w:cs="Times New Roman"/>
                <w:color w:val="auto"/>
                <w:lang w:eastAsia="zh-CN"/>
              </w:rPr>
              <w:t>，</w:t>
            </w:r>
            <w:r>
              <w:rPr>
                <w:rFonts w:hint="eastAsia" w:cs="Times New Roman"/>
                <w:color w:val="auto"/>
                <w:lang w:val="en-US" w:eastAsia="zh-CN"/>
              </w:rPr>
              <w:t>不改变</w:t>
            </w:r>
            <w:r>
              <w:rPr>
                <w:rFonts w:hint="default" w:ascii="Times New Roman" w:hAnsi="Times New Roman" w:cs="Times New Roman"/>
                <w:color w:val="auto"/>
                <w:lang w:eastAsia="zh-CN"/>
              </w:rPr>
              <w:t>现有厂区的总平面布置。</w:t>
            </w:r>
          </w:p>
          <w:p w14:paraId="1DD31AF7">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项目平面布置充分考虑了生产工艺和公用设施的要求，各环节连接紧凑，便于节能降耗，提高生产效率，同时考虑了厂区内生产、办公环境，也兼顾了厂区外附近环境情况。从方便生产、安全管理、保护环境角度考虑，布局合理</w:t>
            </w:r>
            <w:r>
              <w:rPr>
                <w:rFonts w:hint="default" w:ascii="Times New Roman" w:hAnsi="Times New Roman" w:cs="Times New Roman"/>
                <w:color w:val="auto"/>
                <w:lang w:eastAsia="zh-CN"/>
              </w:rPr>
              <w:t>。</w:t>
            </w:r>
            <w:r>
              <w:rPr>
                <w:rFonts w:hint="default" w:ascii="Times New Roman" w:hAnsi="Times New Roman" w:cs="Times New Roman"/>
                <w:color w:val="auto"/>
              </w:rPr>
              <w:t>本项目</w:t>
            </w:r>
            <w:r>
              <w:rPr>
                <w:rFonts w:hint="default" w:ascii="Times New Roman" w:hAnsi="Times New Roman" w:cs="Times New Roman"/>
                <w:color w:val="auto"/>
                <w:lang w:val="en-US" w:eastAsia="zh-CN"/>
              </w:rPr>
              <w:t>厂区</w:t>
            </w:r>
            <w:r>
              <w:rPr>
                <w:rFonts w:hint="default" w:ascii="Times New Roman" w:hAnsi="Times New Roman" w:cs="Times New Roman"/>
                <w:color w:val="auto"/>
              </w:rPr>
              <w:t>平面布置见附图</w:t>
            </w:r>
            <w:r>
              <w:rPr>
                <w:rFonts w:hint="eastAsia" w:cs="Times New Roman"/>
                <w:color w:val="auto"/>
                <w:lang w:val="en-US" w:eastAsia="zh-CN"/>
              </w:rPr>
              <w:t>4</w:t>
            </w:r>
            <w:r>
              <w:rPr>
                <w:rFonts w:hint="default" w:ascii="Times New Roman" w:hAnsi="Times New Roman" w:cs="Times New Roman"/>
                <w:color w:val="auto"/>
              </w:rPr>
              <w:t>。</w:t>
            </w:r>
          </w:p>
          <w:p w14:paraId="5C6307C8">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十</w:t>
            </w:r>
            <w:r>
              <w:rPr>
                <w:rFonts w:hint="default" w:ascii="Times New Roman" w:hAnsi="Times New Roman" w:eastAsia="宋体" w:cs="Times New Roman"/>
                <w:b/>
                <w:bCs w:val="0"/>
                <w:color w:val="auto"/>
                <w:lang w:val="en-US" w:eastAsia="zh-CN"/>
              </w:rPr>
              <w:t>、公用工程</w:t>
            </w:r>
          </w:p>
          <w:p w14:paraId="720CCCE1">
            <w:pPr>
              <w:adjustRightInd w:val="0"/>
              <w:snapToGrid w:val="0"/>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1、给</w:t>
            </w:r>
            <w:r>
              <w:rPr>
                <w:rFonts w:hint="eastAsia" w:cs="Times New Roman"/>
                <w:color w:val="auto"/>
                <w:szCs w:val="24"/>
                <w:lang w:val="en-US" w:eastAsia="zh-CN"/>
              </w:rPr>
              <w:t>排</w:t>
            </w:r>
            <w:r>
              <w:rPr>
                <w:rFonts w:hint="default" w:ascii="Times New Roman" w:hAnsi="Times New Roman" w:cs="Times New Roman"/>
                <w:color w:val="auto"/>
                <w:szCs w:val="24"/>
              </w:rPr>
              <w:t>水</w:t>
            </w:r>
          </w:p>
          <w:p w14:paraId="1CD4291A">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szCs w:val="24"/>
                <w:lang w:val="en-US" w:eastAsia="zh-CN"/>
              </w:rPr>
              <w:t>项目不新增劳动定员，不新增生活污水</w:t>
            </w:r>
            <w:r>
              <w:rPr>
                <w:rFonts w:hint="eastAsia" w:cs="Times New Roman"/>
                <w:color w:val="auto"/>
                <w:szCs w:val="24"/>
                <w:lang w:val="en-US" w:eastAsia="zh-CN"/>
              </w:rPr>
              <w:t>，技改生产环节不新增生产用水，因此本项目无新增用水及排水。</w:t>
            </w:r>
          </w:p>
          <w:p w14:paraId="353384FB">
            <w:pPr>
              <w:numPr>
                <w:ilvl w:val="0"/>
                <w:numId w:val="5"/>
              </w:numPr>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供电</w:t>
            </w:r>
          </w:p>
          <w:p w14:paraId="26E67495">
            <w:pPr>
              <w:numPr>
                <w:ilvl w:val="0"/>
                <w:numId w:val="0"/>
              </w:numPr>
              <w:ind w:firstLine="480" w:firstLineChars="200"/>
              <w:rPr>
                <w:rFonts w:hint="default" w:ascii="Times New Roman" w:hAnsi="Times New Roman" w:eastAsia="宋体" w:cs="Times New Roman"/>
                <w:color w:val="auto"/>
                <w:szCs w:val="24"/>
                <w:lang w:val="en-US" w:eastAsia="zh-CN"/>
              </w:rPr>
            </w:pPr>
            <w:r>
              <w:rPr>
                <w:rFonts w:hint="eastAsia" w:cs="Times New Roman"/>
                <w:color w:val="auto"/>
                <w:szCs w:val="24"/>
                <w:lang w:val="en-US" w:eastAsia="zh-CN"/>
              </w:rPr>
              <w:t>项目用电依托厂区现有供电设施，能够满足用电需求。</w:t>
            </w:r>
          </w:p>
          <w:p w14:paraId="358CC43A">
            <w:pPr>
              <w:numPr>
                <w:ilvl w:val="0"/>
                <w:numId w:val="5"/>
              </w:numPr>
              <w:ind w:firstLine="480" w:firstLineChars="200"/>
              <w:rPr>
                <w:rFonts w:hint="default" w:ascii="Times New Roman" w:hAnsi="Times New Roman" w:cs="Times New Roman"/>
                <w:color w:val="auto"/>
                <w:szCs w:val="24"/>
              </w:rPr>
            </w:pPr>
            <w:r>
              <w:rPr>
                <w:rFonts w:hint="eastAsia" w:cs="Times New Roman"/>
                <w:color w:val="auto"/>
                <w:szCs w:val="24"/>
                <w:lang w:val="en-US" w:eastAsia="zh-CN"/>
              </w:rPr>
              <w:t>供热</w:t>
            </w:r>
          </w:p>
          <w:p w14:paraId="6764684E">
            <w:pPr>
              <w:numPr>
                <w:ilvl w:val="0"/>
                <w:numId w:val="0"/>
              </w:numPr>
              <w:ind w:firstLine="480" w:firstLineChars="200"/>
              <w:rPr>
                <w:rFonts w:hint="default" w:ascii="Times New Roman" w:hAnsi="Times New Roman" w:cs="Times New Roman"/>
                <w:color w:val="auto"/>
                <w:szCs w:val="24"/>
              </w:rPr>
            </w:pPr>
            <w:r>
              <w:rPr>
                <w:rFonts w:hint="default" w:ascii="Times New Roman" w:hAnsi="Times New Roman" w:cs="Times New Roman"/>
                <w:color w:val="auto"/>
                <w:sz w:val="24"/>
                <w:szCs w:val="24"/>
              </w:rPr>
              <w:t>项目</w:t>
            </w:r>
            <w:r>
              <w:rPr>
                <w:rFonts w:hint="eastAsia" w:cs="Times New Roman"/>
                <w:color w:val="auto"/>
                <w:sz w:val="24"/>
                <w:szCs w:val="24"/>
                <w:lang w:val="en-US" w:eastAsia="zh-CN"/>
              </w:rPr>
              <w:t>无新增用热</w:t>
            </w:r>
            <w:r>
              <w:rPr>
                <w:rFonts w:hint="default" w:ascii="Times New Roman" w:hAnsi="Times New Roman" w:cs="Times New Roman"/>
                <w:color w:val="auto"/>
                <w:szCs w:val="24"/>
              </w:rPr>
              <w:t>。</w:t>
            </w:r>
          </w:p>
          <w:p w14:paraId="536D3635">
            <w:pPr>
              <w:adjustRightInd w:val="0"/>
              <w:snapToGrid w:val="0"/>
              <w:rPr>
                <w:rFonts w:hint="default" w:ascii="Times New Roman" w:hAnsi="Times New Roman" w:cs="Times New Roman"/>
                <w:color w:val="auto"/>
                <w:kern w:val="0"/>
                <w:lang w:val="en-US" w:eastAsia="zh-CN"/>
              </w:rPr>
            </w:pPr>
          </w:p>
          <w:p w14:paraId="3AD10E5F">
            <w:pPr>
              <w:adjustRightInd w:val="0"/>
              <w:snapToGrid w:val="0"/>
              <w:rPr>
                <w:rFonts w:hint="default" w:ascii="Times New Roman" w:hAnsi="Times New Roman" w:cs="Times New Roman"/>
                <w:color w:val="auto"/>
                <w:kern w:val="0"/>
                <w:lang w:val="en-US" w:eastAsia="zh-CN"/>
              </w:rPr>
            </w:pPr>
          </w:p>
          <w:p w14:paraId="21BE26B5">
            <w:pPr>
              <w:adjustRightInd w:val="0"/>
              <w:snapToGrid w:val="0"/>
              <w:rPr>
                <w:rFonts w:hint="default" w:ascii="Times New Roman" w:hAnsi="Times New Roman" w:cs="Times New Roman"/>
                <w:color w:val="auto"/>
                <w:kern w:val="0"/>
                <w:lang w:val="en-US" w:eastAsia="zh-CN"/>
              </w:rPr>
            </w:pPr>
          </w:p>
          <w:p w14:paraId="352E2876">
            <w:pPr>
              <w:adjustRightInd w:val="0"/>
              <w:snapToGrid w:val="0"/>
              <w:rPr>
                <w:rFonts w:hint="default" w:ascii="Times New Roman" w:hAnsi="Times New Roman" w:cs="Times New Roman"/>
                <w:color w:val="auto"/>
                <w:kern w:val="0"/>
                <w:lang w:val="en-US" w:eastAsia="zh-CN"/>
              </w:rPr>
            </w:pPr>
          </w:p>
          <w:p w14:paraId="24464313">
            <w:pPr>
              <w:adjustRightInd w:val="0"/>
              <w:snapToGrid w:val="0"/>
              <w:rPr>
                <w:rFonts w:hint="default" w:ascii="Times New Roman" w:hAnsi="Times New Roman" w:cs="Times New Roman"/>
                <w:color w:val="auto"/>
                <w:kern w:val="0"/>
                <w:lang w:val="en-US" w:eastAsia="zh-CN"/>
              </w:rPr>
            </w:pPr>
          </w:p>
          <w:p w14:paraId="42CA97FE">
            <w:pPr>
              <w:adjustRightInd w:val="0"/>
              <w:snapToGrid w:val="0"/>
              <w:rPr>
                <w:rFonts w:hint="default" w:ascii="Times New Roman" w:hAnsi="Times New Roman" w:cs="Times New Roman"/>
                <w:color w:val="auto"/>
                <w:kern w:val="0"/>
                <w:lang w:val="en-US" w:eastAsia="zh-CN"/>
              </w:rPr>
            </w:pPr>
          </w:p>
          <w:p w14:paraId="1540B8D1">
            <w:pPr>
              <w:adjustRightInd w:val="0"/>
              <w:snapToGrid w:val="0"/>
              <w:rPr>
                <w:rFonts w:hint="default" w:ascii="Times New Roman" w:hAnsi="Times New Roman" w:cs="Times New Roman"/>
                <w:color w:val="auto"/>
                <w:kern w:val="0"/>
                <w:lang w:val="en-US" w:eastAsia="zh-CN"/>
              </w:rPr>
            </w:pPr>
          </w:p>
          <w:p w14:paraId="4224A2FC">
            <w:pPr>
              <w:adjustRightInd w:val="0"/>
              <w:snapToGrid w:val="0"/>
              <w:rPr>
                <w:rFonts w:hint="default" w:ascii="Times New Roman" w:hAnsi="Times New Roman" w:cs="Times New Roman"/>
                <w:color w:val="auto"/>
                <w:kern w:val="0"/>
                <w:lang w:val="en-US" w:eastAsia="zh-CN"/>
              </w:rPr>
            </w:pPr>
          </w:p>
          <w:p w14:paraId="077FD57A">
            <w:pPr>
              <w:adjustRightInd w:val="0"/>
              <w:snapToGrid w:val="0"/>
              <w:rPr>
                <w:rFonts w:hint="default" w:ascii="Times New Roman" w:hAnsi="Times New Roman" w:cs="Times New Roman"/>
                <w:color w:val="auto"/>
                <w:kern w:val="0"/>
                <w:lang w:val="en-US" w:eastAsia="zh-CN"/>
              </w:rPr>
            </w:pPr>
          </w:p>
          <w:p w14:paraId="65E6956E">
            <w:pPr>
              <w:adjustRightInd w:val="0"/>
              <w:snapToGrid w:val="0"/>
              <w:rPr>
                <w:rFonts w:hint="default" w:ascii="Times New Roman" w:hAnsi="Times New Roman" w:cs="Times New Roman"/>
                <w:color w:val="auto"/>
                <w:kern w:val="0"/>
                <w:lang w:val="en-US" w:eastAsia="zh-CN"/>
              </w:rPr>
            </w:pPr>
          </w:p>
          <w:p w14:paraId="0CAD55EF">
            <w:pPr>
              <w:adjustRightInd w:val="0"/>
              <w:snapToGrid w:val="0"/>
              <w:rPr>
                <w:rFonts w:hint="default" w:ascii="Times New Roman" w:hAnsi="Times New Roman" w:cs="Times New Roman"/>
                <w:color w:val="auto"/>
                <w:kern w:val="0"/>
                <w:lang w:val="en-US" w:eastAsia="zh-CN"/>
              </w:rPr>
            </w:pPr>
          </w:p>
          <w:p w14:paraId="52E81E82">
            <w:pPr>
              <w:adjustRightInd w:val="0"/>
              <w:snapToGrid w:val="0"/>
              <w:rPr>
                <w:rFonts w:hint="default" w:ascii="Times New Roman" w:hAnsi="Times New Roman" w:eastAsia="宋体" w:cs="Times New Roman"/>
                <w:color w:val="auto"/>
                <w:kern w:val="0"/>
                <w:lang w:val="en-US" w:eastAsia="zh-CN"/>
              </w:rPr>
            </w:pPr>
          </w:p>
        </w:tc>
      </w:tr>
      <w:tr w14:paraId="6898F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731" w:type="dxa"/>
            <w:shd w:val="clear" w:color="auto" w:fill="auto"/>
            <w:noWrap w:val="0"/>
            <w:vAlign w:val="center"/>
          </w:tcPr>
          <w:p w14:paraId="2422E68B">
            <w:pPr>
              <w:pStyle w:val="25"/>
              <w:adjustRightInd w:val="0"/>
              <w:snapToGrid w:val="0"/>
              <w:spacing w:before="0" w:beforeAutospacing="0" w:after="0" w:afterAutospacing="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cs="Times New Roman"/>
                <w:color w:val="auto"/>
                <w:szCs w:val="24"/>
                <w:lang w:val="en-US" w:eastAsia="zh-CN"/>
              </w:rPr>
              <w:t>工艺流程和产排污环节</w:t>
            </w:r>
          </w:p>
        </w:tc>
        <w:tc>
          <w:tcPr>
            <w:tcW w:w="8330" w:type="dxa"/>
            <w:shd w:val="clear" w:color="auto" w:fill="auto"/>
            <w:noWrap w:val="0"/>
            <w:vAlign w:val="top"/>
          </w:tcPr>
          <w:p w14:paraId="0A043743">
            <w:pPr>
              <w:pStyle w:val="4"/>
              <w:numPr>
                <w:ilvl w:val="0"/>
                <w:numId w:val="6"/>
              </w:numPr>
              <w:bidi w:val="0"/>
              <w:ind w:leftChars="0" w:firstLine="482" w:firstLineChars="200"/>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生产</w:t>
            </w:r>
            <w:r>
              <w:rPr>
                <w:rFonts w:hint="default" w:ascii="Times New Roman" w:hAnsi="Times New Roman" w:eastAsia="宋体" w:cs="Times New Roman"/>
                <w:b/>
                <w:bCs w:val="0"/>
                <w:color w:val="auto"/>
                <w:lang w:val="en-US" w:eastAsia="zh-CN"/>
              </w:rPr>
              <w:t>工艺流程</w:t>
            </w:r>
          </w:p>
          <w:p w14:paraId="1E97CC65">
            <w:pPr>
              <w:numPr>
                <w:ilvl w:val="0"/>
                <w:numId w:val="0"/>
              </w:numPr>
              <w:jc w:val="center"/>
              <w:rPr>
                <w:rFonts w:hint="default"/>
                <w:lang w:val="en-US" w:eastAsia="zh-CN"/>
              </w:rPr>
            </w:pPr>
            <w:r>
              <w:rPr>
                <w:rFonts w:hint="default" w:ascii="Times New Roman" w:hAnsi="Times New Roman" w:eastAsia="宋体" w:cs="Times New Roman"/>
                <w:color w:val="auto"/>
              </w:rPr>
              <w:object>
                <v:shape id="_x0000_i1025" o:spt="75" type="#_x0000_t75" style="height:218pt;width:369.95pt;" o:ole="t" filled="f" o:preferrelative="t" stroked="f" coordsize="21600,21600">
                  <v:path/>
                  <v:fill on="f" focussize="0,0"/>
                  <v:stroke on="f"/>
                  <v:imagedata r:id="rId16" o:title=""/>
                  <o:lock v:ext="edit" aspectratio="t"/>
                  <w10:wrap type="none"/>
                  <w10:anchorlock/>
                </v:shape>
                <o:OLEObject Type="Embed" ProgID="Visio.Drawing.11" ShapeID="_x0000_i1025" DrawAspect="Content" ObjectID="_1468075725" r:id="rId15">
                  <o:LockedField>false</o:LockedField>
                </o:OLEObject>
              </w:object>
            </w:r>
          </w:p>
          <w:p w14:paraId="78ADB9BC">
            <w:pPr>
              <w:bidi w:val="0"/>
              <w:jc w:val="center"/>
              <w:rPr>
                <w:rFonts w:hint="default"/>
                <w:b/>
                <w:bCs/>
                <w:lang w:val="en-US" w:eastAsia="zh-CN"/>
              </w:rPr>
            </w:pPr>
            <w:r>
              <w:rPr>
                <w:rFonts w:hint="default" w:ascii="Times New Roman" w:hAnsi="Times New Roman" w:cs="Times New Roman"/>
                <w:b/>
                <w:bCs/>
                <w:color w:val="auto"/>
                <w:lang w:val="en-US" w:eastAsia="zh-CN"/>
              </w:rPr>
              <w:t>图2-</w:t>
            </w:r>
            <w:r>
              <w:rPr>
                <w:rFonts w:hint="eastAsia" w:cs="Times New Roman"/>
                <w:b/>
                <w:bCs/>
                <w:color w:val="auto"/>
                <w:lang w:val="en-US" w:eastAsia="zh-CN"/>
              </w:rPr>
              <w:t>1</w:t>
            </w:r>
            <w:r>
              <w:rPr>
                <w:rFonts w:hint="default" w:ascii="Times New Roman" w:hAnsi="Times New Roman" w:cs="Times New Roman"/>
                <w:b/>
                <w:bCs/>
                <w:color w:val="auto"/>
                <w:lang w:val="en-US" w:eastAsia="zh-CN"/>
              </w:rPr>
              <w:t xml:space="preserve"> 本项目工艺流程与产污环节示意</w:t>
            </w:r>
            <w:r>
              <w:rPr>
                <w:rFonts w:hint="eastAsia" w:cs="Times New Roman"/>
                <w:b/>
                <w:bCs/>
                <w:color w:val="auto"/>
                <w:lang w:val="en-US" w:eastAsia="zh-CN"/>
              </w:rPr>
              <w:t>图</w:t>
            </w:r>
          </w:p>
          <w:p w14:paraId="7E7F5E59">
            <w:pPr>
              <w:bidi w:val="0"/>
              <w:ind w:firstLine="480"/>
              <w:rPr>
                <w:rFonts w:hint="default" w:ascii="Times New Roman" w:hAnsi="Times New Roman" w:cs="Times New Roman"/>
                <w:b/>
                <w:bCs/>
                <w:color w:val="auto"/>
                <w:lang w:val="en-US" w:eastAsia="zh-CN"/>
              </w:rPr>
            </w:pPr>
            <w:r>
              <w:rPr>
                <w:rFonts w:hint="eastAsia" w:cs="Times New Roman"/>
                <w:b/>
                <w:bCs/>
                <w:color w:val="auto"/>
                <w:lang w:val="en-US" w:eastAsia="zh-CN"/>
              </w:rPr>
              <w:t>工艺</w:t>
            </w:r>
            <w:r>
              <w:rPr>
                <w:rFonts w:hint="default" w:ascii="Times New Roman" w:hAnsi="Times New Roman" w:cs="Times New Roman"/>
                <w:b/>
                <w:bCs/>
                <w:color w:val="auto"/>
                <w:lang w:val="en-US" w:eastAsia="zh-CN"/>
              </w:rPr>
              <w:t>流程简述：</w:t>
            </w:r>
          </w:p>
          <w:p w14:paraId="5E69B7DF">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拟建项目依托现有的水泥窑</w:t>
            </w:r>
            <w:r>
              <w:rPr>
                <w:rFonts w:hint="eastAsia" w:cs="Times New Roman"/>
                <w:color w:val="auto"/>
                <w:lang w:val="en-US" w:eastAsia="zh-CN"/>
              </w:rPr>
              <w:t>综合利用一般</w:t>
            </w:r>
            <w:r>
              <w:rPr>
                <w:rFonts w:hint="default" w:ascii="Times New Roman" w:hAnsi="Times New Roman" w:cs="Times New Roman"/>
                <w:color w:val="auto"/>
                <w:lang w:val="en-US" w:eastAsia="zh-CN"/>
              </w:rPr>
              <w:t>固体废物，</w:t>
            </w:r>
            <w:r>
              <w:rPr>
                <w:rFonts w:hint="eastAsia" w:cs="Times New Roman"/>
                <w:color w:val="auto"/>
                <w:lang w:val="en-US" w:eastAsia="zh-CN"/>
              </w:rPr>
              <w:t>一般</w:t>
            </w:r>
            <w:r>
              <w:rPr>
                <w:rFonts w:hint="default" w:ascii="Times New Roman" w:hAnsi="Times New Roman" w:cs="Times New Roman"/>
                <w:color w:val="auto"/>
                <w:lang w:val="en-US" w:eastAsia="zh-CN"/>
              </w:rPr>
              <w:t>固体废物以替代原料、燃料的形式参与水泥熟料生产，以替代混合材的形式参与水泥生产。</w:t>
            </w:r>
          </w:p>
          <w:p w14:paraId="04957062">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（1）固废的接收和暂存</w:t>
            </w:r>
          </w:p>
          <w:p w14:paraId="4790C93E">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w:t>
            </w:r>
            <w:r>
              <w:rPr>
                <w:rFonts w:hint="eastAsia" w:cs="Times New Roman"/>
                <w:color w:val="auto"/>
                <w:lang w:val="en-US" w:eastAsia="zh-CN"/>
              </w:rPr>
              <w:t>综合利用</w:t>
            </w:r>
            <w:r>
              <w:rPr>
                <w:rFonts w:hint="default" w:ascii="Times New Roman" w:hAnsi="Times New Roman" w:cs="Times New Roman"/>
                <w:color w:val="auto"/>
                <w:lang w:val="en-US" w:eastAsia="zh-CN"/>
              </w:rPr>
              <w:t>多种一般工业固废，固废经准入评估满足项目要求后，入场后分别暂存于相应暂存场所。</w:t>
            </w:r>
          </w:p>
          <w:p w14:paraId="380A3C7F">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作为替代原料生产熟料的一般固废（炉渣、铁矿选矿粉末、尾矿渣、铁合金炉渣、石英砂选矿污泥、煤矸石、萤石选矿尾渣、电石渣、造纸白泥、氟化钙污泥、磷渣、赤泥）依托厂区现有联合储库暂存，</w:t>
            </w:r>
            <w:r>
              <w:rPr>
                <w:rFonts w:hint="default" w:ascii="Times New Roman" w:hAnsi="Times New Roman" w:cs="Times New Roman"/>
                <w:color w:val="auto"/>
                <w:lang w:val="en-US" w:eastAsia="zh-CN"/>
              </w:rPr>
              <w:t>与常规原料分开贮存</w:t>
            </w:r>
            <w:r>
              <w:rPr>
                <w:rFonts w:hint="eastAsia" w:cs="Times New Roman"/>
                <w:color w:val="auto"/>
                <w:lang w:val="en-US" w:eastAsia="zh-CN"/>
              </w:rPr>
              <w:t>。</w:t>
            </w:r>
          </w:p>
          <w:p w14:paraId="7522E6CA">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作为替代混合材生产水泥的一般固废（炉渣、水渣、矿渣粉、电炉渣、脱硫石膏、磷石膏、钛石膏、氟石膏、冶炼废渣）依托厂区现有辅材堆棚暂存，</w:t>
            </w:r>
            <w:r>
              <w:rPr>
                <w:rFonts w:hint="default" w:ascii="Times New Roman" w:hAnsi="Times New Roman" w:cs="Times New Roman"/>
                <w:color w:val="auto"/>
                <w:lang w:val="en-US" w:eastAsia="zh-CN"/>
              </w:rPr>
              <w:t>与常规混合材分开贮存</w:t>
            </w:r>
            <w:r>
              <w:rPr>
                <w:rFonts w:hint="eastAsia" w:cs="Times New Roman"/>
                <w:color w:val="auto"/>
                <w:lang w:val="en-US" w:eastAsia="zh-CN"/>
              </w:rPr>
              <w:t>。</w:t>
            </w:r>
          </w:p>
          <w:p w14:paraId="4FE7AC19">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作为替代燃料的飞灰（煤灰）由封闭罐车运入厂内后依托现有煤粉仓（MF0175）暂存；作为替代燃料其他一般固废（废纺、废塑料、废橡胶、废皮革、生物质燃料、炭黑）依托济宁海螺环保公司现有固废暂存间II贮存。</w:t>
            </w:r>
          </w:p>
          <w:p w14:paraId="648C4E99">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一般固废临时贮存技术要求如下：</w:t>
            </w:r>
          </w:p>
          <w:p w14:paraId="37EC5B3A">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①固体废物接收管理要求</w:t>
            </w:r>
          </w:p>
          <w:p w14:paraId="65EBB97C">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在固废入厂前需对固废进行检查，判断与签订合同所标注固废类别是否一致，确认符合后方可进入贮存库，否则禁止入厂。入厂后及时对固废进行取样及特性分析，判断固废特性与合同中标注的固废特性是否一致。只有符合要求的一般固废</w:t>
            </w:r>
            <w:r>
              <w:rPr>
                <w:rFonts w:hint="eastAsia" w:cs="Times New Roman"/>
                <w:color w:val="auto"/>
                <w:lang w:val="en-US" w:eastAsia="zh-CN"/>
              </w:rPr>
              <w:t>方</w:t>
            </w:r>
            <w:r>
              <w:rPr>
                <w:rFonts w:hint="default" w:ascii="Times New Roman" w:hAnsi="Times New Roman" w:cs="Times New Roman"/>
                <w:color w:val="auto"/>
                <w:lang w:val="en-US" w:eastAsia="zh-CN"/>
              </w:rPr>
              <w:t>可送入储仓内，性质不明的固废不能进入一般固体废物储存区。</w:t>
            </w:r>
          </w:p>
          <w:p w14:paraId="333A6373">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A.每一次接收固废入库前都要确保固废储库的容积足够，应建立固体废物贮存台账制度。</w:t>
            </w:r>
          </w:p>
          <w:p w14:paraId="5E8CAA1A">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B.库前工作人员要检查固废包装容器是否破损、有无泄漏等问题，检查标签是否完好、齐全，与容器内的固废是否一致。</w:t>
            </w:r>
          </w:p>
          <w:p w14:paraId="1F117BE6">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C.必须对储库废物包装容器及存放设施进行检查，发现破损，应及时采取措施清理更换。</w:t>
            </w:r>
          </w:p>
          <w:p w14:paraId="244D1249">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D.定期对工作人员进行培训，掌握所处理固废的存放要求以及发生意外事故时的应急措施。</w:t>
            </w:r>
          </w:p>
          <w:p w14:paraId="77A79286">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E.将协同处置固废的实际产生、贮存、利用、处置等情况纳入生产记录，建立一般固废管理台账和企业内部产生和收集、贮存、转移等部门固废交接制度。</w:t>
            </w:r>
          </w:p>
          <w:p w14:paraId="4F05FB90">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贮存设施内应专门设置不明性质废物暂存区。不明性质废物暂存区应与其他固体废物贮存区隔离，并设有专门的存取通道。项目在接收到不明性质废物后，应立即报告当地生态环境局，必要时还应报告当地应急管理局和公安局。</w:t>
            </w:r>
          </w:p>
          <w:p w14:paraId="719F3FB0">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③固废储存库进行分类分区堆存，在使用过程必须与将要堆放的一般工业固体废物的类别相一致。一般工业固体废物储存库，禁止危险废物和生活垃圾混入。储存车间应满足《一般工业固体废物贮存和填埋污染控制标准》（GB18599-2020）的建设要求，应设置专用标志，满足《环境保护图形标志-固体废物贮存（处置）场》（GB15562.2）的有关规定。</w:t>
            </w:r>
          </w:p>
          <w:p w14:paraId="42BC170B">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与水泥窑窑体、分解炉和预热器保持一定的安全距离；贮存设施内张贴严禁烟火的明显标识；根据固体废物特性、贮存和卸载区条件配置相应的消防警报设备和灭火药剂；贮存设施中的电子设备接地，并装备抗静电设备；设置防爆通讯设备并保持通畅完好。</w:t>
            </w:r>
          </w:p>
          <w:p w14:paraId="5BD29C7D">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⑤</w:t>
            </w:r>
            <w:r>
              <w:rPr>
                <w:rFonts w:hint="eastAsia" w:cs="Times New Roman"/>
                <w:color w:val="auto"/>
                <w:lang w:val="en-US" w:eastAsia="zh-CN"/>
              </w:rPr>
              <w:t>项目依托的</w:t>
            </w:r>
            <w:r>
              <w:rPr>
                <w:rFonts w:hint="default" w:ascii="Times New Roman" w:hAnsi="Times New Roman" w:cs="Times New Roman"/>
                <w:color w:val="auto"/>
                <w:lang w:val="en-US" w:eastAsia="zh-CN"/>
              </w:rPr>
              <w:t>固废储存及输送车间</w:t>
            </w:r>
            <w:r>
              <w:rPr>
                <w:rFonts w:hint="eastAsia" w:cs="Times New Roman"/>
                <w:color w:val="auto"/>
                <w:lang w:val="en-US" w:eastAsia="zh-CN"/>
              </w:rPr>
              <w:t>均为</w:t>
            </w:r>
            <w:r>
              <w:rPr>
                <w:rFonts w:hint="default" w:ascii="Times New Roman" w:hAnsi="Times New Roman" w:cs="Times New Roman"/>
                <w:color w:val="auto"/>
                <w:lang w:val="en-US" w:eastAsia="zh-CN"/>
              </w:rPr>
              <w:t>密闭</w:t>
            </w:r>
            <w:r>
              <w:rPr>
                <w:rFonts w:hint="eastAsia" w:cs="Times New Roman"/>
                <w:color w:val="auto"/>
                <w:lang w:val="en-US" w:eastAsia="zh-CN"/>
              </w:rPr>
              <w:t>厂房车间</w:t>
            </w:r>
            <w:r>
              <w:rPr>
                <w:rFonts w:hint="default" w:ascii="Times New Roman" w:hAnsi="Times New Roman" w:cs="Times New Roman"/>
                <w:color w:val="auto"/>
                <w:lang w:val="en-US" w:eastAsia="zh-CN"/>
              </w:rPr>
              <w:t>，已采取防止粉尘污染的措施。</w:t>
            </w:r>
          </w:p>
          <w:p w14:paraId="712AF8D9">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⑥</w:t>
            </w:r>
            <w:r>
              <w:rPr>
                <w:rFonts w:hint="default" w:ascii="Times New Roman" w:hAnsi="Times New Roman" w:cs="Times New Roman"/>
                <w:color w:val="auto"/>
                <w:lang w:val="en-US" w:eastAsia="zh-CN"/>
              </w:rPr>
              <w:t>固废储存库的使用单位，应建立档案制度。应将入场的一般工业固体废物的种类和数量以及其他资料，详细记录在案，长期保存，供随时查阅。</w:t>
            </w:r>
          </w:p>
          <w:p w14:paraId="6C98AF22">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当水泥窑检修时及水泥窑停止运行期间，公司需加强管理在此期间不得在接收所处置的一般固体废物，如必须在此期间接收固废，则不得超过储存库最大储存能力。</w:t>
            </w:r>
          </w:p>
          <w:p w14:paraId="6AE88820">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固废的接收和暂存过程产生粉尘，项目利用的固废不含挥发性酸、碱、有机物等挥发性有害物质，利用的污泥均为污泥污泥且控制入场含水率较低，因此固废的接收和暂存过程中不产生酸性、碱性、挥发性、恶臭等其他废气污染物。</w:t>
            </w:r>
          </w:p>
          <w:p w14:paraId="0BF5DE17">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（2）固废转运、配伍及投加</w:t>
            </w:r>
          </w:p>
          <w:p w14:paraId="14DA3CFB">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本项目拟利用的一般固废入厂后可直接使用，不需要再进行预处理。</w:t>
            </w:r>
          </w:p>
          <w:p w14:paraId="579F01F5">
            <w:pPr>
              <w:bidi w:val="0"/>
              <w:ind w:firstLine="480"/>
              <w:rPr>
                <w:rFonts w:hint="default" w:ascii="Times New Roman" w:hAnsi="Times New Roman" w:cs="Times New Roman"/>
                <w:color w:val="FF0000"/>
                <w:lang w:val="en-US" w:eastAsia="zh-CN"/>
              </w:rPr>
            </w:pPr>
            <w:r>
              <w:rPr>
                <w:rFonts w:hint="default" w:ascii="Times New Roman" w:hAnsi="Times New Roman" w:cs="Times New Roman"/>
                <w:color w:val="auto"/>
                <w:lang w:val="en-US" w:eastAsia="zh-CN"/>
              </w:rPr>
              <w:t>可替代原料的一般固废在</w:t>
            </w:r>
            <w:r>
              <w:rPr>
                <w:rFonts w:hint="eastAsia" w:cs="Times New Roman"/>
                <w:color w:val="auto"/>
                <w:lang w:val="en-US" w:eastAsia="zh-CN"/>
              </w:rPr>
              <w:t>联合储库</w:t>
            </w:r>
            <w:r>
              <w:rPr>
                <w:rFonts w:hint="default" w:ascii="Times New Roman" w:hAnsi="Times New Roman" w:cs="Times New Roman"/>
                <w:color w:val="auto"/>
                <w:lang w:val="en-US" w:eastAsia="zh-CN"/>
              </w:rPr>
              <w:t>中专用贮存区内贮存，依托联合储库内</w:t>
            </w:r>
            <w:r>
              <w:rPr>
                <w:rFonts w:hint="eastAsia" w:cs="Times New Roman"/>
                <w:color w:val="auto"/>
                <w:lang w:val="en-US" w:eastAsia="zh-CN"/>
              </w:rPr>
              <w:t>现有物料投加系统</w:t>
            </w:r>
            <w:r>
              <w:rPr>
                <w:rFonts w:hint="default" w:ascii="Times New Roman" w:hAnsi="Times New Roman" w:cs="Times New Roman"/>
                <w:color w:val="auto"/>
                <w:lang w:val="en-US" w:eastAsia="zh-CN"/>
              </w:rPr>
              <w:t>，</w:t>
            </w:r>
            <w:r>
              <w:rPr>
                <w:rFonts w:hint="eastAsia" w:cs="Times New Roman"/>
                <w:color w:val="auto"/>
                <w:lang w:val="en-US" w:eastAsia="zh-CN"/>
              </w:rPr>
              <w:t>由装载机将物料投入不同的下料口，由喂料机按</w:t>
            </w:r>
            <w:r>
              <w:rPr>
                <w:rFonts w:hint="default" w:ascii="Times New Roman" w:hAnsi="Times New Roman" w:cs="Times New Roman"/>
                <w:color w:val="auto"/>
                <w:lang w:val="en-US" w:eastAsia="zh-CN"/>
              </w:rPr>
              <w:t>配料要求的比例卸出</w:t>
            </w:r>
            <w:r>
              <w:rPr>
                <w:rFonts w:hint="eastAsia" w:cs="Times New Roman"/>
                <w:color w:val="auto"/>
                <w:lang w:val="en-US" w:eastAsia="zh-CN"/>
              </w:rPr>
              <w:t>，经皮带</w:t>
            </w:r>
            <w:r>
              <w:rPr>
                <w:rFonts w:hint="default" w:ascii="Times New Roman" w:hAnsi="Times New Roman" w:cs="Times New Roman"/>
                <w:color w:val="auto"/>
                <w:lang w:val="en-US" w:eastAsia="zh-CN"/>
              </w:rPr>
              <w:t>输送机</w:t>
            </w:r>
            <w:r>
              <w:rPr>
                <w:rFonts w:hint="eastAsia" w:cs="Times New Roman"/>
                <w:color w:val="auto"/>
                <w:lang w:val="en-US" w:eastAsia="zh-CN"/>
              </w:rPr>
              <w:t>、</w:t>
            </w:r>
            <w:r>
              <w:rPr>
                <w:rFonts w:hint="default" w:ascii="Times New Roman" w:hAnsi="Times New Roman" w:cs="Times New Roman"/>
                <w:color w:val="auto"/>
                <w:lang w:val="en-US" w:eastAsia="zh-CN"/>
              </w:rPr>
              <w:t>磨机入口回转锁风阀</w:t>
            </w:r>
            <w:r>
              <w:rPr>
                <w:rFonts w:hint="eastAsia" w:cs="Times New Roman"/>
                <w:color w:val="auto"/>
                <w:lang w:val="en-US" w:eastAsia="zh-CN"/>
              </w:rPr>
              <w:t>等喂入生</w:t>
            </w:r>
            <w:r>
              <w:rPr>
                <w:rFonts w:hint="default" w:ascii="Times New Roman" w:hAnsi="Times New Roman" w:cs="Times New Roman"/>
                <w:color w:val="auto"/>
                <w:lang w:val="en-US" w:eastAsia="zh-CN"/>
              </w:rPr>
              <w:t>料磨中。</w:t>
            </w:r>
          </w:p>
          <w:p w14:paraId="4B50EACB">
            <w:pPr>
              <w:bidi w:val="0"/>
              <w:ind w:firstLine="480"/>
              <w:rPr>
                <w:rFonts w:hint="default" w:ascii="Times New Roman" w:hAnsi="Times New Roman" w:cs="Times New Roman"/>
                <w:color w:val="FF0000"/>
                <w:lang w:val="en-US" w:eastAsia="zh-CN"/>
              </w:rPr>
            </w:pPr>
            <w:r>
              <w:rPr>
                <w:rFonts w:hint="default" w:ascii="Times New Roman" w:hAnsi="Times New Roman" w:cs="Times New Roman"/>
                <w:color w:val="auto"/>
                <w:lang w:val="en-US" w:eastAsia="zh-CN"/>
              </w:rPr>
              <w:t>可替代混合材的一般固废在辅材堆</w:t>
            </w:r>
            <w:r>
              <w:rPr>
                <w:rFonts w:hint="eastAsia" w:cs="Times New Roman"/>
                <w:color w:val="auto"/>
                <w:lang w:val="en-US" w:eastAsia="zh-CN"/>
              </w:rPr>
              <w:t>棚</w:t>
            </w:r>
            <w:r>
              <w:rPr>
                <w:rFonts w:hint="default" w:ascii="Times New Roman" w:hAnsi="Times New Roman" w:cs="Times New Roman"/>
                <w:color w:val="auto"/>
                <w:lang w:val="en-US" w:eastAsia="zh-CN"/>
              </w:rPr>
              <w:t>中专用贮存区内贮存，依托辅材堆</w:t>
            </w:r>
            <w:r>
              <w:rPr>
                <w:rFonts w:hint="eastAsia" w:cs="Times New Roman"/>
                <w:color w:val="auto"/>
                <w:lang w:val="en-US" w:eastAsia="zh-CN"/>
              </w:rPr>
              <w:t>棚</w:t>
            </w:r>
            <w:r>
              <w:rPr>
                <w:rFonts w:hint="default" w:ascii="Times New Roman" w:hAnsi="Times New Roman" w:cs="Times New Roman"/>
                <w:color w:val="auto"/>
                <w:lang w:val="en-US" w:eastAsia="zh-CN"/>
              </w:rPr>
              <w:t>内</w:t>
            </w:r>
            <w:r>
              <w:rPr>
                <w:rFonts w:hint="eastAsia" w:cs="Times New Roman"/>
                <w:color w:val="auto"/>
                <w:lang w:val="en-US" w:eastAsia="zh-CN"/>
              </w:rPr>
              <w:t>现有物料投加设施</w:t>
            </w:r>
            <w:r>
              <w:rPr>
                <w:rFonts w:hint="default" w:ascii="Times New Roman" w:hAnsi="Times New Roman" w:cs="Times New Roman"/>
                <w:color w:val="auto"/>
                <w:lang w:val="en-US" w:eastAsia="zh-CN"/>
              </w:rPr>
              <w:t>，</w:t>
            </w:r>
            <w:r>
              <w:rPr>
                <w:rFonts w:hint="eastAsia" w:cs="Times New Roman"/>
                <w:color w:val="auto"/>
                <w:lang w:val="en-US" w:eastAsia="zh-CN"/>
              </w:rPr>
              <w:t>由装载机将物料投入下料口，经给料机和皮带输送机喂入混合材破碎机，</w:t>
            </w:r>
            <w:r>
              <w:rPr>
                <w:rFonts w:hint="default" w:ascii="Times New Roman" w:hAnsi="Times New Roman" w:cs="Times New Roman"/>
                <w:color w:val="auto"/>
                <w:lang w:val="en-US" w:eastAsia="zh-CN"/>
              </w:rPr>
              <w:t>破碎后经</w:t>
            </w:r>
            <w:r>
              <w:rPr>
                <w:rFonts w:hint="eastAsia" w:cs="Times New Roman"/>
                <w:color w:val="auto"/>
                <w:lang w:val="en-US" w:eastAsia="zh-CN"/>
              </w:rPr>
              <w:t>皮带</w:t>
            </w:r>
            <w:r>
              <w:rPr>
                <w:rFonts w:hint="default" w:ascii="Times New Roman" w:hAnsi="Times New Roman" w:cs="Times New Roman"/>
                <w:color w:val="auto"/>
                <w:lang w:val="en-US" w:eastAsia="zh-CN"/>
              </w:rPr>
              <w:t>输送机送至水泥粉磨的配料仓。</w:t>
            </w:r>
          </w:p>
          <w:p w14:paraId="4D939FDD">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除飞灰（煤灰）外的</w:t>
            </w:r>
            <w:r>
              <w:rPr>
                <w:rFonts w:hint="default" w:ascii="Times New Roman" w:hAnsi="Times New Roman" w:cs="Times New Roman"/>
                <w:color w:val="auto"/>
                <w:lang w:val="en-US" w:eastAsia="zh-CN"/>
              </w:rPr>
              <w:t>替代燃料在</w:t>
            </w:r>
            <w:r>
              <w:rPr>
                <w:rFonts w:hint="eastAsia" w:cs="Times New Roman"/>
                <w:color w:val="auto"/>
                <w:lang w:val="en-US" w:eastAsia="zh-CN"/>
              </w:rPr>
              <w:t>济宁海螺环保的</w:t>
            </w:r>
            <w:r>
              <w:rPr>
                <w:rFonts w:hint="default" w:ascii="Times New Roman" w:hAnsi="Times New Roman" w:cs="Times New Roman"/>
                <w:color w:val="auto"/>
                <w:lang w:val="en-US" w:eastAsia="zh-CN"/>
              </w:rPr>
              <w:t>固废暂存间II中专用贮存区内贮存，废纺、废塑料、废橡胶、废皮革、RDF、生物质燃料</w:t>
            </w:r>
            <w:r>
              <w:rPr>
                <w:rFonts w:hint="eastAsia" w:cs="Times New Roman"/>
                <w:color w:val="auto"/>
                <w:lang w:val="en-US" w:eastAsia="zh-CN"/>
              </w:rPr>
              <w:t>依托</w:t>
            </w:r>
            <w:r>
              <w:rPr>
                <w:rFonts w:hint="default" w:ascii="Times New Roman" w:hAnsi="Times New Roman" w:cs="Times New Roman"/>
                <w:color w:val="auto"/>
                <w:lang w:val="en-US" w:eastAsia="zh-CN"/>
              </w:rPr>
              <w:t>固废暂存间II</w:t>
            </w:r>
            <w:r>
              <w:rPr>
                <w:rFonts w:hint="eastAsia" w:cs="Times New Roman"/>
                <w:color w:val="auto"/>
                <w:lang w:val="en-US" w:eastAsia="zh-CN"/>
              </w:rPr>
              <w:t>现有物料投加系统，采用装载机上料，设置一套链板式输送机，上料口内设置打散机，将一般固废打散，然后输送至封闭式管状皮带输送机，送往窑尾，再经板喂秤以及翻板阀+气动插板阀设备喂入分解炉。泡沫塑料粉、炭黑的投加由本项目在</w:t>
            </w:r>
            <w:r>
              <w:rPr>
                <w:rFonts w:hint="default" w:ascii="Times New Roman" w:hAnsi="Times New Roman" w:cs="Times New Roman"/>
                <w:color w:val="auto"/>
                <w:lang w:val="en-US" w:eastAsia="zh-CN"/>
              </w:rPr>
              <w:t>固废暂存间II</w:t>
            </w:r>
            <w:r>
              <w:rPr>
                <w:rFonts w:hint="eastAsia" w:cs="Times New Roman"/>
                <w:color w:val="auto"/>
                <w:lang w:val="en-US" w:eastAsia="zh-CN"/>
              </w:rPr>
              <w:t>内新建的一套气体输送投加系统进行输送投加，泡沫塑料粉、炭黑吨包由行车转载投加入进料仓，经喂料铰刀送入料封泵，然后经料封泵风力送出，输送风由罗茨风机提供，物料经密闭的输送管道送往窑尾，再经板喂秤以及翻板阀+气动插板阀设备喂入分解炉。飞灰（煤灰）依托现有煤粉仓（MF0175）暂存，经仓底计量系统计量后，气力输送至分解炉燃烧器。</w:t>
            </w:r>
          </w:p>
          <w:p w14:paraId="58058D21">
            <w:pPr>
              <w:bidi w:val="0"/>
              <w:ind w:firstLine="480"/>
              <w:rPr>
                <w:rFonts w:hint="eastAsia" w:cs="Times New Roman"/>
                <w:b w:val="0"/>
                <w:bCs w:val="0"/>
                <w:color w:val="auto"/>
                <w:lang w:val="en-US" w:eastAsia="zh-CN"/>
              </w:rPr>
            </w:pPr>
            <w:r>
              <w:rPr>
                <w:rFonts w:hint="eastAsia" w:cs="Times New Roman"/>
                <w:color w:val="auto"/>
                <w:lang w:val="en-US" w:eastAsia="zh-CN"/>
              </w:rPr>
              <w:t>固废的转运过程产生粉尘。</w:t>
            </w:r>
          </w:p>
          <w:p w14:paraId="1F4B016C">
            <w:pPr>
              <w:bidi w:val="0"/>
              <w:ind w:firstLine="480"/>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（3）入窑焚烧</w:t>
            </w:r>
          </w:p>
          <w:p w14:paraId="08860020">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①投加点</w:t>
            </w:r>
          </w:p>
          <w:p w14:paraId="6F6D5F2D">
            <w:pPr>
              <w:bidi w:val="0"/>
              <w:ind w:firstLine="480"/>
              <w:rPr>
                <w:rFonts w:hint="eastAsia" w:cs="Times New Roman"/>
                <w:color w:val="auto"/>
                <w:lang w:val="en-US" w:eastAsia="zh-CN"/>
              </w:rPr>
            </w:pPr>
            <w:r>
              <w:rPr>
                <w:rFonts w:hint="default" w:ascii="Times New Roman" w:hAnsi="Times New Roman" w:cs="Times New Roman"/>
                <w:color w:val="auto"/>
                <w:lang w:val="en-US" w:eastAsia="zh-CN"/>
              </w:rPr>
              <w:t>根据《水泥窑协同处置固体废物环境保护技术规范》（HJ662-2013），</w:t>
            </w:r>
            <w:r>
              <w:rPr>
                <w:rFonts w:hint="default" w:ascii="Times New Roman" w:hAnsi="Times New Roman" w:cs="Times New Roman"/>
                <w:bCs/>
                <w:color w:val="auto"/>
                <w:lang w:eastAsia="zh-CN"/>
              </w:rPr>
              <w:t>水泥窑进行协同处置的固体废物投加位置包括窑头高温段、窑尾高温段和生料配料系统</w:t>
            </w:r>
            <w:r>
              <w:rPr>
                <w:rFonts w:hint="eastAsia" w:cs="Times New Roman"/>
                <w:bCs/>
                <w:color w:val="auto"/>
                <w:lang w:eastAsia="zh-CN"/>
              </w:rPr>
              <w:t>，</w:t>
            </w:r>
            <w:r>
              <w:rPr>
                <w:rFonts w:hint="default" w:ascii="Times New Roman" w:hAnsi="Times New Roman" w:cs="Times New Roman"/>
                <w:color w:val="auto"/>
                <w:lang w:val="en-US" w:eastAsia="zh-CN"/>
              </w:rPr>
              <w:t>可从以下六个推荐投加点进行投加入窑：生料磨投加点、上升烟道投加点、窑尾烟室投加点、分解炉投加点、窑头主燃烧器投加点和窑门罩投加点。见下图2-</w:t>
            </w:r>
            <w:r>
              <w:rPr>
                <w:rFonts w:hint="eastAsia" w:cs="Times New Roman"/>
                <w:color w:val="auto"/>
                <w:lang w:val="en-US" w:eastAsia="zh-CN"/>
              </w:rPr>
              <w:t>2。</w:t>
            </w:r>
          </w:p>
          <w:p w14:paraId="6B817FCE">
            <w:pPr>
              <w:bidi w:val="0"/>
              <w:ind w:firstLine="480"/>
              <w:rPr>
                <w:rFonts w:hint="eastAsia" w:cs="Times New Roman"/>
                <w:color w:val="auto"/>
                <w:lang w:val="en-US" w:eastAsia="zh-CN"/>
              </w:rPr>
            </w:pPr>
            <w:r>
              <w:rPr>
                <w:rFonts w:hint="eastAsia" w:cs="Times New Roman"/>
                <w:color w:val="auto"/>
                <w:lang w:val="en-US" w:eastAsia="zh-CN"/>
              </w:rPr>
              <w:t>考虑进料装置的要求和投加口的工况特点、同类型水泥企业实际运行，本项目设置2个投料点，替代燃料经计量、输送至窑尾分解炉，从分解炉投加入窑；其余替代原料经计量、皮带输送机输送至生料磨旁，投入生料配料系统。</w:t>
            </w:r>
          </w:p>
          <w:p w14:paraId="4AEF7DB6">
            <w:pPr>
              <w:bidi w:val="0"/>
              <w:spacing w:line="240" w:lineRule="auto"/>
              <w:rPr>
                <w:rFonts w:hint="default" w:ascii="Times New Roman" w:hAnsi="Times New Roman" w:cs="Times New Roman"/>
                <w:color w:val="auto"/>
                <w:lang w:val="en-US" w:eastAsia="zh-CN"/>
              </w:rPr>
            </w:pPr>
            <w:r>
              <w:drawing>
                <wp:inline distT="0" distB="0" distL="114300" distR="114300">
                  <wp:extent cx="5149850" cy="2771775"/>
                  <wp:effectExtent l="0" t="0" r="12700"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7"/>
                          <a:stretch>
                            <a:fillRect/>
                          </a:stretch>
                        </pic:blipFill>
                        <pic:spPr>
                          <a:xfrm>
                            <a:off x="0" y="0"/>
                            <a:ext cx="5149850" cy="2771775"/>
                          </a:xfrm>
                          <a:prstGeom prst="rect">
                            <a:avLst/>
                          </a:prstGeom>
                          <a:noFill/>
                          <a:ln>
                            <a:noFill/>
                          </a:ln>
                        </pic:spPr>
                      </pic:pic>
                    </a:graphicData>
                  </a:graphic>
                </wp:inline>
              </w:drawing>
            </w:r>
          </w:p>
          <w:p w14:paraId="22A04A74">
            <w:pPr>
              <w:bidi w:val="0"/>
              <w:spacing w:line="240" w:lineRule="auto"/>
              <w:ind w:firstLine="480"/>
              <w:jc w:val="center"/>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图2-</w:t>
            </w:r>
            <w:r>
              <w:rPr>
                <w:rFonts w:hint="eastAsia" w:cs="Times New Roman"/>
                <w:b/>
                <w:bCs/>
                <w:color w:val="auto"/>
                <w:lang w:val="en-US" w:eastAsia="zh-CN"/>
              </w:rPr>
              <w:t xml:space="preserve">2 </w:t>
            </w:r>
            <w:r>
              <w:rPr>
                <w:rFonts w:hint="default" w:ascii="Times New Roman" w:hAnsi="Times New Roman" w:cs="Times New Roman"/>
                <w:b/>
                <w:bCs/>
                <w:color w:val="auto"/>
                <w:lang w:val="en-US" w:eastAsia="zh-CN"/>
              </w:rPr>
              <w:t xml:space="preserve"> 新型干法水泥窑固体废物投加点示意图</w:t>
            </w:r>
          </w:p>
          <w:p w14:paraId="617070DF">
            <w:pPr>
              <w:bidi w:val="0"/>
              <w:ind w:firstLine="480"/>
              <w:rPr>
                <w:rFonts w:hint="default" w:cs="Times New Roman"/>
                <w:color w:val="auto"/>
                <w:lang w:val="en-US" w:eastAsia="zh-CN"/>
              </w:rPr>
            </w:pPr>
            <w:r>
              <w:rPr>
                <w:rFonts w:hint="eastAsia" w:cs="Times New Roman"/>
                <w:color w:val="auto"/>
                <w:lang w:val="en-US" w:eastAsia="zh-CN"/>
              </w:rPr>
              <w:t>②入炉焚烧</w:t>
            </w:r>
          </w:p>
          <w:p w14:paraId="55AAB580">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废物入窑后，对其的处置与水泥熟料生产同步进行，新型干法回转窑内物料烧成温度必须保证在约1450℃（炉内最高的气流温度可达1800℃或更高），窑内物料和气体可分别达到1500℃和1800℃</w:t>
            </w:r>
            <w:r>
              <w:rPr>
                <w:rFonts w:hint="eastAsia" w:cs="Times New Roman"/>
                <w:color w:val="auto"/>
                <w:lang w:val="en-US" w:eastAsia="zh-CN"/>
              </w:rPr>
              <w:t>，</w:t>
            </w:r>
            <w:r>
              <w:rPr>
                <w:rFonts w:hint="default" w:ascii="Times New Roman" w:hAnsi="Times New Roman" w:cs="Times New Roman"/>
                <w:color w:val="auto"/>
                <w:lang w:val="en-US" w:eastAsia="zh-CN"/>
              </w:rPr>
              <w:t>烟气温度高于1100℃就达4s以上，物料在窑内停留时间约40分钟。入窑物料在几秒钟之内迅速升温到 800℃以上，进入窑内在1500℃左右烧成。</w:t>
            </w:r>
          </w:p>
          <w:p w14:paraId="11B2A8F2">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入窑后的物料不断悬浮、翻滚，高温烟气湍流激烈，窑内的碱性环境和负压条件可确保废物中的有毒有害物质完全高温分解或使其中的有机物分子结构完全破坏，从而达到完全氧化，残渣则成为熟料矿物组成而被固定在熟料矿相中。烧成的高温熟料由窑头出口进入熟料冷却环节，冷却机入口处的物料温度仍高达1250℃左右，经强风冷却温度迅速降低至300℃以下。</w:t>
            </w:r>
          </w:p>
          <w:p w14:paraId="7476F639">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窑头配置有余热锅炉(AQC炉)旁路，余热锅炉用气从篦冷机中部抽取，温度约400℃，经AQC热交换后，降为约85℃，废气与出篦冷机废气（温度约150℃）汇合后入废气净化系统。</w:t>
            </w:r>
          </w:p>
          <w:p w14:paraId="6F56065C">
            <w:pPr>
              <w:bidi w:val="0"/>
              <w:ind w:firstLine="480"/>
              <w:rPr>
                <w:rFonts w:hint="eastAsia" w:cs="Times New Roman"/>
                <w:color w:val="auto"/>
                <w:lang w:val="en-US" w:eastAsia="zh-CN"/>
              </w:rPr>
            </w:pPr>
            <w:r>
              <w:rPr>
                <w:rFonts w:hint="default" w:ascii="Times New Roman" w:hAnsi="Times New Roman" w:cs="Times New Roman"/>
                <w:color w:val="auto"/>
                <w:lang w:val="en-US" w:eastAsia="zh-CN"/>
              </w:rPr>
              <w:t>水泥窑尾烟气出窑后一部分作为窑用二次空气；另一部分由三次风管送到分解炉作为助燃空气，废气通过SCR脱硝后经袋式除尘器除尘，最后通过1根105m排气筒DA027高空排放；再有一部分废气在余热锅炉开启时，通过旋风收尘器、AQC余热锅炉后进入窑头袋式收尘器；在余热锅炉关闭时，经热交换器降温后进入窑头袋式收尘器净化</w:t>
            </w:r>
            <w:r>
              <w:rPr>
                <w:rFonts w:hint="eastAsia" w:cs="Times New Roman"/>
                <w:color w:val="auto"/>
                <w:lang w:val="en-US" w:eastAsia="zh-CN"/>
              </w:rPr>
              <w:t>。</w:t>
            </w:r>
          </w:p>
          <w:p w14:paraId="0385D8EE">
            <w:pPr>
              <w:bidi w:val="0"/>
              <w:ind w:firstLine="480"/>
              <w:rPr>
                <w:rFonts w:hint="default" w:ascii="Times New Roman" w:hAnsi="Times New Roman" w:cs="Times New Roman"/>
                <w:color w:val="auto"/>
                <w:lang w:val="en-US" w:eastAsia="zh-CN"/>
              </w:rPr>
            </w:pPr>
            <w:r>
              <w:rPr>
                <w:rFonts w:hint="eastAsia" w:cs="Times New Roman"/>
                <w:color w:val="auto"/>
                <w:lang w:val="en-US" w:eastAsia="zh-CN"/>
              </w:rPr>
              <w:t>（4）水泥粉磨</w:t>
            </w:r>
          </w:p>
          <w:p w14:paraId="2D21FA33">
            <w:pPr>
              <w:bidi w:val="0"/>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水泥窑煅烧产生的熟料</w:t>
            </w:r>
            <w:r>
              <w:rPr>
                <w:rFonts w:hint="eastAsia" w:cs="Times New Roman"/>
                <w:color w:val="auto"/>
                <w:lang w:val="en-US" w:eastAsia="zh-CN"/>
              </w:rPr>
              <w:t>和破碎后的混合材</w:t>
            </w:r>
            <w:r>
              <w:rPr>
                <w:rFonts w:hint="default" w:ascii="Times New Roman" w:hAnsi="Times New Roman" w:cs="Times New Roman"/>
                <w:color w:val="auto"/>
                <w:lang w:val="en-US" w:eastAsia="zh-CN"/>
              </w:rPr>
              <w:t>经</w:t>
            </w:r>
            <w:r>
              <w:rPr>
                <w:rFonts w:hint="eastAsia" w:cs="Times New Roman"/>
                <w:color w:val="auto"/>
                <w:lang w:val="en-US" w:eastAsia="zh-CN"/>
              </w:rPr>
              <w:t>仓底</w:t>
            </w:r>
            <w:r>
              <w:rPr>
                <w:rFonts w:hint="default" w:ascii="Times New Roman" w:hAnsi="Times New Roman" w:cs="Times New Roman"/>
                <w:color w:val="auto"/>
                <w:lang w:val="en-US" w:eastAsia="zh-CN"/>
              </w:rPr>
              <w:t>调速电子皮带秤按比例配料，混合料由皮带输送机送入水泥磨进行粉磨，获得水泥产品。</w:t>
            </w:r>
          </w:p>
          <w:p w14:paraId="63CA565A">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eastAsia" w:eastAsia="宋体" w:cs="Times New Roman"/>
                <w:b/>
                <w:bCs w:val="0"/>
                <w:color w:val="auto"/>
                <w:lang w:val="en-US" w:eastAsia="zh-CN"/>
              </w:rPr>
              <w:t>二、</w:t>
            </w:r>
            <w:r>
              <w:rPr>
                <w:rFonts w:hint="default" w:ascii="Times New Roman" w:hAnsi="Times New Roman" w:eastAsia="宋体" w:cs="Times New Roman"/>
                <w:b/>
                <w:bCs w:val="0"/>
                <w:color w:val="auto"/>
                <w:lang w:val="en-US" w:eastAsia="zh-CN"/>
              </w:rPr>
              <w:t>产污环节</w:t>
            </w:r>
          </w:p>
          <w:p w14:paraId="217F438C">
            <w:pPr>
              <w:pStyle w:val="45"/>
              <w:bidi w:val="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表2-</w:t>
            </w:r>
            <w:r>
              <w:rPr>
                <w:rFonts w:hint="default" w:ascii="Times New Roman" w:hAnsi="Times New Roman" w:eastAsia="宋体" w:cs="Times New Roman"/>
                <w:b/>
                <w:bCs w:val="0"/>
                <w:color w:val="auto"/>
                <w:lang w:val="en-US" w:eastAsia="zh-CN"/>
              </w:rPr>
              <w:t>2</w:t>
            </w:r>
            <w:r>
              <w:rPr>
                <w:rFonts w:hint="eastAsia" w:eastAsia="宋体" w:cs="Times New Roman"/>
                <w:b/>
                <w:bCs w:val="0"/>
                <w:color w:val="auto"/>
                <w:lang w:val="en-US" w:eastAsia="zh-CN"/>
              </w:rPr>
              <w:t>4</w:t>
            </w:r>
            <w:r>
              <w:rPr>
                <w:rFonts w:hint="default" w:ascii="Times New Roman" w:hAnsi="Times New Roman" w:eastAsia="宋体" w:cs="Times New Roman"/>
                <w:b/>
                <w:bCs w:val="0"/>
                <w:color w:val="auto"/>
              </w:rPr>
              <w:t xml:space="preserve">  项目产污环节汇总表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76"/>
              <w:gridCol w:w="3169"/>
              <w:gridCol w:w="3639"/>
            </w:tblGrid>
            <w:tr w14:paraId="314C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789" w:type="pct"/>
                  <w:tcBorders>
                    <w:tl2br w:val="nil"/>
                    <w:tr2bl w:val="nil"/>
                  </w:tcBorders>
                  <w:noWrap w:val="0"/>
                  <w:vAlign w:val="center"/>
                </w:tcPr>
                <w:p w14:paraId="2700B798">
                  <w:pPr>
                    <w:widowControl/>
                    <w:autoSpaceDE w:val="0"/>
                    <w:autoSpaceDN w:val="0"/>
                    <w:adjustRightInd w:val="0"/>
                    <w:snapToGrid w:val="0"/>
                    <w:spacing w:line="240" w:lineRule="auto"/>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类别</w:t>
                  </w:r>
                </w:p>
              </w:tc>
              <w:tc>
                <w:tcPr>
                  <w:tcW w:w="1960" w:type="pct"/>
                  <w:tcBorders>
                    <w:tl2br w:val="nil"/>
                    <w:tr2bl w:val="nil"/>
                  </w:tcBorders>
                  <w:noWrap w:val="0"/>
                  <w:vAlign w:val="center"/>
                </w:tcPr>
                <w:p w14:paraId="57B9B018">
                  <w:pPr>
                    <w:widowControl/>
                    <w:autoSpaceDE w:val="0"/>
                    <w:autoSpaceDN w:val="0"/>
                    <w:adjustRightInd w:val="0"/>
                    <w:snapToGrid w:val="0"/>
                    <w:spacing w:line="240" w:lineRule="auto"/>
                    <w:jc w:val="center"/>
                    <w:rPr>
                      <w:rFonts w:hint="default" w:ascii="Times New Roman" w:hAnsi="Times New Roman" w:eastAsia="宋体" w:cs="Times New Roman"/>
                      <w:b/>
                      <w:bCs/>
                      <w:color w:val="auto"/>
                      <w:sz w:val="21"/>
                      <w:lang w:val="en-US" w:eastAsia="zh-CN"/>
                    </w:rPr>
                  </w:pPr>
                  <w:r>
                    <w:rPr>
                      <w:rFonts w:hint="eastAsia" w:cs="Times New Roman"/>
                      <w:b/>
                      <w:bCs/>
                      <w:color w:val="auto"/>
                      <w:sz w:val="21"/>
                      <w:lang w:val="en-US" w:eastAsia="zh-CN"/>
                    </w:rPr>
                    <w:t>产污环节</w:t>
                  </w:r>
                </w:p>
              </w:tc>
              <w:tc>
                <w:tcPr>
                  <w:tcW w:w="2250" w:type="pct"/>
                  <w:tcBorders>
                    <w:tl2br w:val="nil"/>
                    <w:tr2bl w:val="nil"/>
                  </w:tcBorders>
                  <w:noWrap w:val="0"/>
                  <w:vAlign w:val="center"/>
                </w:tcPr>
                <w:p w14:paraId="60250B84">
                  <w:pPr>
                    <w:widowControl/>
                    <w:autoSpaceDE w:val="0"/>
                    <w:autoSpaceDN w:val="0"/>
                    <w:adjustRightInd w:val="0"/>
                    <w:snapToGrid w:val="0"/>
                    <w:spacing w:line="240" w:lineRule="auto"/>
                    <w:jc w:val="center"/>
                    <w:rPr>
                      <w:rFonts w:hint="default" w:ascii="Times New Roman" w:hAnsi="Times New Roman" w:cs="Times New Roman"/>
                      <w:b/>
                      <w:bCs/>
                      <w:color w:val="auto"/>
                      <w:sz w:val="21"/>
                    </w:rPr>
                  </w:pPr>
                  <w:r>
                    <w:rPr>
                      <w:rFonts w:hint="default" w:ascii="Times New Roman" w:hAnsi="Times New Roman" w:cs="Times New Roman"/>
                      <w:b/>
                      <w:bCs/>
                      <w:color w:val="auto"/>
                      <w:sz w:val="21"/>
                      <w:lang w:val="zh-CN"/>
                    </w:rPr>
                    <w:t>污染物</w:t>
                  </w:r>
                </w:p>
              </w:tc>
            </w:tr>
            <w:tr w14:paraId="0E0D6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89" w:type="pct"/>
                  <w:vMerge w:val="restart"/>
                  <w:tcBorders>
                    <w:tl2br w:val="nil"/>
                    <w:tr2bl w:val="nil"/>
                  </w:tcBorders>
                  <w:noWrap w:val="0"/>
                  <w:vAlign w:val="center"/>
                </w:tcPr>
                <w:p w14:paraId="2CD56390">
                  <w:pPr>
                    <w:widowControl/>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废气</w:t>
                  </w:r>
                </w:p>
              </w:tc>
              <w:tc>
                <w:tcPr>
                  <w:tcW w:w="1960" w:type="pct"/>
                  <w:tcBorders>
                    <w:tl2br w:val="nil"/>
                    <w:tr2bl w:val="nil"/>
                  </w:tcBorders>
                  <w:noWrap w:val="0"/>
                  <w:vAlign w:val="center"/>
                </w:tcPr>
                <w:p w14:paraId="20A6FA2B">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水泥窑</w:t>
                  </w:r>
                  <w:r>
                    <w:rPr>
                      <w:rFonts w:hint="default" w:ascii="Times New Roman" w:hAnsi="Times New Roman" w:eastAsia="宋体" w:cs="Times New Roman"/>
                      <w:color w:val="auto"/>
                      <w:sz w:val="21"/>
                      <w:lang w:val="en-US" w:eastAsia="zh-CN"/>
                    </w:rPr>
                    <w:t>窑尾废气</w:t>
                  </w:r>
                </w:p>
              </w:tc>
              <w:tc>
                <w:tcPr>
                  <w:tcW w:w="2250" w:type="pct"/>
                  <w:tcBorders>
                    <w:tl2br w:val="nil"/>
                    <w:tr2bl w:val="nil"/>
                  </w:tcBorders>
                  <w:noWrap w:val="0"/>
                  <w:vAlign w:val="center"/>
                </w:tcPr>
                <w:p w14:paraId="1DA3154C">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颗粒物、SO</w:t>
                  </w:r>
                  <w:r>
                    <w:rPr>
                      <w:rFonts w:hint="default" w:ascii="Times New Roman" w:hAnsi="Times New Roman" w:eastAsia="宋体" w:cs="Times New Roman"/>
                      <w:color w:val="auto"/>
                      <w:sz w:val="21"/>
                      <w:vertAlign w:val="subscript"/>
                      <w:lang w:val="en-US" w:eastAsia="zh-CN"/>
                    </w:rPr>
                    <w:t>2</w:t>
                  </w:r>
                  <w:r>
                    <w:rPr>
                      <w:rFonts w:hint="default" w:ascii="Times New Roman" w:hAnsi="Times New Roman" w:eastAsia="宋体" w:cs="Times New Roman"/>
                      <w:color w:val="auto"/>
                      <w:sz w:val="21"/>
                      <w:lang w:val="en-US" w:eastAsia="zh-CN"/>
                    </w:rPr>
                    <w:t>、NOx、</w:t>
                  </w:r>
                  <w:r>
                    <w:rPr>
                      <w:rFonts w:hint="eastAsia" w:cs="Times New Roman"/>
                      <w:color w:val="auto"/>
                      <w:sz w:val="21"/>
                      <w:lang w:val="en-US" w:eastAsia="zh-CN"/>
                    </w:rPr>
                    <w:t>氨、</w:t>
                  </w:r>
                  <w:r>
                    <w:rPr>
                      <w:rFonts w:hint="default" w:ascii="Times New Roman" w:hAnsi="Times New Roman" w:eastAsia="宋体" w:cs="Times New Roman"/>
                      <w:color w:val="auto"/>
                      <w:sz w:val="21"/>
                      <w:lang w:val="en-US" w:eastAsia="zh-CN"/>
                    </w:rPr>
                    <w:t>HCl、</w:t>
                  </w:r>
                  <w:r>
                    <w:rPr>
                      <w:rFonts w:hint="eastAsia" w:cs="Times New Roman"/>
                      <w:color w:val="auto"/>
                      <w:sz w:val="21"/>
                      <w:lang w:val="en-US" w:eastAsia="zh-CN"/>
                    </w:rPr>
                    <w:t>氟化氢、</w:t>
                  </w:r>
                  <w:r>
                    <w:rPr>
                      <w:rFonts w:hint="default" w:ascii="Times New Roman" w:hAnsi="Times New Roman" w:eastAsia="宋体" w:cs="Times New Roman"/>
                      <w:color w:val="auto"/>
                      <w:sz w:val="21"/>
                      <w:lang w:val="en-US" w:eastAsia="zh-CN"/>
                    </w:rPr>
                    <w:t>二噁英类、重金属等</w:t>
                  </w:r>
                </w:p>
              </w:tc>
            </w:tr>
            <w:tr w14:paraId="7F999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89" w:type="pct"/>
                  <w:vMerge w:val="continue"/>
                  <w:tcBorders>
                    <w:tl2br w:val="nil"/>
                    <w:tr2bl w:val="nil"/>
                  </w:tcBorders>
                  <w:noWrap w:val="0"/>
                  <w:vAlign w:val="center"/>
                </w:tcPr>
                <w:p w14:paraId="58861FF4">
                  <w:pPr>
                    <w:widowControl/>
                    <w:adjustRightInd w:val="0"/>
                    <w:snapToGrid w:val="0"/>
                    <w:spacing w:line="240" w:lineRule="auto"/>
                    <w:jc w:val="center"/>
                    <w:rPr>
                      <w:rFonts w:hint="default" w:ascii="Times New Roman" w:hAnsi="Times New Roman" w:cs="Times New Roman"/>
                      <w:color w:val="auto"/>
                      <w:sz w:val="21"/>
                    </w:rPr>
                  </w:pPr>
                </w:p>
              </w:tc>
              <w:tc>
                <w:tcPr>
                  <w:tcW w:w="1960" w:type="pct"/>
                  <w:tcBorders>
                    <w:tl2br w:val="nil"/>
                    <w:tr2bl w:val="nil"/>
                  </w:tcBorders>
                  <w:noWrap w:val="0"/>
                  <w:vAlign w:val="center"/>
                </w:tcPr>
                <w:p w14:paraId="79C037C0">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替代</w:t>
                  </w:r>
                  <w:r>
                    <w:rPr>
                      <w:rFonts w:hint="eastAsia" w:cs="Times New Roman"/>
                      <w:color w:val="auto"/>
                      <w:sz w:val="21"/>
                      <w:lang w:val="en-US" w:eastAsia="zh-CN"/>
                    </w:rPr>
                    <w:t>原料卸料、暂存、输送粉尘</w:t>
                  </w:r>
                </w:p>
              </w:tc>
              <w:tc>
                <w:tcPr>
                  <w:tcW w:w="2250" w:type="pct"/>
                  <w:tcBorders>
                    <w:tl2br w:val="nil"/>
                    <w:tr2bl w:val="nil"/>
                  </w:tcBorders>
                  <w:noWrap w:val="0"/>
                  <w:vAlign w:val="center"/>
                </w:tcPr>
                <w:p w14:paraId="4912846F">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颗粒物</w:t>
                  </w:r>
                </w:p>
              </w:tc>
            </w:tr>
            <w:tr w14:paraId="721CF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89" w:type="pct"/>
                  <w:vMerge w:val="continue"/>
                  <w:tcBorders>
                    <w:tl2br w:val="nil"/>
                    <w:tr2bl w:val="nil"/>
                  </w:tcBorders>
                  <w:noWrap w:val="0"/>
                  <w:vAlign w:val="center"/>
                </w:tcPr>
                <w:p w14:paraId="15A5C3BD">
                  <w:pPr>
                    <w:widowControl/>
                    <w:adjustRightInd w:val="0"/>
                    <w:snapToGrid w:val="0"/>
                    <w:spacing w:line="240" w:lineRule="auto"/>
                    <w:jc w:val="center"/>
                    <w:rPr>
                      <w:rFonts w:hint="default" w:ascii="Times New Roman" w:hAnsi="Times New Roman" w:cs="Times New Roman"/>
                      <w:color w:val="auto"/>
                      <w:sz w:val="21"/>
                    </w:rPr>
                  </w:pPr>
                </w:p>
              </w:tc>
              <w:tc>
                <w:tcPr>
                  <w:tcW w:w="1960" w:type="pct"/>
                  <w:tcBorders>
                    <w:tl2br w:val="nil"/>
                    <w:tr2bl w:val="nil"/>
                  </w:tcBorders>
                  <w:noWrap w:val="0"/>
                  <w:vAlign w:val="center"/>
                </w:tcPr>
                <w:p w14:paraId="60218F63">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替代</w:t>
                  </w:r>
                  <w:r>
                    <w:rPr>
                      <w:rFonts w:hint="eastAsia" w:eastAsia="宋体" w:cs="Times New Roman"/>
                      <w:color w:val="auto"/>
                      <w:sz w:val="21"/>
                      <w:lang w:val="en-US" w:eastAsia="zh-CN"/>
                    </w:rPr>
                    <w:t>混合材</w:t>
                  </w:r>
                  <w:r>
                    <w:rPr>
                      <w:rFonts w:hint="eastAsia" w:cs="Times New Roman"/>
                      <w:color w:val="auto"/>
                      <w:sz w:val="21"/>
                      <w:lang w:val="en-US" w:eastAsia="zh-CN"/>
                    </w:rPr>
                    <w:t>卸料、暂存、输送粉尘</w:t>
                  </w:r>
                </w:p>
              </w:tc>
              <w:tc>
                <w:tcPr>
                  <w:tcW w:w="2250" w:type="pct"/>
                  <w:tcBorders>
                    <w:tl2br w:val="nil"/>
                    <w:tr2bl w:val="nil"/>
                  </w:tcBorders>
                  <w:noWrap w:val="0"/>
                  <w:vAlign w:val="center"/>
                </w:tcPr>
                <w:p w14:paraId="6BF5CA61">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颗粒物</w:t>
                  </w:r>
                </w:p>
              </w:tc>
            </w:tr>
            <w:tr w14:paraId="6C340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89" w:type="pct"/>
                  <w:vMerge w:val="continue"/>
                  <w:tcBorders>
                    <w:tl2br w:val="nil"/>
                    <w:tr2bl w:val="nil"/>
                  </w:tcBorders>
                  <w:noWrap w:val="0"/>
                  <w:vAlign w:val="center"/>
                </w:tcPr>
                <w:p w14:paraId="077F9491">
                  <w:pPr>
                    <w:widowControl/>
                    <w:adjustRightInd w:val="0"/>
                    <w:snapToGrid w:val="0"/>
                    <w:spacing w:line="240" w:lineRule="auto"/>
                    <w:jc w:val="center"/>
                    <w:rPr>
                      <w:rFonts w:hint="default" w:ascii="Times New Roman" w:hAnsi="Times New Roman" w:cs="Times New Roman"/>
                      <w:color w:val="auto"/>
                      <w:sz w:val="21"/>
                    </w:rPr>
                  </w:pPr>
                </w:p>
              </w:tc>
              <w:tc>
                <w:tcPr>
                  <w:tcW w:w="1960" w:type="pct"/>
                  <w:tcBorders>
                    <w:tl2br w:val="nil"/>
                    <w:tr2bl w:val="nil"/>
                  </w:tcBorders>
                  <w:noWrap w:val="0"/>
                  <w:vAlign w:val="center"/>
                </w:tcPr>
                <w:p w14:paraId="6D820B1D">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替代燃料</w:t>
                  </w:r>
                  <w:r>
                    <w:rPr>
                      <w:rFonts w:hint="eastAsia" w:cs="Times New Roman"/>
                      <w:color w:val="auto"/>
                      <w:sz w:val="21"/>
                      <w:lang w:val="en-US" w:eastAsia="zh-CN"/>
                    </w:rPr>
                    <w:t>卸料、暂存、输送粉尘</w:t>
                  </w:r>
                </w:p>
              </w:tc>
              <w:tc>
                <w:tcPr>
                  <w:tcW w:w="2250" w:type="pct"/>
                  <w:tcBorders>
                    <w:tl2br w:val="nil"/>
                    <w:tr2bl w:val="nil"/>
                  </w:tcBorders>
                  <w:noWrap w:val="0"/>
                  <w:vAlign w:val="center"/>
                </w:tcPr>
                <w:p w14:paraId="4F68FD1B">
                  <w:pPr>
                    <w:widowControl/>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lang w:val="en-US" w:eastAsia="zh-CN"/>
                    </w:rPr>
                    <w:t>颗粒物</w:t>
                  </w:r>
                </w:p>
              </w:tc>
            </w:tr>
            <w:tr w14:paraId="321CB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89" w:type="pct"/>
                  <w:vMerge w:val="continue"/>
                  <w:tcBorders>
                    <w:tl2br w:val="nil"/>
                    <w:tr2bl w:val="nil"/>
                  </w:tcBorders>
                  <w:noWrap w:val="0"/>
                  <w:vAlign w:val="center"/>
                </w:tcPr>
                <w:p w14:paraId="0315C0C3">
                  <w:pPr>
                    <w:widowControl/>
                    <w:adjustRightInd w:val="0"/>
                    <w:snapToGrid w:val="0"/>
                    <w:spacing w:line="240" w:lineRule="auto"/>
                    <w:jc w:val="center"/>
                    <w:rPr>
                      <w:rFonts w:hint="default" w:ascii="Times New Roman" w:hAnsi="Times New Roman" w:cs="Times New Roman"/>
                      <w:color w:val="auto"/>
                      <w:sz w:val="21"/>
                    </w:rPr>
                  </w:pPr>
                </w:p>
              </w:tc>
              <w:tc>
                <w:tcPr>
                  <w:tcW w:w="1960" w:type="pct"/>
                  <w:tcBorders>
                    <w:tl2br w:val="nil"/>
                    <w:tr2bl w:val="nil"/>
                  </w:tcBorders>
                  <w:noWrap w:val="0"/>
                  <w:vAlign w:val="center"/>
                </w:tcPr>
                <w:p w14:paraId="5CA2D1BA">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eastAsia" w:cs="Times New Roman"/>
                      <w:color w:val="auto"/>
                      <w:kern w:val="2"/>
                      <w:sz w:val="21"/>
                      <w:szCs w:val="21"/>
                      <w:lang w:val="en-US" w:eastAsia="zh-CN" w:bidi="ar-SA"/>
                    </w:rPr>
                    <w:t>煤粉仓（MF0175）粉尘</w:t>
                  </w:r>
                </w:p>
              </w:tc>
              <w:tc>
                <w:tcPr>
                  <w:tcW w:w="2250" w:type="pct"/>
                  <w:tcBorders>
                    <w:tl2br w:val="nil"/>
                    <w:tr2bl w:val="nil"/>
                  </w:tcBorders>
                  <w:noWrap w:val="0"/>
                  <w:vAlign w:val="center"/>
                </w:tcPr>
                <w:p w14:paraId="461427D7">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颗粒物</w:t>
                  </w:r>
                </w:p>
              </w:tc>
            </w:tr>
            <w:tr w14:paraId="21B66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89" w:type="pct"/>
                  <w:tcBorders>
                    <w:tl2br w:val="nil"/>
                    <w:tr2bl w:val="nil"/>
                  </w:tcBorders>
                  <w:noWrap w:val="0"/>
                  <w:vAlign w:val="center"/>
                </w:tcPr>
                <w:p w14:paraId="4D5E0616">
                  <w:pPr>
                    <w:widowControl/>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固废</w:t>
                  </w:r>
                </w:p>
              </w:tc>
              <w:tc>
                <w:tcPr>
                  <w:tcW w:w="1960" w:type="pct"/>
                  <w:tcBorders>
                    <w:tl2br w:val="nil"/>
                    <w:tr2bl w:val="nil"/>
                  </w:tcBorders>
                  <w:noWrap w:val="0"/>
                  <w:vAlign w:val="center"/>
                </w:tcPr>
                <w:p w14:paraId="382A2B65">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设备维护</w:t>
                  </w:r>
                </w:p>
              </w:tc>
              <w:tc>
                <w:tcPr>
                  <w:tcW w:w="2250" w:type="pct"/>
                  <w:tcBorders>
                    <w:tl2br w:val="nil"/>
                    <w:tr2bl w:val="nil"/>
                  </w:tcBorders>
                  <w:noWrap w:val="0"/>
                  <w:vAlign w:val="center"/>
                </w:tcPr>
                <w:p w14:paraId="3935E7CA">
                  <w:pPr>
                    <w:widowControl/>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废矿物油及包装桶</w:t>
                  </w:r>
                </w:p>
              </w:tc>
            </w:tr>
            <w:tr w14:paraId="3A3DE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789" w:type="pct"/>
                  <w:tcBorders>
                    <w:tl2br w:val="nil"/>
                    <w:tr2bl w:val="nil"/>
                  </w:tcBorders>
                  <w:noWrap w:val="0"/>
                  <w:vAlign w:val="center"/>
                </w:tcPr>
                <w:p w14:paraId="62E14E3A">
                  <w:pPr>
                    <w:widowControl/>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噪声</w:t>
                  </w:r>
                </w:p>
              </w:tc>
              <w:tc>
                <w:tcPr>
                  <w:tcW w:w="4210" w:type="pct"/>
                  <w:gridSpan w:val="2"/>
                  <w:tcBorders>
                    <w:tl2br w:val="nil"/>
                    <w:tr2bl w:val="nil"/>
                  </w:tcBorders>
                  <w:noWrap w:val="0"/>
                  <w:vAlign w:val="center"/>
                </w:tcPr>
                <w:p w14:paraId="44B1A188">
                  <w:pPr>
                    <w:widowControl/>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lang w:val="en-US" w:eastAsia="zh-CN"/>
                    </w:rPr>
                    <w:t>输送机、风机</w:t>
                  </w:r>
                  <w:r>
                    <w:rPr>
                      <w:rFonts w:hint="default" w:ascii="Times New Roman" w:hAnsi="Times New Roman" w:cs="Times New Roman"/>
                      <w:color w:val="auto"/>
                      <w:sz w:val="21"/>
                    </w:rPr>
                    <w:t>等</w:t>
                  </w:r>
                  <w:r>
                    <w:rPr>
                      <w:rFonts w:hint="eastAsia" w:cs="Times New Roman"/>
                      <w:color w:val="auto"/>
                      <w:sz w:val="21"/>
                      <w:lang w:val="en-US" w:eastAsia="zh-CN"/>
                    </w:rPr>
                    <w:t>设备噪声</w:t>
                  </w:r>
                </w:p>
              </w:tc>
            </w:tr>
          </w:tbl>
          <w:p w14:paraId="3BD526C7">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三、固废投加点选取及可行性分析</w:t>
            </w:r>
          </w:p>
          <w:p w14:paraId="7CE3C619">
            <w:pPr>
              <w:adjustRightInd w:val="0"/>
              <w:snapToGrid w:val="0"/>
              <w:ind w:firstLine="480" w:firstLineChars="200"/>
              <w:rPr>
                <w:rFonts w:hint="default" w:ascii="Times New Roman" w:hAnsi="Times New Roman" w:cs="Times New Roman"/>
                <w:bCs/>
                <w:color w:val="auto"/>
                <w:lang w:val="en-US" w:eastAsia="zh-CN"/>
              </w:rPr>
            </w:pPr>
            <w:r>
              <w:rPr>
                <w:rFonts w:hint="eastAsia" w:cs="Times New Roman"/>
                <w:bCs/>
                <w:color w:val="auto"/>
                <w:lang w:val="en-US" w:eastAsia="zh-CN"/>
              </w:rPr>
              <w:t>1、</w:t>
            </w:r>
            <w:r>
              <w:rPr>
                <w:rFonts w:hint="default" w:ascii="Times New Roman" w:hAnsi="Times New Roman" w:cs="Times New Roman"/>
                <w:bCs/>
                <w:color w:val="auto"/>
                <w:lang w:val="en-US" w:eastAsia="zh-CN"/>
              </w:rPr>
              <w:t>固废投加点选择相关要求</w:t>
            </w:r>
          </w:p>
          <w:p w14:paraId="15802439">
            <w:pPr>
              <w:adjustRightInd w:val="0"/>
              <w:snapToGrid w:val="0"/>
              <w:ind w:firstLine="480" w:firstLineChars="200"/>
              <w:rPr>
                <w:rFonts w:hint="default" w:ascii="Times New Roman" w:hAnsi="Times New Roman" w:eastAsia="宋体" w:cs="Times New Roman"/>
                <w:b/>
                <w:bCs w:val="0"/>
                <w:color w:val="auto"/>
                <w:lang w:val="en-US" w:eastAsia="zh-CN"/>
              </w:rPr>
            </w:pPr>
            <w:r>
              <w:rPr>
                <w:rFonts w:hint="default" w:ascii="Times New Roman" w:hAnsi="Times New Roman" w:cs="Times New Roman"/>
                <w:bCs/>
                <w:color w:val="auto"/>
                <w:lang w:eastAsia="zh-CN"/>
              </w:rPr>
              <w:t>根据《水泥窑协同处置固体废物环境保护技术规范》（HJ662-2013），水泥窑进行协同处置的固体废物投加位置包括窑头高温段、窑尾高温段和生料配料系统。有关要求见下表。</w:t>
            </w:r>
          </w:p>
          <w:p w14:paraId="3B81E379">
            <w:pPr>
              <w:pStyle w:val="45"/>
              <w:bidi w:val="0"/>
              <w:rPr>
                <w:rFonts w:hint="default" w:ascii="Times New Roman" w:hAnsi="Times New Roman" w:cs="Times New Roman"/>
                <w:color w:val="auto"/>
                <w:szCs w:val="21"/>
                <w:lang w:val="en-US" w:eastAsia="zh-CN"/>
              </w:rPr>
            </w:pPr>
            <w:r>
              <w:rPr>
                <w:rFonts w:hint="default" w:ascii="Times New Roman" w:hAnsi="Times New Roman" w:eastAsia="宋体" w:cs="Times New Roman"/>
                <w:b/>
                <w:bCs w:val="0"/>
                <w:color w:val="auto"/>
                <w:lang w:val="en-US" w:eastAsia="zh-CN"/>
              </w:rPr>
              <w:t>表2-</w:t>
            </w:r>
            <w:r>
              <w:rPr>
                <w:rFonts w:hint="eastAsia" w:eastAsia="宋体" w:cs="Times New Roman"/>
                <w:b/>
                <w:bCs w:val="0"/>
                <w:color w:val="auto"/>
                <w:lang w:val="en-US" w:eastAsia="zh-CN"/>
              </w:rPr>
              <w:t>25</w:t>
            </w:r>
            <w:r>
              <w:rPr>
                <w:rFonts w:hint="default" w:ascii="Times New Roman" w:hAnsi="Times New Roman" w:eastAsia="宋体" w:cs="Times New Roman"/>
                <w:b/>
                <w:bCs w:val="0"/>
                <w:color w:val="auto"/>
                <w:lang w:val="en-US" w:eastAsia="zh-CN"/>
              </w:rPr>
              <w:t xml:space="preserve"> 《水泥窑协同处置固体废物环境保护技术规范》关于投加点相关要求</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1311"/>
              <w:gridCol w:w="6332"/>
            </w:tblGrid>
            <w:tr w14:paraId="14F49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1084" w:type="pct"/>
                  <w:gridSpan w:val="2"/>
                  <w:tcBorders>
                    <w:tl2br w:val="nil"/>
                    <w:tr2bl w:val="nil"/>
                  </w:tcBorders>
                  <w:noWrap w:val="0"/>
                  <w:vAlign w:val="center"/>
                </w:tcPr>
                <w:p w14:paraId="7B73BE8A">
                  <w:pPr>
                    <w:pStyle w:val="46"/>
                    <w:spacing w:line="240" w:lineRule="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投加点</w:t>
                  </w:r>
                </w:p>
              </w:tc>
              <w:tc>
                <w:tcPr>
                  <w:tcW w:w="3915" w:type="pct"/>
                  <w:tcBorders>
                    <w:tl2br w:val="nil"/>
                    <w:tr2bl w:val="nil"/>
                  </w:tcBorders>
                  <w:noWrap w:val="0"/>
                  <w:vAlign w:val="center"/>
                </w:tcPr>
                <w:p w14:paraId="518A19B6">
                  <w:pPr>
                    <w:pStyle w:val="46"/>
                    <w:spacing w:line="24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固废投加技术要求</w:t>
                  </w:r>
                </w:p>
              </w:tc>
            </w:tr>
            <w:tr w14:paraId="09CBD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273" w:type="pct"/>
                  <w:vMerge w:val="restart"/>
                  <w:tcBorders>
                    <w:tl2br w:val="nil"/>
                    <w:tr2bl w:val="nil"/>
                  </w:tcBorders>
                  <w:noWrap w:val="0"/>
                  <w:vAlign w:val="center"/>
                </w:tcPr>
                <w:p w14:paraId="1D1355F9">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窑头高温段</w:t>
                  </w:r>
                </w:p>
              </w:tc>
              <w:tc>
                <w:tcPr>
                  <w:tcW w:w="811" w:type="pct"/>
                  <w:tcBorders>
                    <w:tl2br w:val="nil"/>
                    <w:tr2bl w:val="nil"/>
                  </w:tcBorders>
                  <w:noWrap w:val="0"/>
                  <w:vAlign w:val="center"/>
                </w:tcPr>
                <w:p w14:paraId="60E12EC8">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val="en-US" w:eastAsia="zh-CN"/>
                    </w:rPr>
                    <w:t>主燃烧器</w:t>
                  </w:r>
                </w:p>
              </w:tc>
              <w:tc>
                <w:tcPr>
                  <w:tcW w:w="3915" w:type="pct"/>
                  <w:tcBorders>
                    <w:tl2br w:val="nil"/>
                    <w:tr2bl w:val="nil"/>
                  </w:tcBorders>
                  <w:noWrap w:val="0"/>
                  <w:vAlign w:val="center"/>
                </w:tcPr>
                <w:p w14:paraId="6299E777">
                  <w:pPr>
                    <w:spacing w:line="240" w:lineRule="auto"/>
                    <w:jc w:val="both"/>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（1）具有以下特性的固体废物宜在主燃烧器投加：</w:t>
                  </w:r>
                </w:p>
                <w:p w14:paraId="231C9D40">
                  <w:pPr>
                    <w:spacing w:line="240" w:lineRule="auto"/>
                    <w:jc w:val="both"/>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①液态或易于气力输送的粉状废物；②含POPs物质或高氯、高毒、难降解有机物质的废物；③热值高、含水率低的有机废液。</w:t>
                  </w:r>
                </w:p>
                <w:p w14:paraId="32F87234">
                  <w:pPr>
                    <w:spacing w:line="240" w:lineRule="auto"/>
                    <w:jc w:val="both"/>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（2）在主燃烧器投加固体废物操作中应满足以下条件：</w:t>
                  </w:r>
                </w:p>
                <w:p w14:paraId="56D9B6AE">
                  <w:pPr>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vertAlign w:val="baseline"/>
                      <w:lang w:val="en-US" w:eastAsia="zh-CN"/>
                    </w:rPr>
                    <w:t>①通过泵力输送投加的液态废物不应含有沉淀物，以免堵塞燃烧器喷嘴；②通过气力输送投加的粉状废物，从多通道燃烧器的不同通道喷入窑内，若废物|灰分含量高，尽可能喷入更远的距离，尽量达到固相反应带。</w:t>
                  </w:r>
                </w:p>
              </w:tc>
            </w:tr>
            <w:tr w14:paraId="22604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73" w:type="pct"/>
                  <w:vMerge w:val="continue"/>
                  <w:tcBorders>
                    <w:tl2br w:val="nil"/>
                    <w:tr2bl w:val="nil"/>
                  </w:tcBorders>
                  <w:noWrap w:val="0"/>
                  <w:vAlign w:val="center"/>
                </w:tcPr>
                <w:p w14:paraId="40C4B2BB">
                  <w:pPr>
                    <w:pStyle w:val="46"/>
                    <w:spacing w:line="240" w:lineRule="auto"/>
                    <w:rPr>
                      <w:rFonts w:hint="default" w:ascii="Times New Roman" w:hAnsi="Times New Roman" w:cs="Times New Roman"/>
                      <w:color w:val="auto"/>
                      <w:sz w:val="21"/>
                      <w:szCs w:val="21"/>
                    </w:rPr>
                  </w:pPr>
                </w:p>
              </w:tc>
              <w:tc>
                <w:tcPr>
                  <w:tcW w:w="811" w:type="pct"/>
                  <w:tcBorders>
                    <w:tl2br w:val="nil"/>
                    <w:tr2bl w:val="nil"/>
                  </w:tcBorders>
                  <w:noWrap w:val="0"/>
                  <w:vAlign w:val="center"/>
                </w:tcPr>
                <w:p w14:paraId="369C6A40">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窑门罩</w:t>
                  </w:r>
                </w:p>
              </w:tc>
              <w:tc>
                <w:tcPr>
                  <w:tcW w:w="3915" w:type="pct"/>
                  <w:tcBorders>
                    <w:tl2br w:val="nil"/>
                    <w:tr2bl w:val="nil"/>
                  </w:tcBorders>
                  <w:noWrap w:val="0"/>
                  <w:vAlign w:val="center"/>
                </w:tcPr>
                <w:p w14:paraId="6564F753">
                  <w:pPr>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窑门罩宜投加不适于在窑头主燃烧器投加的液体废物，如各种低热值液态废物。（2）在窑门罩投加固态废物时应采用特殊设计的投加设施。投加时应确保将固态废物投至固相反应带，确保废物反应完全。（3）在窑门罩投加的液态废物应通过泵力输送至窑门罩喷入窑内。</w:t>
                  </w:r>
                </w:p>
              </w:tc>
            </w:tr>
            <w:tr w14:paraId="01A9D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273" w:type="pct"/>
                  <w:vMerge w:val="restart"/>
                  <w:tcBorders>
                    <w:tl2br w:val="nil"/>
                    <w:tr2bl w:val="nil"/>
                  </w:tcBorders>
                  <w:noWrap w:val="0"/>
                  <w:vAlign w:val="center"/>
                </w:tcPr>
                <w:p w14:paraId="28670AEC">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窑尾高温段</w:t>
                  </w:r>
                </w:p>
              </w:tc>
              <w:tc>
                <w:tcPr>
                  <w:tcW w:w="811" w:type="pct"/>
                  <w:tcBorders>
                    <w:tl2br w:val="nil"/>
                    <w:tr2bl w:val="nil"/>
                  </w:tcBorders>
                  <w:noWrap w:val="0"/>
                  <w:vAlign w:val="center"/>
                </w:tcPr>
                <w:p w14:paraId="63105768">
                  <w:pPr>
                    <w:pStyle w:val="46"/>
                    <w:spacing w:line="240" w:lineRule="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分解炉</w:t>
                  </w:r>
                </w:p>
              </w:tc>
              <w:tc>
                <w:tcPr>
                  <w:tcW w:w="3915" w:type="pct"/>
                  <w:vMerge w:val="restart"/>
                  <w:tcBorders>
                    <w:tl2br w:val="nil"/>
                    <w:tr2bl w:val="nil"/>
                  </w:tcBorders>
                  <w:noWrap w:val="0"/>
                  <w:vAlign w:val="center"/>
                </w:tcPr>
                <w:p w14:paraId="74C5AC8B">
                  <w:pPr>
                    <w:pStyle w:val="46"/>
                    <w:spacing w:line="240" w:lineRule="auto"/>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含POPs物质和高氯、高毒、难降解有机物质的固体废物优先从窑头投加。若受物理特性限制需要从窑尾投加时，优先选择从窑尾烟室投加点。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含水率高或块状废物应优先选择从窑尾烟室投入。</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在窑尾投加的液态、浆状废物应通过泵力输送，粉状废物应通过密闭的机械传送装置或气力输送，大块状废物应通过机械传送装置输送</w:t>
                  </w:r>
                  <w:r>
                    <w:rPr>
                      <w:rFonts w:hint="default" w:ascii="Times New Roman" w:hAnsi="Times New Roman" w:cs="Times New Roman"/>
                      <w:color w:val="auto"/>
                      <w:sz w:val="21"/>
                      <w:szCs w:val="21"/>
                      <w:lang w:eastAsia="zh-CN"/>
                    </w:rPr>
                    <w:t>。</w:t>
                  </w:r>
                </w:p>
              </w:tc>
            </w:tr>
            <w:tr w14:paraId="4DDC9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73" w:type="pct"/>
                  <w:vMerge w:val="continue"/>
                  <w:tcBorders>
                    <w:tl2br w:val="nil"/>
                    <w:tr2bl w:val="nil"/>
                  </w:tcBorders>
                  <w:noWrap w:val="0"/>
                  <w:vAlign w:val="center"/>
                </w:tcPr>
                <w:p w14:paraId="71B828DE">
                  <w:pPr>
                    <w:pStyle w:val="46"/>
                    <w:spacing w:line="240" w:lineRule="auto"/>
                    <w:rPr>
                      <w:rFonts w:hint="default" w:ascii="Times New Roman" w:hAnsi="Times New Roman" w:cs="Times New Roman"/>
                      <w:color w:val="auto"/>
                      <w:sz w:val="21"/>
                      <w:szCs w:val="21"/>
                    </w:rPr>
                  </w:pPr>
                </w:p>
              </w:tc>
              <w:tc>
                <w:tcPr>
                  <w:tcW w:w="811" w:type="pct"/>
                  <w:tcBorders>
                    <w:tl2br w:val="nil"/>
                    <w:tr2bl w:val="nil"/>
                  </w:tcBorders>
                  <w:noWrap w:val="0"/>
                  <w:vAlign w:val="center"/>
                </w:tcPr>
                <w:p w14:paraId="22C5DB7E">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窑尾烟室</w:t>
                  </w:r>
                </w:p>
              </w:tc>
              <w:tc>
                <w:tcPr>
                  <w:tcW w:w="3915" w:type="pct"/>
                  <w:vMerge w:val="continue"/>
                  <w:tcBorders>
                    <w:tl2br w:val="nil"/>
                    <w:tr2bl w:val="nil"/>
                  </w:tcBorders>
                  <w:noWrap w:val="0"/>
                  <w:vAlign w:val="center"/>
                </w:tcPr>
                <w:p w14:paraId="49C9D677">
                  <w:pPr>
                    <w:pStyle w:val="46"/>
                    <w:spacing w:line="240" w:lineRule="auto"/>
                    <w:rPr>
                      <w:rFonts w:hint="default" w:ascii="Times New Roman" w:hAnsi="Times New Roman" w:cs="Times New Roman"/>
                      <w:color w:val="auto"/>
                      <w:sz w:val="21"/>
                      <w:szCs w:val="21"/>
                    </w:rPr>
                  </w:pPr>
                </w:p>
              </w:tc>
            </w:tr>
            <w:tr w14:paraId="2642D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273" w:type="pct"/>
                  <w:vMerge w:val="continue"/>
                  <w:tcBorders>
                    <w:tl2br w:val="nil"/>
                    <w:tr2bl w:val="nil"/>
                  </w:tcBorders>
                  <w:noWrap w:val="0"/>
                  <w:vAlign w:val="center"/>
                </w:tcPr>
                <w:p w14:paraId="6CB4E886">
                  <w:pPr>
                    <w:pStyle w:val="46"/>
                    <w:spacing w:line="240" w:lineRule="auto"/>
                    <w:rPr>
                      <w:rFonts w:hint="default" w:ascii="Times New Roman" w:hAnsi="Times New Roman" w:cs="Times New Roman"/>
                      <w:color w:val="auto"/>
                      <w:sz w:val="21"/>
                      <w:szCs w:val="21"/>
                    </w:rPr>
                  </w:pPr>
                </w:p>
              </w:tc>
              <w:tc>
                <w:tcPr>
                  <w:tcW w:w="811" w:type="pct"/>
                  <w:tcBorders>
                    <w:tl2br w:val="nil"/>
                    <w:tr2bl w:val="nil"/>
                  </w:tcBorders>
                  <w:noWrap w:val="0"/>
                  <w:vAlign w:val="center"/>
                </w:tcPr>
                <w:p w14:paraId="520A352B">
                  <w:pPr>
                    <w:pStyle w:val="46"/>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上升烟道</w:t>
                  </w:r>
                </w:p>
              </w:tc>
              <w:tc>
                <w:tcPr>
                  <w:tcW w:w="3915" w:type="pct"/>
                  <w:vMerge w:val="continue"/>
                  <w:tcBorders>
                    <w:tl2br w:val="nil"/>
                    <w:tr2bl w:val="nil"/>
                  </w:tcBorders>
                  <w:noWrap w:val="0"/>
                  <w:vAlign w:val="center"/>
                </w:tcPr>
                <w:p w14:paraId="290AEDEC">
                  <w:pPr>
                    <w:pStyle w:val="46"/>
                    <w:spacing w:line="240" w:lineRule="auto"/>
                    <w:rPr>
                      <w:rFonts w:hint="default" w:ascii="Times New Roman" w:hAnsi="Times New Roman" w:cs="Times New Roman"/>
                      <w:color w:val="auto"/>
                      <w:sz w:val="21"/>
                      <w:szCs w:val="21"/>
                    </w:rPr>
                  </w:pPr>
                </w:p>
              </w:tc>
            </w:tr>
            <w:tr w14:paraId="623D3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084" w:type="pct"/>
                  <w:gridSpan w:val="2"/>
                  <w:tcBorders>
                    <w:tl2br w:val="nil"/>
                    <w:tr2bl w:val="nil"/>
                  </w:tcBorders>
                  <w:noWrap w:val="0"/>
                  <w:vAlign w:val="center"/>
                </w:tcPr>
                <w:p w14:paraId="2CA283A4">
                  <w:pPr>
                    <w:pStyle w:val="46"/>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生料配料系统（生料磨）</w:t>
                  </w:r>
                </w:p>
              </w:tc>
              <w:tc>
                <w:tcPr>
                  <w:tcW w:w="3915" w:type="pct"/>
                  <w:tcBorders>
                    <w:tl2br w:val="nil"/>
                    <w:tr2bl w:val="nil"/>
                  </w:tcBorders>
                  <w:noWrap w:val="0"/>
                  <w:vAlign w:val="center"/>
                </w:tcPr>
                <w:p w14:paraId="08DCF7CB">
                  <w:pPr>
                    <w:pStyle w:val="46"/>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只能投加不含有机物和挥发半挥发性重金属的固态废物</w:t>
                  </w:r>
                </w:p>
              </w:tc>
            </w:tr>
          </w:tbl>
          <w:p w14:paraId="7B3F9BC2">
            <w:pPr>
              <w:adjustRightInd w:val="0"/>
              <w:snapToGrid w:val="0"/>
              <w:ind w:firstLine="480" w:firstLineChars="200"/>
              <w:rPr>
                <w:rFonts w:hint="default" w:ascii="Times New Roman" w:hAnsi="Times New Roman" w:cs="Times New Roman"/>
                <w:bCs/>
                <w:color w:val="auto"/>
                <w:lang w:val="en-US" w:eastAsia="zh-CN"/>
              </w:rPr>
            </w:pPr>
            <w:r>
              <w:rPr>
                <w:rFonts w:hint="eastAsia" w:cs="Times New Roman"/>
                <w:bCs/>
                <w:color w:val="auto"/>
                <w:lang w:val="en-US" w:eastAsia="zh-CN"/>
              </w:rPr>
              <w:t>2、</w:t>
            </w:r>
            <w:r>
              <w:rPr>
                <w:rFonts w:hint="default" w:ascii="Times New Roman" w:hAnsi="Times New Roman" w:cs="Times New Roman"/>
                <w:bCs/>
                <w:color w:val="auto"/>
                <w:lang w:eastAsia="zh-CN"/>
              </w:rPr>
              <w:t>本项目投加点确定及可行性分析</w:t>
            </w:r>
          </w:p>
          <w:p w14:paraId="48C1C4C7">
            <w:pPr>
              <w:adjustRightInd w:val="0"/>
              <w:snapToGrid w:val="0"/>
              <w:ind w:firstLine="480"/>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本</w:t>
            </w:r>
            <w:r>
              <w:rPr>
                <w:rFonts w:hint="default" w:ascii="Times New Roman" w:hAnsi="Times New Roman" w:cs="Times New Roman"/>
                <w:bCs/>
                <w:color w:val="auto"/>
                <w:sz w:val="24"/>
                <w:szCs w:val="24"/>
                <w:lang w:val="en-US" w:eastAsia="zh-CN"/>
              </w:rPr>
              <w:t>项目</w:t>
            </w:r>
            <w:r>
              <w:rPr>
                <w:rFonts w:hint="eastAsia" w:cs="Times New Roman"/>
                <w:bCs/>
                <w:color w:val="auto"/>
                <w:sz w:val="24"/>
                <w:szCs w:val="24"/>
                <w:lang w:val="en-US" w:eastAsia="zh-CN"/>
              </w:rPr>
              <w:t>替代原料不含</w:t>
            </w:r>
            <w:r>
              <w:rPr>
                <w:rFonts w:hint="default" w:ascii="Times New Roman" w:hAnsi="Times New Roman" w:cs="Times New Roman"/>
                <w:color w:val="auto"/>
                <w:sz w:val="24"/>
                <w:szCs w:val="24"/>
              </w:rPr>
              <w:t>有机物和挥发半挥发性重金属</w:t>
            </w:r>
            <w:r>
              <w:rPr>
                <w:rFonts w:hint="eastAsia" w:cs="Times New Roman"/>
                <w:color w:val="auto"/>
                <w:sz w:val="24"/>
                <w:szCs w:val="24"/>
                <w:lang w:eastAsia="zh-CN"/>
              </w:rPr>
              <w:t>，</w:t>
            </w:r>
            <w:r>
              <w:rPr>
                <w:rFonts w:hint="eastAsia" w:cs="Times New Roman"/>
                <w:color w:val="auto"/>
                <w:sz w:val="24"/>
                <w:szCs w:val="24"/>
                <w:lang w:val="en-US" w:eastAsia="zh-CN"/>
              </w:rPr>
              <w:t>含水量低，投加点为生料配料系统，替代燃料不属于含POPs物质和高氯、高毒、难降解有机物质的固体废物，含水率低，块状物料通过皮带传送装置输送投加至</w:t>
            </w:r>
            <w:r>
              <w:rPr>
                <w:rFonts w:hint="eastAsia" w:cs="Times New Roman"/>
                <w:color w:val="auto"/>
                <w:lang w:val="en-US" w:eastAsia="zh-CN"/>
              </w:rPr>
              <w:t>窑尾分解炉，粉状废物通过气力输送装置</w:t>
            </w:r>
            <w:r>
              <w:rPr>
                <w:rFonts w:hint="eastAsia" w:cs="Times New Roman"/>
                <w:color w:val="auto"/>
                <w:sz w:val="24"/>
                <w:szCs w:val="24"/>
                <w:lang w:val="en-US" w:eastAsia="zh-CN"/>
              </w:rPr>
              <w:t>输送投加至</w:t>
            </w:r>
            <w:r>
              <w:rPr>
                <w:rFonts w:hint="eastAsia" w:cs="Times New Roman"/>
                <w:color w:val="auto"/>
                <w:lang w:val="en-US" w:eastAsia="zh-CN"/>
              </w:rPr>
              <w:t>窑尾分解炉，</w:t>
            </w:r>
            <w:r>
              <w:rPr>
                <w:rFonts w:hint="default" w:ascii="Times New Roman" w:hAnsi="Times New Roman" w:cs="Times New Roman"/>
                <w:bCs/>
                <w:color w:val="auto"/>
                <w:lang w:val="en-US" w:eastAsia="zh-CN"/>
              </w:rPr>
              <w:t>符合</w:t>
            </w:r>
            <w:r>
              <w:rPr>
                <w:rFonts w:hint="default" w:ascii="Times New Roman" w:hAnsi="Times New Roman" w:cs="Times New Roman"/>
                <w:bCs/>
                <w:color w:val="auto"/>
                <w:lang w:eastAsia="zh-CN"/>
              </w:rPr>
              <w:t>《水泥窑协同处置固体废物环境保护技术规范》（HJ662-2013）</w:t>
            </w:r>
            <w:r>
              <w:rPr>
                <w:rFonts w:hint="eastAsia" w:cs="Times New Roman"/>
                <w:bCs/>
                <w:color w:val="auto"/>
                <w:lang w:val="en-US" w:eastAsia="zh-CN"/>
              </w:rPr>
              <w:t>关于投加点的</w:t>
            </w:r>
            <w:r>
              <w:rPr>
                <w:rFonts w:hint="default" w:ascii="Times New Roman" w:hAnsi="Times New Roman" w:cs="Times New Roman"/>
                <w:bCs/>
                <w:color w:val="auto"/>
                <w:lang w:val="en-US" w:eastAsia="zh-CN"/>
              </w:rPr>
              <w:t>相关要求。</w:t>
            </w:r>
          </w:p>
          <w:p w14:paraId="38AF3141">
            <w:pPr>
              <w:bidi w:val="0"/>
              <w:ind w:firstLine="480" w:firstLineChars="200"/>
              <w:rPr>
                <w:rFonts w:hint="default" w:ascii="Times New Roman" w:hAnsi="Times New Roman" w:cs="Times New Roman"/>
                <w:color w:val="auto"/>
              </w:rPr>
            </w:pPr>
          </w:p>
          <w:p w14:paraId="66F58D99">
            <w:pPr>
              <w:bidi w:val="0"/>
              <w:ind w:firstLine="480" w:firstLineChars="200"/>
              <w:rPr>
                <w:rFonts w:hint="default" w:ascii="Times New Roman" w:hAnsi="Times New Roman" w:cs="Times New Roman"/>
                <w:color w:val="auto"/>
              </w:rPr>
            </w:pPr>
          </w:p>
          <w:p w14:paraId="2088DE1C">
            <w:pPr>
              <w:bidi w:val="0"/>
              <w:ind w:firstLine="480" w:firstLineChars="200"/>
              <w:rPr>
                <w:rFonts w:hint="default" w:ascii="Times New Roman" w:hAnsi="Times New Roman" w:cs="Times New Roman"/>
                <w:color w:val="auto"/>
              </w:rPr>
            </w:pPr>
          </w:p>
          <w:p w14:paraId="58259675">
            <w:pPr>
              <w:bidi w:val="0"/>
              <w:ind w:firstLine="480" w:firstLineChars="200"/>
              <w:rPr>
                <w:rFonts w:hint="default" w:ascii="Times New Roman" w:hAnsi="Times New Roman" w:cs="Times New Roman"/>
                <w:color w:val="auto"/>
              </w:rPr>
            </w:pPr>
          </w:p>
          <w:p w14:paraId="2D1D0EE6">
            <w:pPr>
              <w:bidi w:val="0"/>
              <w:ind w:firstLine="480" w:firstLineChars="200"/>
              <w:rPr>
                <w:rFonts w:hint="default" w:ascii="Times New Roman" w:hAnsi="Times New Roman" w:cs="Times New Roman"/>
                <w:color w:val="auto"/>
              </w:rPr>
            </w:pPr>
          </w:p>
          <w:p w14:paraId="3B96FB4A">
            <w:pPr>
              <w:bidi w:val="0"/>
              <w:ind w:firstLine="480" w:firstLineChars="200"/>
              <w:rPr>
                <w:rFonts w:hint="default" w:ascii="Times New Roman" w:hAnsi="Times New Roman" w:cs="Times New Roman"/>
                <w:color w:val="auto"/>
              </w:rPr>
            </w:pPr>
          </w:p>
          <w:p w14:paraId="0D2DAEAC">
            <w:pPr>
              <w:pStyle w:val="87"/>
              <w:numPr>
                <w:ilvl w:val="0"/>
                <w:numId w:val="0"/>
              </w:numPr>
              <w:rPr>
                <w:rFonts w:hint="default" w:ascii="Times New Roman" w:hAnsi="Times New Roman" w:eastAsia="宋体" w:cs="Times New Roman"/>
                <w:bCs/>
                <w:color w:val="auto"/>
                <w:kern w:val="0"/>
                <w:sz w:val="24"/>
                <w:szCs w:val="21"/>
                <w:lang w:val="en-US" w:eastAsia="zh-CN" w:bidi="ar-SA"/>
              </w:rPr>
            </w:pPr>
          </w:p>
          <w:p w14:paraId="23D7226A">
            <w:pPr>
              <w:pStyle w:val="87"/>
              <w:numPr>
                <w:ilvl w:val="0"/>
                <w:numId w:val="0"/>
              </w:numPr>
              <w:rPr>
                <w:rFonts w:hint="default" w:ascii="Times New Roman" w:hAnsi="Times New Roman" w:eastAsia="宋体" w:cs="Times New Roman"/>
                <w:bCs/>
                <w:color w:val="auto"/>
                <w:kern w:val="0"/>
                <w:sz w:val="24"/>
                <w:szCs w:val="21"/>
                <w:lang w:val="en-US" w:eastAsia="zh-CN" w:bidi="ar-SA"/>
              </w:rPr>
            </w:pPr>
          </w:p>
        </w:tc>
      </w:tr>
      <w:tr w14:paraId="20366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shd w:val="clear" w:color="auto" w:fill="auto"/>
            <w:noWrap w:val="0"/>
            <w:vAlign w:val="center"/>
          </w:tcPr>
          <w:p w14:paraId="31A32D87">
            <w:pPr>
              <w:pStyle w:val="25"/>
              <w:adjustRightInd w:val="0"/>
              <w:snapToGrid w:val="0"/>
              <w:spacing w:before="0" w:beforeAutospacing="0" w:after="0" w:afterAutospacing="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cs="Times New Roman"/>
                <w:bCs/>
                <w:color w:val="auto"/>
                <w:kern w:val="2"/>
                <w:szCs w:val="24"/>
                <w:lang w:val="en-US" w:eastAsia="zh-CN"/>
              </w:rPr>
              <w:t>与项目有关的原有环境污染问题</w:t>
            </w:r>
          </w:p>
        </w:tc>
        <w:tc>
          <w:tcPr>
            <w:tcW w:w="8330" w:type="dxa"/>
            <w:shd w:val="clear" w:color="auto" w:fill="auto"/>
            <w:noWrap w:val="0"/>
            <w:vAlign w:val="top"/>
          </w:tcPr>
          <w:p w14:paraId="2801DDF2">
            <w:pPr>
              <w:pStyle w:val="4"/>
              <w:numPr>
                <w:ilvl w:val="0"/>
                <w:numId w:val="0"/>
              </w:numPr>
              <w:bidi w:val="0"/>
              <w:ind w:leftChars="0" w:firstLine="482" w:firstLineChars="200"/>
              <w:jc w:val="both"/>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一、现有项目环评及三同时执行情况：</w:t>
            </w:r>
          </w:p>
          <w:p w14:paraId="0452ED20">
            <w:pPr>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bCs/>
                <w:color w:val="auto"/>
                <w:lang w:val="en-US" w:eastAsia="zh-CN"/>
              </w:rPr>
              <w:t>济宁海螺水泥有限责任公司</w:t>
            </w:r>
            <w:r>
              <w:rPr>
                <w:rFonts w:hint="default" w:ascii="Times New Roman" w:hAnsi="Times New Roman" w:cs="Times New Roman"/>
                <w:b w:val="0"/>
                <w:bCs w:val="0"/>
                <w:color w:val="auto"/>
                <w:lang w:val="en-US" w:eastAsia="zh-CN"/>
              </w:rPr>
              <w:t>（以下简称“济宁海螺</w:t>
            </w:r>
            <w:r>
              <w:rPr>
                <w:rFonts w:hint="default" w:ascii="Times New Roman" w:hAnsi="Times New Roman" w:cs="Times New Roman"/>
                <w:color w:val="auto"/>
                <w:lang w:val="en-US" w:eastAsia="zh-CN"/>
              </w:rPr>
              <w:t>水泥”）</w:t>
            </w:r>
            <w:r>
              <w:rPr>
                <w:rFonts w:hint="default" w:ascii="Times New Roman" w:hAnsi="Times New Roman" w:cs="Times New Roman"/>
                <w:color w:val="auto"/>
                <w:sz w:val="24"/>
                <w:szCs w:val="24"/>
              </w:rPr>
              <w:t>是安徽海螺水泥股份有限公司的全资子公司，公司位于山东省济宁市泗水县苗馆镇，注册资本金2.35亿元，于2009年6月底核准成立。</w:t>
            </w:r>
          </w:p>
          <w:p w14:paraId="32E9E652">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公司早期规划建设两条4500t/d熟料水泥生产线，并配套纯低温余热发电工程。根据企业核实，受到水泥行业产能过剩等政策限制，二期4500t/d熟料水泥生产线暨纯低温余热发电工程不再实施建设。</w:t>
            </w:r>
          </w:p>
          <w:p w14:paraId="5DD0AAB2">
            <w:pPr>
              <w:bidi w:val="0"/>
              <w:ind w:firstLine="480" w:firstLineChars="200"/>
              <w:rPr>
                <w:rFonts w:hint="default" w:ascii="Times New Roman" w:hAnsi="Times New Roman" w:cs="Times New Roman"/>
                <w:b/>
                <w:bCs/>
                <w:color w:val="auto"/>
                <w:kern w:val="0"/>
                <w:szCs w:val="24"/>
                <w:lang w:val="en-US" w:eastAsia="zh-CN"/>
              </w:rPr>
            </w:pPr>
            <w:r>
              <w:rPr>
                <w:rFonts w:hint="default" w:ascii="Times New Roman" w:hAnsi="Times New Roman" w:cs="Times New Roman"/>
                <w:color w:val="auto"/>
                <w:sz w:val="24"/>
                <w:szCs w:val="24"/>
              </w:rPr>
              <w:t>目前已经建成投产一期工程，主要包括1条4500t/d新型干法水泥熟料生产线、18MW纯低温余热发电工程，配套建设的松山石灰石矿山开采及运输工程均已建成投产，污水处理及生产、生活辅助设施等全部一并建成。</w:t>
            </w:r>
          </w:p>
          <w:p w14:paraId="6B02A724">
            <w:pPr>
              <w:bidi w:val="0"/>
              <w:ind w:firstLine="482" w:firstLineChars="200"/>
              <w:rPr>
                <w:rFonts w:hint="default" w:ascii="Times New Roman" w:hAnsi="Times New Roman" w:cs="Times New Roman"/>
                <w:color w:val="auto"/>
                <w:lang w:val="en-US" w:eastAsia="zh-CN"/>
              </w:rPr>
            </w:pPr>
            <w:r>
              <w:rPr>
                <w:rFonts w:hint="default" w:ascii="Times New Roman" w:hAnsi="Times New Roman" w:cs="Times New Roman"/>
                <w:b/>
                <w:bCs/>
                <w:color w:val="auto"/>
                <w:kern w:val="0"/>
                <w:szCs w:val="24"/>
                <w:lang w:val="en-US" w:eastAsia="zh-CN"/>
              </w:rPr>
              <w:t>济宁海螺环保科技有限责任公司</w:t>
            </w:r>
            <w:r>
              <w:rPr>
                <w:rFonts w:hint="default" w:ascii="Times New Roman" w:hAnsi="Times New Roman" w:cs="Times New Roman"/>
                <w:b w:val="0"/>
                <w:bCs w:val="0"/>
                <w:color w:val="auto"/>
                <w:kern w:val="0"/>
                <w:szCs w:val="24"/>
                <w:lang w:val="en-US" w:eastAsia="zh-CN"/>
              </w:rPr>
              <w:t>（以下简称“济宁海螺环保”）成立于2017年6月12日，位于山东省济宁市泗水县济宁海螺水泥有限责任公司厂区内，是芜湖海螺投资有限公司注册设立的全资子公司。公司原名济宁海螺创业环境科技有限责任公司，于2023年05月11日变更为“济宁海螺环保科技有限责任公司”。</w:t>
            </w:r>
          </w:p>
          <w:p w14:paraId="3B24B52A">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济宁海螺环保</w:t>
            </w:r>
            <w:r>
              <w:rPr>
                <w:rFonts w:hint="eastAsia" w:cs="Times New Roman"/>
                <w:color w:val="auto"/>
                <w:lang w:val="en-US" w:eastAsia="zh-CN"/>
              </w:rPr>
              <w:t>现有项目为“济宁海创水泥窑综合利用固废危废项目”、“济宁海创水泥窑综合利用固废危废扩建项目”和</w:t>
            </w:r>
            <w:r>
              <w:rPr>
                <w:rFonts w:hint="eastAsia" w:cs="Times New Roman"/>
                <w:color w:val="auto"/>
                <w:sz w:val="24"/>
                <w:lang w:val="en-US" w:eastAsia="zh-CN"/>
              </w:rPr>
              <w:t>“济宁海螺环保替代燃料技改项目”</w:t>
            </w:r>
            <w:r>
              <w:rPr>
                <w:rFonts w:hint="eastAsia" w:cs="Times New Roman"/>
                <w:color w:val="auto"/>
                <w:lang w:val="en-US" w:eastAsia="zh-CN"/>
              </w:rPr>
              <w:t>，</w:t>
            </w:r>
            <w:r>
              <w:rPr>
                <w:rFonts w:hint="default" w:ascii="Times New Roman" w:hAnsi="Times New Roman" w:cs="Times New Roman"/>
                <w:color w:val="auto"/>
                <w:sz w:val="24"/>
                <w:szCs w:val="24"/>
              </w:rPr>
              <w:t>依托济宁海螺水泥现有的</w:t>
            </w:r>
            <w:r>
              <w:rPr>
                <w:rFonts w:hint="default" w:ascii="Times New Roman" w:hAnsi="Times New Roman" w:eastAsia="Times New Roman" w:cs="Times New Roman"/>
                <w:color w:val="auto"/>
                <w:sz w:val="24"/>
                <w:szCs w:val="24"/>
              </w:rPr>
              <w:t>4500t/d</w:t>
            </w:r>
            <w:r>
              <w:rPr>
                <w:rFonts w:hint="default" w:ascii="Times New Roman" w:hAnsi="Times New Roman" w:cs="Times New Roman"/>
                <w:color w:val="auto"/>
                <w:sz w:val="24"/>
                <w:szCs w:val="24"/>
              </w:rPr>
              <w:t>熟料水泥生产线</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协同处置危险废物10</w:t>
            </w:r>
            <w:r>
              <w:rPr>
                <w:rFonts w:hint="default" w:ascii="Times New Roman" w:hAnsi="Times New Roman" w:cs="Times New Roman"/>
                <w:color w:val="auto"/>
                <w:sz w:val="24"/>
                <w:szCs w:val="24"/>
              </w:rPr>
              <w:t>万t/a</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一般固废10</w:t>
            </w:r>
            <w:r>
              <w:rPr>
                <w:rFonts w:hint="default" w:ascii="Times New Roman" w:hAnsi="Times New Roman" w:cs="Times New Roman"/>
                <w:color w:val="auto"/>
                <w:sz w:val="24"/>
                <w:szCs w:val="24"/>
              </w:rPr>
              <w:t>万t/a</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其中市政污泥6</w:t>
            </w:r>
            <w:r>
              <w:rPr>
                <w:rFonts w:hint="default" w:ascii="Times New Roman" w:hAnsi="Times New Roman" w:cs="Times New Roman"/>
                <w:color w:val="auto"/>
                <w:sz w:val="24"/>
                <w:szCs w:val="24"/>
              </w:rPr>
              <w:t>万t/a</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污染土4</w:t>
            </w:r>
            <w:r>
              <w:rPr>
                <w:rFonts w:hint="default" w:ascii="Times New Roman" w:hAnsi="Times New Roman" w:cs="Times New Roman"/>
                <w:color w:val="auto"/>
                <w:sz w:val="24"/>
                <w:szCs w:val="24"/>
              </w:rPr>
              <w:t>万t/a</w:t>
            </w:r>
            <w:r>
              <w:rPr>
                <w:rFonts w:hint="eastAsia" w:ascii="Times New Roman" w:hAnsi="Times New Roman" w:cs="Times New Roman"/>
                <w:color w:val="auto"/>
                <w:sz w:val="24"/>
                <w:szCs w:val="24"/>
                <w:lang w:eastAsia="zh-CN"/>
              </w:rPr>
              <w:t>）</w:t>
            </w:r>
            <w:r>
              <w:rPr>
                <w:rFonts w:hint="eastAsia" w:cs="Times New Roman"/>
                <w:color w:val="auto"/>
                <w:sz w:val="24"/>
                <w:szCs w:val="24"/>
                <w:lang w:eastAsia="zh-CN"/>
              </w:rPr>
              <w:t>，</w:t>
            </w:r>
            <w:r>
              <w:rPr>
                <w:rFonts w:hint="eastAsia" w:cs="Times New Roman"/>
                <w:color w:val="auto"/>
                <w:sz w:val="24"/>
                <w:szCs w:val="24"/>
                <w:lang w:val="en-US" w:eastAsia="zh-CN"/>
              </w:rPr>
              <w:t>利用RDF</w:t>
            </w:r>
            <w:r>
              <w:rPr>
                <w:rFonts w:hint="eastAsia" w:cs="Times New Roman"/>
                <w:color w:val="auto"/>
                <w:lang w:val="en-US" w:eastAsia="zh-CN"/>
              </w:rPr>
              <w:t>替代燃料5万t/a</w:t>
            </w:r>
            <w:r>
              <w:rPr>
                <w:rFonts w:hint="eastAsia" w:ascii="Times New Roman" w:hAnsi="Times New Roman" w:cs="Times New Roman"/>
                <w:color w:val="auto"/>
                <w:sz w:val="24"/>
                <w:szCs w:val="24"/>
                <w:lang w:eastAsia="zh-CN"/>
              </w:rPr>
              <w:t>。</w:t>
            </w:r>
          </w:p>
          <w:p w14:paraId="283BD11D">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济宁海螺水泥有限责任公司与济宁海螺环保科技有限责任公司现有工程环保“三同时”情况见下表。</w:t>
            </w:r>
          </w:p>
          <w:p w14:paraId="652CA0F9">
            <w:pPr>
              <w:pStyle w:val="115"/>
              <w:spacing w:line="240" w:lineRule="auto"/>
              <w:jc w:val="center"/>
              <w:rPr>
                <w:rFonts w:hint="default" w:ascii="Times New Roman" w:hAnsi="Times New Roman" w:eastAsia="宋体" w:cs="Times New Roman"/>
                <w:b/>
                <w:bCs/>
                <w:color w:val="auto"/>
              </w:rPr>
            </w:pPr>
            <w:r>
              <w:rPr>
                <w:rStyle w:val="63"/>
                <w:rFonts w:hint="default" w:ascii="Times New Roman" w:hAnsi="Times New Roman" w:eastAsia="宋体" w:cs="Times New Roman"/>
                <w:b/>
                <w:bCs/>
                <w:color w:val="auto"/>
              </w:rPr>
              <w:t>表</w:t>
            </w:r>
            <w:r>
              <w:rPr>
                <w:rStyle w:val="63"/>
                <w:rFonts w:hint="default" w:ascii="Times New Roman" w:hAnsi="Times New Roman" w:eastAsia="宋体" w:cs="Times New Roman"/>
                <w:b/>
                <w:bCs/>
                <w:color w:val="auto"/>
                <w:lang w:val="en-US" w:eastAsia="zh-CN"/>
              </w:rPr>
              <w:t>2</w:t>
            </w:r>
            <w:r>
              <w:rPr>
                <w:rStyle w:val="63"/>
                <w:rFonts w:hint="default" w:ascii="Times New Roman" w:hAnsi="Times New Roman" w:eastAsia="宋体" w:cs="Times New Roman"/>
                <w:b/>
                <w:bCs/>
                <w:color w:val="auto"/>
              </w:rPr>
              <w:t>-</w:t>
            </w:r>
            <w:r>
              <w:rPr>
                <w:rStyle w:val="63"/>
                <w:rFonts w:hint="default" w:ascii="Times New Roman" w:hAnsi="Times New Roman" w:eastAsia="宋体" w:cs="Times New Roman"/>
                <w:b/>
                <w:bCs/>
                <w:color w:val="auto"/>
                <w:lang w:val="en-US" w:eastAsia="zh-CN"/>
              </w:rPr>
              <w:t>2</w:t>
            </w:r>
            <w:r>
              <w:rPr>
                <w:rStyle w:val="63"/>
                <w:rFonts w:hint="eastAsia" w:cs="Times New Roman"/>
                <w:b/>
                <w:bCs/>
                <w:color w:val="auto"/>
                <w:lang w:val="en-US" w:eastAsia="zh-CN"/>
              </w:rPr>
              <w:t>6</w:t>
            </w:r>
            <w:r>
              <w:rPr>
                <w:rStyle w:val="63"/>
                <w:rFonts w:hint="default" w:ascii="Times New Roman" w:hAnsi="Times New Roman" w:eastAsia="宋体" w:cs="Times New Roman"/>
                <w:b/>
                <w:bCs/>
                <w:color w:val="auto"/>
                <w:lang w:val="en-US" w:eastAsia="zh-CN"/>
              </w:rPr>
              <w:t xml:space="preserve"> </w:t>
            </w:r>
            <w:r>
              <w:rPr>
                <w:rStyle w:val="63"/>
                <w:rFonts w:hint="default" w:ascii="Times New Roman" w:hAnsi="Times New Roman" w:eastAsia="宋体" w:cs="Times New Roman"/>
                <w:b/>
                <w:bCs/>
                <w:color w:val="auto"/>
              </w:rPr>
              <w:t>现有项目环评及三同时执行情况</w:t>
            </w:r>
            <w:r>
              <w:rPr>
                <w:rStyle w:val="63"/>
                <w:rFonts w:hint="default" w:ascii="Times New Roman" w:hAnsi="Times New Roman" w:eastAsia="宋体" w:cs="Times New Roman"/>
                <w:b/>
                <w:bCs/>
                <w:color w:val="auto"/>
                <w:lang w:val="en-US" w:eastAsia="zh-CN"/>
              </w:rPr>
              <w:t>一览</w:t>
            </w:r>
            <w:r>
              <w:rPr>
                <w:rStyle w:val="63"/>
                <w:rFonts w:hint="default" w:ascii="Times New Roman" w:hAnsi="Times New Roman" w:eastAsia="宋体" w:cs="Times New Roman"/>
                <w:b/>
                <w:bCs/>
                <w:color w:val="auto"/>
              </w:rPr>
              <w:t>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62"/>
              <w:gridCol w:w="2495"/>
              <w:gridCol w:w="1701"/>
              <w:gridCol w:w="753"/>
            </w:tblGrid>
            <w:tr w14:paraId="2749C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jc w:val="center"/>
              </w:trPr>
              <w:tc>
                <w:tcPr>
                  <w:tcW w:w="416" w:type="pct"/>
                  <w:tcBorders>
                    <w:tl2br w:val="nil"/>
                    <w:tr2bl w:val="nil"/>
                  </w:tcBorders>
                  <w:noWrap/>
                  <w:vAlign w:val="center"/>
                </w:tcPr>
                <w:p w14:paraId="257557E3">
                  <w:pPr>
                    <w:pStyle w:val="43"/>
                    <w:bidi w:val="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项目主体</w:t>
                  </w:r>
                </w:p>
              </w:tc>
              <w:tc>
                <w:tcPr>
                  <w:tcW w:w="1522" w:type="pct"/>
                  <w:tcBorders>
                    <w:tl2br w:val="nil"/>
                    <w:tr2bl w:val="nil"/>
                  </w:tcBorders>
                  <w:noWrap/>
                  <w:vAlign w:val="center"/>
                </w:tcPr>
                <w:p w14:paraId="6D1565FC">
                  <w:pPr>
                    <w:pStyle w:val="43"/>
                    <w:bidi w:val="0"/>
                    <w:rPr>
                      <w:rFonts w:hint="default" w:ascii="Times New Roman" w:hAnsi="Times New Roman" w:cs="Times New Roman"/>
                      <w:b/>
                      <w:bCs/>
                      <w:color w:val="auto"/>
                    </w:rPr>
                  </w:pPr>
                  <w:r>
                    <w:rPr>
                      <w:rFonts w:hint="default" w:ascii="Times New Roman" w:hAnsi="Times New Roman" w:cs="Times New Roman"/>
                      <w:b/>
                      <w:bCs/>
                      <w:color w:val="auto"/>
                    </w:rPr>
                    <w:t>项目名称</w:t>
                  </w:r>
                </w:p>
              </w:tc>
              <w:tc>
                <w:tcPr>
                  <w:tcW w:w="1543" w:type="pct"/>
                  <w:tcBorders>
                    <w:tl2br w:val="nil"/>
                    <w:tr2bl w:val="nil"/>
                  </w:tcBorders>
                  <w:noWrap/>
                  <w:vAlign w:val="center"/>
                </w:tcPr>
                <w:p w14:paraId="5B6DE745">
                  <w:pPr>
                    <w:pStyle w:val="43"/>
                    <w:bidi w:val="0"/>
                    <w:rPr>
                      <w:rFonts w:hint="default" w:ascii="Times New Roman" w:hAnsi="Times New Roman" w:cs="Times New Roman"/>
                      <w:b/>
                      <w:bCs/>
                      <w:color w:val="auto"/>
                    </w:rPr>
                  </w:pPr>
                  <w:r>
                    <w:rPr>
                      <w:rFonts w:hint="default" w:ascii="Times New Roman" w:hAnsi="Times New Roman" w:cs="Times New Roman"/>
                      <w:b/>
                      <w:bCs/>
                      <w:color w:val="auto"/>
                    </w:rPr>
                    <w:t>环评审批</w:t>
                  </w:r>
                </w:p>
              </w:tc>
              <w:tc>
                <w:tcPr>
                  <w:tcW w:w="1052" w:type="pct"/>
                  <w:tcBorders>
                    <w:tl2br w:val="nil"/>
                    <w:tr2bl w:val="nil"/>
                  </w:tcBorders>
                  <w:noWrap/>
                  <w:vAlign w:val="center"/>
                </w:tcPr>
                <w:p w14:paraId="7E15B0CC">
                  <w:pPr>
                    <w:pStyle w:val="43"/>
                    <w:bidi w:val="0"/>
                    <w:rPr>
                      <w:rFonts w:hint="default" w:ascii="Times New Roman" w:hAnsi="Times New Roman" w:cs="Times New Roman"/>
                      <w:b/>
                      <w:bCs/>
                      <w:color w:val="auto"/>
                    </w:rPr>
                  </w:pPr>
                  <w:r>
                    <w:rPr>
                      <w:rFonts w:hint="default" w:ascii="Times New Roman" w:hAnsi="Times New Roman" w:cs="Times New Roman"/>
                      <w:b/>
                      <w:bCs/>
                      <w:color w:val="auto"/>
                    </w:rPr>
                    <w:t>竣工环保验收</w:t>
                  </w:r>
                </w:p>
              </w:tc>
              <w:tc>
                <w:tcPr>
                  <w:tcW w:w="465" w:type="pct"/>
                  <w:tcBorders>
                    <w:tl2br w:val="nil"/>
                    <w:tr2bl w:val="nil"/>
                  </w:tcBorders>
                  <w:noWrap/>
                  <w:vAlign w:val="center"/>
                </w:tcPr>
                <w:p w14:paraId="64A8D67A">
                  <w:pPr>
                    <w:pStyle w:val="43"/>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运行情况</w:t>
                  </w:r>
                </w:p>
              </w:tc>
            </w:tr>
            <w:tr w14:paraId="7E011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16" w:type="pct"/>
                  <w:vMerge w:val="restart"/>
                  <w:tcBorders>
                    <w:tl2br w:val="nil"/>
                    <w:tr2bl w:val="nil"/>
                  </w:tcBorders>
                  <w:noWrap/>
                  <w:vAlign w:val="center"/>
                </w:tcPr>
                <w:p w14:paraId="61253E6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济宁海螺水泥有限责任公司</w:t>
                  </w:r>
                </w:p>
              </w:tc>
              <w:tc>
                <w:tcPr>
                  <w:tcW w:w="1522" w:type="pct"/>
                  <w:tcBorders>
                    <w:tl2br w:val="nil"/>
                    <w:tr2bl w:val="nil"/>
                  </w:tcBorders>
                  <w:noWrap/>
                  <w:vAlign w:val="center"/>
                </w:tcPr>
                <w:p w14:paraId="0C4716A5">
                  <w:pPr>
                    <w:pStyle w:val="43"/>
                    <w:bidi w:val="0"/>
                    <w:rPr>
                      <w:rFonts w:hint="default" w:ascii="Times New Roman" w:hAnsi="Times New Roman" w:cs="Times New Roman"/>
                      <w:color w:val="auto"/>
                    </w:rPr>
                  </w:pPr>
                  <w:r>
                    <w:rPr>
                      <w:rFonts w:hint="default" w:ascii="Times New Roman" w:hAnsi="Times New Roman" w:cs="Times New Roman"/>
                      <w:color w:val="auto"/>
                    </w:rPr>
                    <w:t>4500t/d熟料水泥生产线带配套纯低温余热发电节能环保综合工程项目</w:t>
                  </w:r>
                </w:p>
              </w:tc>
              <w:tc>
                <w:tcPr>
                  <w:tcW w:w="1543" w:type="pct"/>
                  <w:tcBorders>
                    <w:tl2br w:val="nil"/>
                    <w:tr2bl w:val="nil"/>
                  </w:tcBorders>
                  <w:noWrap/>
                  <w:vAlign w:val="center"/>
                </w:tcPr>
                <w:p w14:paraId="1C3D3547">
                  <w:pPr>
                    <w:pStyle w:val="43"/>
                    <w:bidi w:val="0"/>
                    <w:rPr>
                      <w:rFonts w:hint="default" w:ascii="Times New Roman" w:hAnsi="Times New Roman" w:cs="Times New Roman"/>
                      <w:color w:val="auto"/>
                      <w:lang w:eastAsia="zh-CN"/>
                    </w:rPr>
                  </w:pPr>
                  <w:r>
                    <w:rPr>
                      <w:rFonts w:hint="default" w:ascii="Times New Roman" w:hAnsi="Times New Roman" w:cs="Times New Roman"/>
                      <w:color w:val="auto"/>
                    </w:rPr>
                    <w:t>原山东省环境保护厅</w:t>
                  </w:r>
                  <w:r>
                    <w:rPr>
                      <w:rFonts w:hint="default" w:ascii="Times New Roman" w:hAnsi="Times New Roman" w:cs="Times New Roman"/>
                      <w:color w:val="auto"/>
                      <w:lang w:eastAsia="zh-CN"/>
                    </w:rPr>
                    <w:t>，</w:t>
                  </w:r>
                  <w:r>
                    <w:rPr>
                      <w:rFonts w:hint="default" w:ascii="Times New Roman" w:hAnsi="Times New Roman" w:cs="Times New Roman"/>
                      <w:color w:val="auto"/>
                    </w:rPr>
                    <w:t>鲁环审[2008]34号</w:t>
                  </w:r>
                  <w:r>
                    <w:rPr>
                      <w:rFonts w:hint="default" w:ascii="Times New Roman" w:hAnsi="Times New Roman" w:cs="Times New Roman"/>
                      <w:color w:val="auto"/>
                      <w:lang w:eastAsia="zh-CN"/>
                    </w:rPr>
                    <w:t>，2008年2月20日</w:t>
                  </w:r>
                </w:p>
              </w:tc>
              <w:tc>
                <w:tcPr>
                  <w:tcW w:w="1052" w:type="pct"/>
                  <w:tcBorders>
                    <w:tl2br w:val="nil"/>
                    <w:tr2bl w:val="nil"/>
                  </w:tcBorders>
                  <w:noWrap/>
                  <w:vAlign w:val="center"/>
                </w:tcPr>
                <w:p w14:paraId="47CC1F67">
                  <w:pPr>
                    <w:pStyle w:val="43"/>
                    <w:bidi w:val="0"/>
                    <w:rPr>
                      <w:rFonts w:hint="default" w:ascii="Times New Roman" w:hAnsi="Times New Roman" w:cs="Times New Roman"/>
                      <w:color w:val="auto"/>
                    </w:rPr>
                  </w:pPr>
                  <w:r>
                    <w:rPr>
                      <w:rFonts w:hint="default" w:ascii="Times New Roman" w:hAnsi="Times New Roman" w:cs="Times New Roman"/>
                      <w:color w:val="auto"/>
                    </w:rPr>
                    <w:t>2012年5月25日，鲁环验[2012]89号</w:t>
                  </w:r>
                </w:p>
              </w:tc>
              <w:tc>
                <w:tcPr>
                  <w:tcW w:w="465" w:type="pct"/>
                  <w:tcBorders>
                    <w:tl2br w:val="nil"/>
                    <w:tr2bl w:val="nil"/>
                  </w:tcBorders>
                  <w:noWrap/>
                  <w:vAlign w:val="center"/>
                </w:tcPr>
                <w:p w14:paraId="518703B1">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597AA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16" w:type="pct"/>
                  <w:vMerge w:val="continue"/>
                  <w:tcBorders>
                    <w:tl2br w:val="nil"/>
                    <w:tr2bl w:val="nil"/>
                  </w:tcBorders>
                  <w:noWrap/>
                  <w:vAlign w:val="center"/>
                </w:tcPr>
                <w:p w14:paraId="40B5C6A4">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0A8F07F3">
                  <w:pPr>
                    <w:pStyle w:val="43"/>
                    <w:bidi w:val="0"/>
                    <w:rPr>
                      <w:rFonts w:hint="default" w:ascii="Times New Roman" w:hAnsi="Times New Roman" w:cs="Times New Roman"/>
                      <w:color w:val="auto"/>
                      <w:lang w:val="en-US"/>
                    </w:rPr>
                  </w:pPr>
                  <w:r>
                    <w:rPr>
                      <w:rFonts w:hint="default" w:ascii="Times New Roman" w:hAnsi="Times New Roman" w:cs="Times New Roman"/>
                      <w:color w:val="auto"/>
                    </w:rPr>
                    <w:t>4500t/d熟料水泥生产线带配套纯低温余热发电节能环保综合工程项目变更投资主体及窑尾除尘工艺等的复函</w:t>
                  </w:r>
                </w:p>
              </w:tc>
              <w:tc>
                <w:tcPr>
                  <w:tcW w:w="1543" w:type="pct"/>
                  <w:tcBorders>
                    <w:tl2br w:val="nil"/>
                    <w:tr2bl w:val="nil"/>
                  </w:tcBorders>
                  <w:noWrap/>
                  <w:vAlign w:val="center"/>
                </w:tcPr>
                <w:p w14:paraId="05D90214">
                  <w:pPr>
                    <w:pStyle w:val="43"/>
                    <w:bidi w:val="0"/>
                    <w:rPr>
                      <w:rFonts w:hint="default" w:ascii="Times New Roman" w:hAnsi="Times New Roman" w:cs="Times New Roman"/>
                      <w:color w:val="auto"/>
                      <w:lang w:eastAsia="zh-CN"/>
                    </w:rPr>
                  </w:pPr>
                  <w:r>
                    <w:rPr>
                      <w:rFonts w:hint="default" w:ascii="Times New Roman" w:hAnsi="Times New Roman" w:cs="Times New Roman"/>
                      <w:color w:val="auto"/>
                    </w:rPr>
                    <w:t>原山东省环境保护厅</w:t>
                  </w:r>
                  <w:r>
                    <w:rPr>
                      <w:rFonts w:hint="default" w:ascii="Times New Roman" w:hAnsi="Times New Roman" w:cs="Times New Roman"/>
                      <w:color w:val="auto"/>
                      <w:lang w:eastAsia="zh-CN"/>
                    </w:rPr>
                    <w:t>，</w:t>
                  </w:r>
                  <w:r>
                    <w:rPr>
                      <w:rFonts w:hint="default" w:ascii="Times New Roman" w:hAnsi="Times New Roman" w:cs="Times New Roman"/>
                      <w:color w:val="auto"/>
                    </w:rPr>
                    <w:t>鲁环审[2009]91号</w:t>
                  </w:r>
                  <w:r>
                    <w:rPr>
                      <w:rFonts w:hint="default" w:ascii="Times New Roman" w:hAnsi="Times New Roman" w:cs="Times New Roman"/>
                      <w:color w:val="auto"/>
                      <w:lang w:eastAsia="zh-CN"/>
                    </w:rPr>
                    <w:t>，</w:t>
                  </w:r>
                  <w:r>
                    <w:rPr>
                      <w:rFonts w:hint="default" w:ascii="Times New Roman" w:hAnsi="Times New Roman" w:cs="Times New Roman"/>
                      <w:color w:val="auto"/>
                    </w:rPr>
                    <w:t>2009年7月13日</w:t>
                  </w:r>
                </w:p>
              </w:tc>
              <w:tc>
                <w:tcPr>
                  <w:tcW w:w="1052" w:type="pct"/>
                  <w:tcBorders>
                    <w:tl2br w:val="nil"/>
                    <w:tr2bl w:val="nil"/>
                  </w:tcBorders>
                  <w:noWrap/>
                  <w:vAlign w:val="center"/>
                </w:tcPr>
                <w:p w14:paraId="38DB5E71">
                  <w:pPr>
                    <w:pStyle w:val="43"/>
                    <w:bidi w:val="0"/>
                    <w:rPr>
                      <w:rFonts w:hint="default" w:ascii="Times New Roman" w:hAnsi="Times New Roman" w:cs="Times New Roman"/>
                      <w:color w:val="auto"/>
                    </w:rPr>
                  </w:pPr>
                  <w:r>
                    <w:rPr>
                      <w:rFonts w:hint="default" w:ascii="Times New Roman" w:hAnsi="Times New Roman" w:cs="Times New Roman"/>
                      <w:color w:val="auto"/>
                    </w:rPr>
                    <w:t>2012年5月25日，鲁环验[2012]89号</w:t>
                  </w:r>
                </w:p>
              </w:tc>
              <w:tc>
                <w:tcPr>
                  <w:tcW w:w="465" w:type="pct"/>
                  <w:tcBorders>
                    <w:tl2br w:val="nil"/>
                    <w:tr2bl w:val="nil"/>
                  </w:tcBorders>
                  <w:noWrap/>
                  <w:vAlign w:val="center"/>
                </w:tcPr>
                <w:p w14:paraId="3FADEB31">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正常生产</w:t>
                  </w:r>
                </w:p>
              </w:tc>
            </w:tr>
            <w:tr w14:paraId="39349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392A782A">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02367F5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综合利用微风发电节能项目</w:t>
                  </w:r>
                </w:p>
              </w:tc>
              <w:tc>
                <w:tcPr>
                  <w:tcW w:w="1543" w:type="pct"/>
                  <w:tcBorders>
                    <w:tl2br w:val="nil"/>
                    <w:tr2bl w:val="nil"/>
                  </w:tcBorders>
                  <w:noWrap/>
                  <w:vAlign w:val="center"/>
                </w:tcPr>
                <w:p w14:paraId="1334ABA7">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原济宁市环境保护局</w:t>
                  </w:r>
                  <w:r>
                    <w:rPr>
                      <w:rFonts w:hint="default" w:ascii="Times New Roman" w:hAnsi="Times New Roman" w:cs="Times New Roman"/>
                      <w:color w:val="auto"/>
                      <w:lang w:eastAsia="zh-CN"/>
                    </w:rPr>
                    <w:t>，</w:t>
                  </w:r>
                  <w:r>
                    <w:rPr>
                      <w:rFonts w:hint="default" w:ascii="Times New Roman" w:hAnsi="Times New Roman" w:cs="Times New Roman"/>
                      <w:color w:val="auto"/>
                    </w:rPr>
                    <w:t>济环报表[2010]148号</w:t>
                  </w:r>
                  <w:r>
                    <w:rPr>
                      <w:rFonts w:hint="default" w:ascii="Times New Roman" w:hAnsi="Times New Roman" w:cs="Times New Roman"/>
                      <w:color w:val="auto"/>
                      <w:lang w:eastAsia="zh-CN"/>
                    </w:rPr>
                    <w:t>，</w:t>
                  </w:r>
                  <w:r>
                    <w:rPr>
                      <w:rFonts w:hint="default" w:ascii="Times New Roman" w:hAnsi="Times New Roman" w:cs="Times New Roman"/>
                      <w:color w:val="auto"/>
                    </w:rPr>
                    <w:t>2010年8月9日</w:t>
                  </w:r>
                </w:p>
              </w:tc>
              <w:tc>
                <w:tcPr>
                  <w:tcW w:w="1052" w:type="pct"/>
                  <w:tcBorders>
                    <w:tl2br w:val="nil"/>
                    <w:tr2bl w:val="nil"/>
                  </w:tcBorders>
                  <w:noWrap/>
                  <w:vAlign w:val="center"/>
                </w:tcPr>
                <w:p w14:paraId="7A10AC93">
                  <w:pPr>
                    <w:pStyle w:val="43"/>
                    <w:bidi w:val="0"/>
                    <w:rPr>
                      <w:rFonts w:hint="default" w:ascii="Times New Roman" w:hAnsi="Times New Roman" w:cs="Times New Roman"/>
                      <w:color w:val="auto"/>
                    </w:rPr>
                  </w:pPr>
                  <w:r>
                    <w:rPr>
                      <w:rFonts w:hint="default" w:ascii="Times New Roman" w:hAnsi="Times New Roman" w:cs="Times New Roman"/>
                      <w:color w:val="auto"/>
                    </w:rPr>
                    <w:t>2011年10月12日，泗水县环境保护局</w:t>
                  </w:r>
                </w:p>
              </w:tc>
              <w:tc>
                <w:tcPr>
                  <w:tcW w:w="465" w:type="pct"/>
                  <w:tcBorders>
                    <w:tl2br w:val="nil"/>
                    <w:tr2bl w:val="nil"/>
                  </w:tcBorders>
                  <w:noWrap/>
                  <w:vAlign w:val="center"/>
                </w:tcPr>
                <w:p w14:paraId="099436F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6F6B9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455A9A73">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6BB004F5">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4500t/d熟料生产线烟气脱硝工程</w:t>
                  </w:r>
                </w:p>
              </w:tc>
              <w:tc>
                <w:tcPr>
                  <w:tcW w:w="1543" w:type="pct"/>
                  <w:tcBorders>
                    <w:tl2br w:val="nil"/>
                    <w:tr2bl w:val="nil"/>
                  </w:tcBorders>
                  <w:noWrap/>
                  <w:vAlign w:val="center"/>
                </w:tcPr>
                <w:p w14:paraId="01453ED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原泗水县环境保护局</w:t>
                  </w:r>
                  <w:r>
                    <w:rPr>
                      <w:rFonts w:hint="default" w:ascii="Times New Roman" w:hAnsi="Times New Roman" w:cs="Times New Roman"/>
                      <w:color w:val="auto"/>
                      <w:lang w:eastAsia="zh-CN"/>
                    </w:rPr>
                    <w:t>，</w:t>
                  </w:r>
                  <w:r>
                    <w:rPr>
                      <w:rFonts w:hint="default" w:ascii="Times New Roman" w:hAnsi="Times New Roman" w:cs="Times New Roman"/>
                      <w:color w:val="auto"/>
                    </w:rPr>
                    <w:t>泗环审字[2014]076号</w:t>
                  </w:r>
                  <w:r>
                    <w:rPr>
                      <w:rFonts w:hint="default" w:ascii="Times New Roman" w:hAnsi="Times New Roman" w:cs="Times New Roman"/>
                      <w:color w:val="auto"/>
                      <w:lang w:eastAsia="zh-CN"/>
                    </w:rPr>
                    <w:t>，</w:t>
                  </w:r>
                  <w:r>
                    <w:rPr>
                      <w:rFonts w:hint="default" w:ascii="Times New Roman" w:hAnsi="Times New Roman" w:cs="Times New Roman"/>
                      <w:color w:val="auto"/>
                    </w:rPr>
                    <w:t>2014年5月12日</w:t>
                  </w:r>
                </w:p>
              </w:tc>
              <w:tc>
                <w:tcPr>
                  <w:tcW w:w="1052" w:type="pct"/>
                  <w:tcBorders>
                    <w:tl2br w:val="nil"/>
                    <w:tr2bl w:val="nil"/>
                  </w:tcBorders>
                  <w:noWrap/>
                  <w:vAlign w:val="center"/>
                </w:tcPr>
                <w:p w14:paraId="760CDB23">
                  <w:pPr>
                    <w:pStyle w:val="43"/>
                    <w:bidi w:val="0"/>
                    <w:rPr>
                      <w:rFonts w:hint="default" w:ascii="Times New Roman" w:hAnsi="Times New Roman" w:cs="Times New Roman"/>
                      <w:color w:val="auto"/>
                    </w:rPr>
                  </w:pPr>
                  <w:r>
                    <w:rPr>
                      <w:rFonts w:hint="default" w:ascii="Times New Roman" w:hAnsi="Times New Roman" w:cs="Times New Roman"/>
                      <w:color w:val="auto"/>
                    </w:rPr>
                    <w:t>2014年12月15日，泗水县环境保护局</w:t>
                  </w:r>
                </w:p>
              </w:tc>
              <w:tc>
                <w:tcPr>
                  <w:tcW w:w="465" w:type="pct"/>
                  <w:tcBorders>
                    <w:tl2br w:val="nil"/>
                    <w:tr2bl w:val="nil"/>
                  </w:tcBorders>
                  <w:noWrap/>
                  <w:vAlign w:val="center"/>
                </w:tcPr>
                <w:p w14:paraId="55A54D6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1078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4E01D3FE">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13350B34">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矿石筛分项目</w:t>
                  </w:r>
                </w:p>
              </w:tc>
              <w:tc>
                <w:tcPr>
                  <w:tcW w:w="1543" w:type="pct"/>
                  <w:tcBorders>
                    <w:tl2br w:val="nil"/>
                    <w:tr2bl w:val="nil"/>
                  </w:tcBorders>
                  <w:noWrap/>
                  <w:vAlign w:val="center"/>
                </w:tcPr>
                <w:p w14:paraId="1CC3729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原泗水县环境保护局</w:t>
                  </w:r>
                  <w:r>
                    <w:rPr>
                      <w:rFonts w:hint="default" w:ascii="Times New Roman" w:hAnsi="Times New Roman" w:cs="Times New Roman"/>
                      <w:color w:val="auto"/>
                      <w:lang w:eastAsia="zh-CN"/>
                    </w:rPr>
                    <w:t>，</w:t>
                  </w:r>
                  <w:r>
                    <w:rPr>
                      <w:rFonts w:hint="default" w:ascii="Times New Roman" w:hAnsi="Times New Roman" w:cs="Times New Roman"/>
                      <w:color w:val="auto"/>
                    </w:rPr>
                    <w:t>泗环审字[2016]038号</w:t>
                  </w:r>
                  <w:r>
                    <w:rPr>
                      <w:rFonts w:hint="default" w:ascii="Times New Roman" w:hAnsi="Times New Roman" w:cs="Times New Roman"/>
                      <w:color w:val="auto"/>
                      <w:lang w:eastAsia="zh-CN"/>
                    </w:rPr>
                    <w:t>，</w:t>
                  </w:r>
                  <w:r>
                    <w:rPr>
                      <w:rFonts w:hint="default" w:ascii="Times New Roman" w:hAnsi="Times New Roman" w:cs="Times New Roman"/>
                      <w:color w:val="auto"/>
                    </w:rPr>
                    <w:t>2016年7月21日</w:t>
                  </w:r>
                </w:p>
              </w:tc>
              <w:tc>
                <w:tcPr>
                  <w:tcW w:w="1052" w:type="pct"/>
                  <w:tcBorders>
                    <w:tl2br w:val="nil"/>
                    <w:tr2bl w:val="nil"/>
                  </w:tcBorders>
                  <w:noWrap/>
                  <w:vAlign w:val="center"/>
                </w:tcPr>
                <w:p w14:paraId="39F7F8EA">
                  <w:pPr>
                    <w:pStyle w:val="43"/>
                    <w:bidi w:val="0"/>
                    <w:rPr>
                      <w:rFonts w:hint="default" w:ascii="Times New Roman" w:hAnsi="Times New Roman" w:cs="Times New Roman"/>
                      <w:color w:val="auto"/>
                    </w:rPr>
                  </w:pPr>
                  <w:r>
                    <w:rPr>
                      <w:rFonts w:hint="default" w:ascii="Times New Roman" w:hAnsi="Times New Roman" w:cs="Times New Roman"/>
                      <w:color w:val="auto"/>
                    </w:rPr>
                    <w:t>2016年10月12日，泗水县环境保护局</w:t>
                  </w:r>
                </w:p>
              </w:tc>
              <w:tc>
                <w:tcPr>
                  <w:tcW w:w="465" w:type="pct"/>
                  <w:tcBorders>
                    <w:tl2br w:val="nil"/>
                    <w:tr2bl w:val="nil"/>
                  </w:tcBorders>
                  <w:noWrap/>
                  <w:vAlign w:val="center"/>
                </w:tcPr>
                <w:p w14:paraId="1FF2B05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1A2AF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5E7E2AB8">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3F2ED35A">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二期4500t/d熟料水泥生产线暨纯低温余热发电工程</w:t>
                  </w:r>
                </w:p>
              </w:tc>
              <w:tc>
                <w:tcPr>
                  <w:tcW w:w="1543" w:type="pct"/>
                  <w:tcBorders>
                    <w:tl2br w:val="nil"/>
                    <w:tr2bl w:val="nil"/>
                  </w:tcBorders>
                  <w:noWrap/>
                  <w:vAlign w:val="center"/>
                </w:tcPr>
                <w:p w14:paraId="424B91A8">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原山东省环境保护厅</w:t>
                  </w:r>
                  <w:r>
                    <w:rPr>
                      <w:rFonts w:hint="default" w:ascii="Times New Roman" w:hAnsi="Times New Roman" w:cs="Times New Roman"/>
                      <w:color w:val="auto"/>
                      <w:lang w:eastAsia="zh-CN"/>
                    </w:rPr>
                    <w:t>，</w:t>
                  </w:r>
                  <w:r>
                    <w:rPr>
                      <w:rFonts w:hint="default" w:ascii="Times New Roman" w:hAnsi="Times New Roman" w:cs="Times New Roman"/>
                      <w:color w:val="auto"/>
                    </w:rPr>
                    <w:t>鲁环审[2014]109号</w:t>
                  </w:r>
                  <w:r>
                    <w:rPr>
                      <w:rFonts w:hint="default" w:ascii="Times New Roman" w:hAnsi="Times New Roman" w:cs="Times New Roman"/>
                      <w:color w:val="auto"/>
                      <w:lang w:eastAsia="zh-CN"/>
                    </w:rPr>
                    <w:t>，</w:t>
                  </w:r>
                  <w:r>
                    <w:rPr>
                      <w:rFonts w:hint="default" w:ascii="Times New Roman" w:hAnsi="Times New Roman" w:cs="Times New Roman"/>
                      <w:color w:val="auto"/>
                    </w:rPr>
                    <w:t>2014年7月29日</w:t>
                  </w:r>
                </w:p>
              </w:tc>
              <w:tc>
                <w:tcPr>
                  <w:tcW w:w="1052" w:type="pct"/>
                  <w:tcBorders>
                    <w:tl2br w:val="nil"/>
                    <w:tr2bl w:val="nil"/>
                  </w:tcBorders>
                  <w:noWrap/>
                  <w:vAlign w:val="center"/>
                </w:tcPr>
                <w:p w14:paraId="3573C3F0">
                  <w:pPr>
                    <w:pStyle w:val="43"/>
                    <w:bidi w:val="0"/>
                    <w:rPr>
                      <w:rFonts w:hint="default" w:ascii="Times New Roman" w:hAnsi="Times New Roman" w:cs="Times New Roman"/>
                      <w:color w:val="auto"/>
                    </w:rPr>
                  </w:pPr>
                  <w:r>
                    <w:rPr>
                      <w:rFonts w:hint="default" w:ascii="Times New Roman" w:hAnsi="Times New Roman" w:cs="Times New Roman"/>
                      <w:color w:val="auto"/>
                    </w:rPr>
                    <w:t>不再建设</w:t>
                  </w:r>
                </w:p>
              </w:tc>
              <w:tc>
                <w:tcPr>
                  <w:tcW w:w="465" w:type="pct"/>
                  <w:tcBorders>
                    <w:tl2br w:val="nil"/>
                    <w:tr2bl w:val="nil"/>
                  </w:tcBorders>
                  <w:noWrap/>
                  <w:vAlign w:val="center"/>
                </w:tcPr>
                <w:p w14:paraId="4984284A">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不再建设</w:t>
                  </w:r>
                </w:p>
              </w:tc>
            </w:tr>
            <w:tr w14:paraId="07E6B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438BF619">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5DC49BEA">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济宁海螺水泥有限责任公司SCR脱硝技术改造项目</w:t>
                  </w:r>
                </w:p>
              </w:tc>
              <w:tc>
                <w:tcPr>
                  <w:tcW w:w="1543" w:type="pct"/>
                  <w:tcBorders>
                    <w:tl2br w:val="nil"/>
                    <w:tr2bl w:val="nil"/>
                  </w:tcBorders>
                  <w:noWrap/>
                  <w:vAlign w:val="center"/>
                </w:tcPr>
                <w:p w14:paraId="03F76BCA">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原泗水县环境保护局</w:t>
                  </w:r>
                  <w:r>
                    <w:rPr>
                      <w:rFonts w:hint="default" w:ascii="Times New Roman" w:hAnsi="Times New Roman" w:cs="Times New Roman"/>
                      <w:color w:val="auto"/>
                      <w:lang w:eastAsia="zh-CN"/>
                    </w:rPr>
                    <w:t>，泗环审字[2019]101号，</w:t>
                  </w:r>
                  <w:r>
                    <w:rPr>
                      <w:rFonts w:hint="default" w:ascii="Times New Roman" w:hAnsi="Times New Roman" w:cs="Times New Roman"/>
                      <w:color w:val="auto"/>
                    </w:rPr>
                    <w:t>2019年5月24日</w:t>
                  </w:r>
                </w:p>
              </w:tc>
              <w:tc>
                <w:tcPr>
                  <w:tcW w:w="1052" w:type="pct"/>
                  <w:tcBorders>
                    <w:tl2br w:val="nil"/>
                    <w:tr2bl w:val="nil"/>
                  </w:tcBorders>
                  <w:noWrap/>
                  <w:vAlign w:val="center"/>
                </w:tcPr>
                <w:p w14:paraId="165E0F6C">
                  <w:pPr>
                    <w:pStyle w:val="43"/>
                    <w:bidi w:val="0"/>
                    <w:rPr>
                      <w:rFonts w:hint="default" w:ascii="Times New Roman" w:hAnsi="Times New Roman" w:cs="Times New Roman"/>
                      <w:color w:val="auto"/>
                    </w:rPr>
                  </w:pPr>
                  <w:r>
                    <w:rPr>
                      <w:rFonts w:hint="default" w:ascii="Times New Roman" w:hAnsi="Times New Roman" w:cs="Times New Roman"/>
                      <w:color w:val="auto"/>
                    </w:rPr>
                    <w:t>2019年11自主验收</w:t>
                  </w:r>
                </w:p>
              </w:tc>
              <w:tc>
                <w:tcPr>
                  <w:tcW w:w="465" w:type="pct"/>
                  <w:tcBorders>
                    <w:tl2br w:val="nil"/>
                    <w:tr2bl w:val="nil"/>
                  </w:tcBorders>
                  <w:noWrap/>
                  <w:vAlign w:val="center"/>
                </w:tcPr>
                <w:p w14:paraId="1ABBA1A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0B9D1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1E5943A6">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7ED744EC">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济宁海螺水泥有限责任公司100万t/a矿石筛分项目</w:t>
                  </w:r>
                </w:p>
              </w:tc>
              <w:tc>
                <w:tcPr>
                  <w:tcW w:w="1543" w:type="pct"/>
                  <w:tcBorders>
                    <w:tl2br w:val="nil"/>
                    <w:tr2bl w:val="nil"/>
                  </w:tcBorders>
                  <w:noWrap/>
                  <w:vAlign w:val="center"/>
                </w:tcPr>
                <w:p w14:paraId="537C2E48">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原泗水县环境保护局</w:t>
                  </w:r>
                  <w:r>
                    <w:rPr>
                      <w:rFonts w:hint="default" w:ascii="Times New Roman" w:hAnsi="Times New Roman" w:cs="Times New Roman"/>
                      <w:color w:val="auto"/>
                      <w:lang w:eastAsia="zh-CN"/>
                    </w:rPr>
                    <w:t>，</w:t>
                  </w:r>
                  <w:r>
                    <w:rPr>
                      <w:rFonts w:hint="default" w:ascii="Times New Roman" w:hAnsi="Times New Roman" w:cs="Times New Roman"/>
                      <w:color w:val="auto"/>
                    </w:rPr>
                    <w:t>泗环审字[2017]92号</w:t>
                  </w:r>
                  <w:r>
                    <w:rPr>
                      <w:rFonts w:hint="default" w:ascii="Times New Roman" w:hAnsi="Times New Roman" w:cs="Times New Roman"/>
                      <w:color w:val="auto"/>
                      <w:lang w:eastAsia="zh-CN"/>
                    </w:rPr>
                    <w:t>，</w:t>
                  </w:r>
                  <w:r>
                    <w:rPr>
                      <w:rFonts w:hint="default" w:ascii="Times New Roman" w:hAnsi="Times New Roman" w:cs="Times New Roman"/>
                      <w:color w:val="auto"/>
                    </w:rPr>
                    <w:t>2017年7月4日</w:t>
                  </w:r>
                </w:p>
              </w:tc>
              <w:tc>
                <w:tcPr>
                  <w:tcW w:w="1052" w:type="pct"/>
                  <w:tcBorders>
                    <w:tl2br w:val="nil"/>
                    <w:tr2bl w:val="nil"/>
                  </w:tcBorders>
                  <w:noWrap/>
                  <w:vAlign w:val="center"/>
                </w:tcPr>
                <w:p w14:paraId="3A1BAF5F">
                  <w:pPr>
                    <w:pStyle w:val="43"/>
                    <w:bidi w:val="0"/>
                    <w:rPr>
                      <w:rFonts w:hint="default" w:ascii="Times New Roman" w:hAnsi="Times New Roman" w:cs="Times New Roman"/>
                      <w:color w:val="auto"/>
                    </w:rPr>
                  </w:pPr>
                  <w:r>
                    <w:rPr>
                      <w:rFonts w:hint="default" w:ascii="Times New Roman" w:hAnsi="Times New Roman" w:cs="Times New Roman"/>
                      <w:color w:val="auto"/>
                    </w:rPr>
                    <w:t>原泗水县环境保护局2018年6月26日验收</w:t>
                  </w:r>
                </w:p>
              </w:tc>
              <w:tc>
                <w:tcPr>
                  <w:tcW w:w="465" w:type="pct"/>
                  <w:tcBorders>
                    <w:tl2br w:val="nil"/>
                    <w:tr2bl w:val="nil"/>
                  </w:tcBorders>
                  <w:noWrap/>
                  <w:vAlign w:val="center"/>
                </w:tcPr>
                <w:p w14:paraId="2B8297F0">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40A95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386EFDE0">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02EE48F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窑尾电收尘电改袋技改项目</w:t>
                  </w:r>
                </w:p>
              </w:tc>
              <w:tc>
                <w:tcPr>
                  <w:tcW w:w="1543" w:type="pct"/>
                  <w:tcBorders>
                    <w:tl2br w:val="nil"/>
                    <w:tr2bl w:val="nil"/>
                  </w:tcBorders>
                  <w:noWrap/>
                  <w:vAlign w:val="center"/>
                </w:tcPr>
                <w:p w14:paraId="04314B00">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原泗水县环境保护局</w:t>
                  </w:r>
                  <w:r>
                    <w:rPr>
                      <w:rFonts w:hint="default" w:ascii="Times New Roman" w:hAnsi="Times New Roman" w:cs="Times New Roman"/>
                      <w:color w:val="auto"/>
                      <w:lang w:eastAsia="zh-CN"/>
                    </w:rPr>
                    <w:t>，泗环审字[2019]102号，</w:t>
                  </w:r>
                  <w:r>
                    <w:rPr>
                      <w:rFonts w:hint="default" w:ascii="Times New Roman" w:hAnsi="Times New Roman" w:cs="Times New Roman"/>
                      <w:color w:val="auto"/>
                    </w:rPr>
                    <w:t>2019年05月24日</w:t>
                  </w:r>
                </w:p>
              </w:tc>
              <w:tc>
                <w:tcPr>
                  <w:tcW w:w="1052" w:type="pct"/>
                  <w:tcBorders>
                    <w:tl2br w:val="nil"/>
                    <w:tr2bl w:val="nil"/>
                  </w:tcBorders>
                  <w:noWrap/>
                  <w:vAlign w:val="center"/>
                </w:tcPr>
                <w:p w14:paraId="552C50A2">
                  <w:pPr>
                    <w:pStyle w:val="43"/>
                    <w:bidi w:val="0"/>
                    <w:rPr>
                      <w:rFonts w:hint="default" w:ascii="Times New Roman" w:hAnsi="Times New Roman" w:cs="Times New Roman"/>
                      <w:color w:val="auto"/>
                    </w:rPr>
                  </w:pPr>
                  <w:r>
                    <w:rPr>
                      <w:rFonts w:hint="default" w:ascii="Times New Roman" w:hAnsi="Times New Roman" w:cs="Times New Roman"/>
                      <w:color w:val="auto"/>
                    </w:rPr>
                    <w:t>2019年08月10日自主验收</w:t>
                  </w:r>
                </w:p>
              </w:tc>
              <w:tc>
                <w:tcPr>
                  <w:tcW w:w="465" w:type="pct"/>
                  <w:tcBorders>
                    <w:tl2br w:val="nil"/>
                    <w:tr2bl w:val="nil"/>
                  </w:tcBorders>
                  <w:noWrap/>
                  <w:vAlign w:val="center"/>
                </w:tcPr>
                <w:p w14:paraId="7427BC38">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2B197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16" w:type="pct"/>
                  <w:vMerge w:val="continue"/>
                  <w:tcBorders>
                    <w:tl2br w:val="nil"/>
                    <w:tr2bl w:val="nil"/>
                  </w:tcBorders>
                  <w:noWrap/>
                  <w:vAlign w:val="center"/>
                </w:tcPr>
                <w:p w14:paraId="376C48C7">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5DA9823D">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窑头电收尘电改袋技改项目</w:t>
                  </w:r>
                </w:p>
              </w:tc>
              <w:tc>
                <w:tcPr>
                  <w:tcW w:w="1543" w:type="pct"/>
                  <w:tcBorders>
                    <w:tl2br w:val="nil"/>
                    <w:tr2bl w:val="nil"/>
                  </w:tcBorders>
                  <w:noWrap/>
                  <w:vAlign w:val="center"/>
                </w:tcPr>
                <w:p w14:paraId="77EC088C">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原泗水县环境保护局</w:t>
                  </w:r>
                  <w:r>
                    <w:rPr>
                      <w:rFonts w:hint="default" w:ascii="Times New Roman" w:hAnsi="Times New Roman" w:cs="Times New Roman"/>
                      <w:color w:val="auto"/>
                      <w:lang w:eastAsia="zh-CN"/>
                    </w:rPr>
                    <w:t>，泗环审字[2019]116号，2019年07月05日</w:t>
                  </w:r>
                </w:p>
              </w:tc>
              <w:tc>
                <w:tcPr>
                  <w:tcW w:w="1052" w:type="pct"/>
                  <w:tcBorders>
                    <w:tl2br w:val="nil"/>
                    <w:tr2bl w:val="nil"/>
                  </w:tcBorders>
                  <w:noWrap/>
                  <w:vAlign w:val="center"/>
                </w:tcPr>
                <w:p w14:paraId="2126520C">
                  <w:pPr>
                    <w:pStyle w:val="43"/>
                    <w:bidi w:val="0"/>
                    <w:rPr>
                      <w:rFonts w:hint="default" w:ascii="Times New Roman" w:hAnsi="Times New Roman" w:cs="Times New Roman"/>
                      <w:color w:val="auto"/>
                    </w:rPr>
                  </w:pPr>
                  <w:r>
                    <w:rPr>
                      <w:rFonts w:hint="default" w:ascii="Times New Roman" w:hAnsi="Times New Roman" w:cs="Times New Roman"/>
                      <w:color w:val="auto"/>
                    </w:rPr>
                    <w:t>2019年08月10日自主验收</w:t>
                  </w:r>
                </w:p>
              </w:tc>
              <w:tc>
                <w:tcPr>
                  <w:tcW w:w="465" w:type="pct"/>
                  <w:tcBorders>
                    <w:tl2br w:val="nil"/>
                    <w:tr2bl w:val="nil"/>
                  </w:tcBorders>
                  <w:noWrap/>
                  <w:vAlign w:val="center"/>
                </w:tcPr>
                <w:p w14:paraId="46BA5B9F">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5142F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66D7B8E6">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38C4253E">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济宁海螺年产400万吨石灰石破碎机移位技术改造项目</w:t>
                  </w:r>
                </w:p>
              </w:tc>
              <w:tc>
                <w:tcPr>
                  <w:tcW w:w="1543" w:type="pct"/>
                  <w:tcBorders>
                    <w:tl2br w:val="nil"/>
                    <w:tr2bl w:val="nil"/>
                  </w:tcBorders>
                  <w:noWrap/>
                  <w:vAlign w:val="center"/>
                </w:tcPr>
                <w:p w14:paraId="7249256E">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济宁市生态环境局泗水县分局</w:t>
                  </w:r>
                  <w:r>
                    <w:rPr>
                      <w:rFonts w:hint="default" w:ascii="Times New Roman" w:hAnsi="Times New Roman" w:cs="Times New Roman"/>
                      <w:color w:val="auto"/>
                      <w:lang w:eastAsia="zh-CN"/>
                    </w:rPr>
                    <w:t>，</w:t>
                  </w:r>
                  <w:r>
                    <w:rPr>
                      <w:rFonts w:hint="default" w:ascii="Times New Roman" w:hAnsi="Times New Roman" w:cs="Times New Roman"/>
                      <w:color w:val="auto"/>
                    </w:rPr>
                    <w:t>济环报告表泗水[2020]166号</w:t>
                  </w:r>
                  <w:r>
                    <w:rPr>
                      <w:rFonts w:hint="default" w:ascii="Times New Roman" w:hAnsi="Times New Roman" w:cs="Times New Roman"/>
                      <w:color w:val="auto"/>
                      <w:lang w:eastAsia="zh-CN"/>
                    </w:rPr>
                    <w:t>，</w:t>
                  </w:r>
                  <w:r>
                    <w:rPr>
                      <w:rFonts w:hint="default" w:ascii="Times New Roman" w:hAnsi="Times New Roman" w:cs="Times New Roman"/>
                      <w:color w:val="auto"/>
                    </w:rPr>
                    <w:t>2020年12月5日</w:t>
                  </w:r>
                </w:p>
              </w:tc>
              <w:tc>
                <w:tcPr>
                  <w:tcW w:w="1052" w:type="pct"/>
                  <w:tcBorders>
                    <w:tl2br w:val="nil"/>
                    <w:tr2bl w:val="nil"/>
                  </w:tcBorders>
                  <w:noWrap/>
                  <w:vAlign w:val="center"/>
                </w:tcPr>
                <w:p w14:paraId="182FA0BF">
                  <w:pPr>
                    <w:pStyle w:val="43"/>
                    <w:bidi w:val="0"/>
                    <w:rPr>
                      <w:rFonts w:hint="default" w:ascii="Times New Roman" w:hAnsi="Times New Roman" w:cs="Times New Roman"/>
                      <w:color w:val="auto"/>
                    </w:rPr>
                  </w:pPr>
                  <w:r>
                    <w:rPr>
                      <w:rFonts w:hint="default" w:ascii="Times New Roman" w:hAnsi="Times New Roman" w:cs="Times New Roman"/>
                      <w:color w:val="auto"/>
                    </w:rPr>
                    <w:t>2021年05月15日自主验收</w:t>
                  </w:r>
                </w:p>
              </w:tc>
              <w:tc>
                <w:tcPr>
                  <w:tcW w:w="465" w:type="pct"/>
                  <w:tcBorders>
                    <w:tl2br w:val="nil"/>
                    <w:tr2bl w:val="nil"/>
                  </w:tcBorders>
                  <w:noWrap/>
                  <w:vAlign w:val="center"/>
                </w:tcPr>
                <w:p w14:paraId="5FFAB508">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3D098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16" w:type="pct"/>
                  <w:vMerge w:val="continue"/>
                  <w:tcBorders>
                    <w:tl2br w:val="nil"/>
                    <w:tr2bl w:val="nil"/>
                  </w:tcBorders>
                  <w:noWrap/>
                  <w:vAlign w:val="center"/>
                </w:tcPr>
                <w:p w14:paraId="0936A877">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574BB038">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济宁海螺320万吨石灰石阶梯利用新材料项目</w:t>
                  </w:r>
                </w:p>
              </w:tc>
              <w:tc>
                <w:tcPr>
                  <w:tcW w:w="1543" w:type="pct"/>
                  <w:tcBorders>
                    <w:tl2br w:val="nil"/>
                    <w:tr2bl w:val="nil"/>
                  </w:tcBorders>
                  <w:noWrap/>
                  <w:vAlign w:val="center"/>
                </w:tcPr>
                <w:p w14:paraId="7722F5D9">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济宁市生态环境局泗水县分局</w:t>
                  </w:r>
                  <w:r>
                    <w:rPr>
                      <w:rFonts w:hint="default" w:ascii="Times New Roman" w:hAnsi="Times New Roman" w:cs="Times New Roman"/>
                      <w:color w:val="auto"/>
                      <w:lang w:eastAsia="zh-CN"/>
                    </w:rPr>
                    <w:t>，</w:t>
                  </w:r>
                  <w:r>
                    <w:rPr>
                      <w:rFonts w:hint="default" w:ascii="Times New Roman" w:hAnsi="Times New Roman" w:cs="Times New Roman"/>
                      <w:color w:val="auto"/>
                    </w:rPr>
                    <w:t>济环报告表泗水[2021]069号</w:t>
                  </w:r>
                  <w:r>
                    <w:rPr>
                      <w:rFonts w:hint="default" w:ascii="Times New Roman" w:hAnsi="Times New Roman" w:cs="Times New Roman"/>
                      <w:color w:val="auto"/>
                      <w:lang w:eastAsia="zh-CN"/>
                    </w:rPr>
                    <w:t>，</w:t>
                  </w:r>
                  <w:r>
                    <w:rPr>
                      <w:rFonts w:hint="default" w:ascii="Times New Roman" w:hAnsi="Times New Roman" w:cs="Times New Roman"/>
                      <w:color w:val="auto"/>
                    </w:rPr>
                    <w:t>2021年7月30日</w:t>
                  </w:r>
                </w:p>
              </w:tc>
              <w:tc>
                <w:tcPr>
                  <w:tcW w:w="1052" w:type="pct"/>
                  <w:tcBorders>
                    <w:tl2br w:val="nil"/>
                    <w:tr2bl w:val="nil"/>
                  </w:tcBorders>
                  <w:noWrap/>
                  <w:vAlign w:val="center"/>
                </w:tcPr>
                <w:p w14:paraId="6DA9585E">
                  <w:pPr>
                    <w:pStyle w:val="43"/>
                    <w:bidi w:val="0"/>
                    <w:rPr>
                      <w:rFonts w:hint="default" w:ascii="Times New Roman" w:hAnsi="Times New Roman" w:cs="Times New Roman"/>
                      <w:color w:val="auto"/>
                    </w:rPr>
                  </w:pPr>
                  <w:r>
                    <w:rPr>
                      <w:rFonts w:hint="default" w:ascii="Times New Roman" w:hAnsi="Times New Roman" w:cs="Times New Roman"/>
                      <w:color w:val="auto"/>
                    </w:rPr>
                    <w:t>202</w:t>
                  </w:r>
                  <w:r>
                    <w:rPr>
                      <w:rFonts w:hint="eastAsia" w:ascii="Times New Roman" w:hAnsi="Times New Roman" w:cs="Times New Roman"/>
                      <w:color w:val="auto"/>
                      <w:lang w:val="en-US" w:eastAsia="zh-CN"/>
                    </w:rPr>
                    <w:t>3</w:t>
                  </w:r>
                  <w:r>
                    <w:rPr>
                      <w:rFonts w:hint="default" w:ascii="Times New Roman" w:hAnsi="Times New Roman" w:cs="Times New Roman"/>
                      <w:color w:val="auto"/>
                    </w:rPr>
                    <w:t>年0</w:t>
                  </w:r>
                  <w:r>
                    <w:rPr>
                      <w:rFonts w:hint="eastAsia" w:ascii="Times New Roman" w:hAnsi="Times New Roman" w:cs="Times New Roman"/>
                      <w:color w:val="auto"/>
                      <w:lang w:val="en-US" w:eastAsia="zh-CN"/>
                    </w:rPr>
                    <w:t>2</w:t>
                  </w:r>
                  <w:r>
                    <w:rPr>
                      <w:rFonts w:hint="default" w:ascii="Times New Roman" w:hAnsi="Times New Roman" w:cs="Times New Roman"/>
                      <w:color w:val="auto"/>
                    </w:rPr>
                    <w:t>月1</w:t>
                  </w:r>
                  <w:r>
                    <w:rPr>
                      <w:rFonts w:hint="eastAsia" w:ascii="Times New Roman" w:hAnsi="Times New Roman" w:cs="Times New Roman"/>
                      <w:color w:val="auto"/>
                      <w:lang w:val="en-US" w:eastAsia="zh-CN"/>
                    </w:rPr>
                    <w:t>2</w:t>
                  </w:r>
                  <w:r>
                    <w:rPr>
                      <w:rFonts w:hint="default" w:ascii="Times New Roman" w:hAnsi="Times New Roman" w:cs="Times New Roman"/>
                      <w:color w:val="auto"/>
                    </w:rPr>
                    <w:t>日自主验收</w:t>
                  </w:r>
                </w:p>
              </w:tc>
              <w:tc>
                <w:tcPr>
                  <w:tcW w:w="465" w:type="pct"/>
                  <w:tcBorders>
                    <w:tl2br w:val="nil"/>
                    <w:tr2bl w:val="nil"/>
                  </w:tcBorders>
                  <w:noWrap/>
                  <w:vAlign w:val="center"/>
                </w:tcPr>
                <w:p w14:paraId="0E705D6F">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r w14:paraId="2C792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3DFAC2EE">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496F98EF">
                  <w:pPr>
                    <w:pStyle w:val="43"/>
                    <w:bidi w:val="0"/>
                    <w:rPr>
                      <w:rFonts w:hint="default" w:ascii="Times New Roman" w:hAnsi="Times New Roman" w:cs="Times New Roman"/>
                      <w:color w:val="auto"/>
                    </w:rPr>
                  </w:pPr>
                  <w:r>
                    <w:rPr>
                      <w:rFonts w:hint="default" w:ascii="Times New Roman" w:hAnsi="Times New Roman" w:cs="Times New Roman"/>
                      <w:color w:val="auto"/>
                    </w:rPr>
                    <w:t>济宁海螺9MW生物质气化补充热能项目</w:t>
                  </w:r>
                </w:p>
              </w:tc>
              <w:tc>
                <w:tcPr>
                  <w:tcW w:w="1543" w:type="pct"/>
                  <w:tcBorders>
                    <w:tl2br w:val="nil"/>
                    <w:tr2bl w:val="nil"/>
                  </w:tcBorders>
                  <w:noWrap/>
                  <w:vAlign w:val="center"/>
                </w:tcPr>
                <w:p w14:paraId="4FBF0308">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济宁市生态环境局泗水县分局</w:t>
                  </w:r>
                  <w:r>
                    <w:rPr>
                      <w:rFonts w:hint="default" w:ascii="Times New Roman" w:hAnsi="Times New Roman" w:cs="Times New Roman"/>
                      <w:color w:val="auto"/>
                      <w:lang w:eastAsia="zh-CN"/>
                    </w:rPr>
                    <w:t>，</w:t>
                  </w:r>
                  <w:r>
                    <w:rPr>
                      <w:rFonts w:hint="default" w:ascii="Times New Roman" w:hAnsi="Times New Roman" w:cs="Times New Roman"/>
                      <w:color w:val="auto"/>
                    </w:rPr>
                    <w:t>济环报告表泗水[2022]004号</w:t>
                  </w:r>
                  <w:r>
                    <w:rPr>
                      <w:rFonts w:hint="default" w:ascii="Times New Roman" w:hAnsi="Times New Roman" w:cs="Times New Roman"/>
                      <w:color w:val="auto"/>
                      <w:lang w:eastAsia="zh-CN"/>
                    </w:rPr>
                    <w:t>，2021年1月29日</w:t>
                  </w:r>
                </w:p>
              </w:tc>
              <w:tc>
                <w:tcPr>
                  <w:tcW w:w="1052" w:type="pct"/>
                  <w:tcBorders>
                    <w:tl2br w:val="nil"/>
                    <w:tr2bl w:val="nil"/>
                  </w:tcBorders>
                  <w:noWrap/>
                  <w:vAlign w:val="center"/>
                </w:tcPr>
                <w:p w14:paraId="1C92563B">
                  <w:pPr>
                    <w:pStyle w:val="43"/>
                    <w:bidi w:val="0"/>
                    <w:rPr>
                      <w:rFonts w:hint="default" w:ascii="Times New Roman" w:hAnsi="Times New Roman" w:cs="Times New Roman"/>
                      <w:color w:val="auto"/>
                    </w:rPr>
                  </w:pPr>
                  <w:r>
                    <w:rPr>
                      <w:rFonts w:hint="default" w:ascii="Times New Roman" w:hAnsi="Times New Roman" w:cs="Times New Roman"/>
                      <w:color w:val="auto"/>
                    </w:rPr>
                    <w:t>在建</w:t>
                  </w:r>
                </w:p>
              </w:tc>
              <w:tc>
                <w:tcPr>
                  <w:tcW w:w="465" w:type="pct"/>
                  <w:tcBorders>
                    <w:tl2br w:val="nil"/>
                    <w:tr2bl w:val="nil"/>
                  </w:tcBorders>
                  <w:noWrap/>
                  <w:vAlign w:val="center"/>
                </w:tcPr>
                <w:p w14:paraId="2B3C3776">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在建</w:t>
                  </w:r>
                </w:p>
              </w:tc>
            </w:tr>
            <w:tr w14:paraId="4A584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restart"/>
                  <w:tcBorders>
                    <w:tl2br w:val="nil"/>
                    <w:tr2bl w:val="nil"/>
                  </w:tcBorders>
                  <w:noWrap/>
                  <w:vAlign w:val="center"/>
                </w:tcPr>
                <w:p w14:paraId="39E44A63">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济宁海螺环保科技有限责任公司</w:t>
                  </w:r>
                </w:p>
              </w:tc>
              <w:tc>
                <w:tcPr>
                  <w:tcW w:w="1522" w:type="pct"/>
                  <w:tcBorders>
                    <w:tl2br w:val="nil"/>
                    <w:tr2bl w:val="nil"/>
                  </w:tcBorders>
                  <w:noWrap/>
                  <w:vAlign w:val="center"/>
                </w:tcPr>
                <w:p w14:paraId="2CAAD465">
                  <w:pPr>
                    <w:pStyle w:val="43"/>
                    <w:bidi w:val="0"/>
                    <w:rPr>
                      <w:rFonts w:hint="default" w:ascii="Times New Roman" w:hAnsi="Times New Roman" w:cs="Times New Roman"/>
                      <w:color w:val="auto"/>
                    </w:rPr>
                  </w:pPr>
                  <w:r>
                    <w:rPr>
                      <w:rFonts w:hint="default" w:ascii="Times New Roman" w:hAnsi="Times New Roman" w:cs="Times New Roman"/>
                      <w:color w:val="auto"/>
                      <w:szCs w:val="21"/>
                    </w:rPr>
                    <w:t>济宁海创水泥窑综合利用固废危废项目</w:t>
                  </w:r>
                </w:p>
              </w:tc>
              <w:tc>
                <w:tcPr>
                  <w:tcW w:w="1543" w:type="pct"/>
                  <w:tcBorders>
                    <w:tl2br w:val="nil"/>
                    <w:tr2bl w:val="nil"/>
                  </w:tcBorders>
                  <w:noWrap/>
                  <w:vAlign w:val="center"/>
                </w:tcPr>
                <w:p w14:paraId="7A6CBF3E">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szCs w:val="21"/>
                    </w:rPr>
                    <w:t>济宁市生态环境局</w:t>
                  </w:r>
                  <w:r>
                    <w:rPr>
                      <w:rFonts w:hint="default" w:ascii="Times New Roman" w:hAnsi="Times New Roman" w:cs="Times New Roman"/>
                      <w:color w:val="auto"/>
                      <w:szCs w:val="21"/>
                      <w:lang w:eastAsia="zh-CN"/>
                    </w:rPr>
                    <w:t>，济环审[2019]11号，</w:t>
                  </w:r>
                  <w:r>
                    <w:rPr>
                      <w:rFonts w:hint="default" w:ascii="Times New Roman" w:hAnsi="Times New Roman" w:cs="Times New Roman"/>
                      <w:color w:val="auto"/>
                      <w:szCs w:val="21"/>
                      <w:lang w:val="en-US" w:eastAsia="zh-CN"/>
                    </w:rPr>
                    <w:t>2019年4月4日</w:t>
                  </w:r>
                </w:p>
              </w:tc>
              <w:tc>
                <w:tcPr>
                  <w:tcW w:w="1052" w:type="pct"/>
                  <w:tcBorders>
                    <w:tl2br w:val="nil"/>
                    <w:tr2bl w:val="nil"/>
                  </w:tcBorders>
                  <w:noWrap/>
                  <w:vAlign w:val="center"/>
                </w:tcPr>
                <w:p w14:paraId="5DB614CF">
                  <w:pPr>
                    <w:pStyle w:val="43"/>
                    <w:bidi w:val="0"/>
                    <w:rPr>
                      <w:rFonts w:hint="default" w:ascii="Times New Roman" w:hAnsi="Times New Roman" w:cs="Times New Roman"/>
                      <w:color w:val="auto"/>
                    </w:rPr>
                  </w:pPr>
                  <w:r>
                    <w:rPr>
                      <w:rFonts w:hint="default" w:ascii="Times New Roman" w:hAnsi="Times New Roman" w:cs="Times New Roman"/>
                      <w:color w:val="auto"/>
                    </w:rPr>
                    <w:t>2021年3月4日完成竣工环境保护自主验收</w:t>
                  </w:r>
                </w:p>
              </w:tc>
              <w:tc>
                <w:tcPr>
                  <w:tcW w:w="465" w:type="pct"/>
                  <w:tcBorders>
                    <w:tl2br w:val="nil"/>
                    <w:tr2bl w:val="nil"/>
                  </w:tcBorders>
                  <w:noWrap/>
                  <w:vAlign w:val="center"/>
                </w:tcPr>
                <w:p w14:paraId="0F997F76">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正常生产</w:t>
                  </w:r>
                </w:p>
              </w:tc>
            </w:tr>
            <w:tr w14:paraId="4AF6B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27547744">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31495E1E">
                  <w:pPr>
                    <w:pStyle w:val="43"/>
                    <w:bidi w:val="0"/>
                    <w:rPr>
                      <w:rFonts w:hint="default" w:ascii="Times New Roman" w:hAnsi="Times New Roman" w:cs="Times New Roman"/>
                      <w:color w:val="auto"/>
                    </w:rPr>
                  </w:pPr>
                  <w:r>
                    <w:rPr>
                      <w:rFonts w:hint="default" w:ascii="Times New Roman" w:hAnsi="Times New Roman" w:cs="Times New Roman"/>
                      <w:color w:val="auto"/>
                    </w:rPr>
                    <w:t>济宁海创水泥窑综合利用固废危废扩建项目</w:t>
                  </w:r>
                </w:p>
              </w:tc>
              <w:tc>
                <w:tcPr>
                  <w:tcW w:w="1543" w:type="pct"/>
                  <w:tcBorders>
                    <w:tl2br w:val="nil"/>
                    <w:tr2bl w:val="nil"/>
                  </w:tcBorders>
                  <w:noWrap/>
                  <w:vAlign w:val="center"/>
                </w:tcPr>
                <w:p w14:paraId="0AE1DDE5">
                  <w:pPr>
                    <w:pStyle w:val="43"/>
                    <w:bidi w:val="0"/>
                    <w:rPr>
                      <w:rFonts w:hint="default" w:ascii="Times New Roman" w:hAnsi="Times New Roman" w:eastAsia="宋体" w:cs="Times New Roman"/>
                      <w:color w:val="auto"/>
                      <w:lang w:eastAsia="zh-CN"/>
                    </w:rPr>
                  </w:pPr>
                  <w:r>
                    <w:rPr>
                      <w:rFonts w:hint="default" w:ascii="Times New Roman" w:hAnsi="Times New Roman" w:cs="Times New Roman"/>
                      <w:color w:val="auto"/>
                      <w:szCs w:val="21"/>
                    </w:rPr>
                    <w:t>济宁市生态环境局</w:t>
                  </w:r>
                  <w:r>
                    <w:rPr>
                      <w:rFonts w:hint="default" w:ascii="Times New Roman" w:hAnsi="Times New Roman" w:cs="Times New Roman"/>
                      <w:color w:val="auto"/>
                      <w:szCs w:val="21"/>
                      <w:lang w:eastAsia="zh-CN"/>
                    </w:rPr>
                    <w:t>，</w:t>
                  </w:r>
                  <w:r>
                    <w:rPr>
                      <w:rFonts w:hint="default" w:ascii="Times New Roman" w:hAnsi="Times New Roman" w:cs="Times New Roman"/>
                      <w:color w:val="auto"/>
                    </w:rPr>
                    <w:t>济环审（泗水）〔2022〕04号</w:t>
                  </w:r>
                  <w:r>
                    <w:rPr>
                      <w:rFonts w:hint="default" w:ascii="Times New Roman" w:hAnsi="Times New Roman" w:cs="Times New Roman"/>
                      <w:color w:val="auto"/>
                      <w:lang w:eastAsia="zh-CN"/>
                    </w:rPr>
                    <w:t>，2022年8月24日</w:t>
                  </w:r>
                </w:p>
              </w:tc>
              <w:tc>
                <w:tcPr>
                  <w:tcW w:w="1052" w:type="pct"/>
                  <w:tcBorders>
                    <w:tl2br w:val="nil"/>
                    <w:tr2bl w:val="nil"/>
                  </w:tcBorders>
                  <w:noWrap/>
                  <w:vAlign w:val="center"/>
                </w:tcPr>
                <w:p w14:paraId="7176AD7B">
                  <w:pPr>
                    <w:pStyle w:val="43"/>
                    <w:bidi w:val="0"/>
                    <w:rPr>
                      <w:rFonts w:hint="default" w:ascii="Times New Roman" w:hAnsi="Times New Roman" w:cs="Times New Roman"/>
                      <w:color w:val="auto"/>
                    </w:rPr>
                  </w:pPr>
                  <w:r>
                    <w:rPr>
                      <w:rFonts w:hint="default" w:ascii="Times New Roman" w:hAnsi="Times New Roman" w:cs="Times New Roman"/>
                      <w:color w:val="auto"/>
                    </w:rPr>
                    <w:t>2023年05月完成一期工程竣工环境保护自主验收</w:t>
                  </w:r>
                </w:p>
              </w:tc>
              <w:tc>
                <w:tcPr>
                  <w:tcW w:w="465" w:type="pct"/>
                  <w:tcBorders>
                    <w:tl2br w:val="nil"/>
                    <w:tr2bl w:val="nil"/>
                  </w:tcBorders>
                  <w:noWrap/>
                  <w:vAlign w:val="center"/>
                </w:tcPr>
                <w:p w14:paraId="7987A0F1">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正常生产</w:t>
                  </w:r>
                </w:p>
              </w:tc>
            </w:tr>
            <w:tr w14:paraId="64DF8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6" w:type="pct"/>
                  <w:vMerge w:val="continue"/>
                  <w:tcBorders>
                    <w:tl2br w:val="nil"/>
                    <w:tr2bl w:val="nil"/>
                  </w:tcBorders>
                  <w:noWrap/>
                  <w:vAlign w:val="center"/>
                </w:tcPr>
                <w:p w14:paraId="3038BC4F">
                  <w:pPr>
                    <w:pStyle w:val="43"/>
                    <w:bidi w:val="0"/>
                    <w:rPr>
                      <w:rFonts w:hint="default" w:ascii="Times New Roman" w:hAnsi="Times New Roman" w:cs="Times New Roman"/>
                      <w:color w:val="auto"/>
                      <w:lang w:val="en-US" w:eastAsia="zh-CN"/>
                    </w:rPr>
                  </w:pPr>
                </w:p>
              </w:tc>
              <w:tc>
                <w:tcPr>
                  <w:tcW w:w="1522" w:type="pct"/>
                  <w:tcBorders>
                    <w:tl2br w:val="nil"/>
                    <w:tr2bl w:val="nil"/>
                  </w:tcBorders>
                  <w:noWrap/>
                  <w:vAlign w:val="center"/>
                </w:tcPr>
                <w:p w14:paraId="71ECCABC">
                  <w:pPr>
                    <w:pStyle w:val="43"/>
                    <w:bidi w:val="0"/>
                    <w:rPr>
                      <w:rFonts w:hint="default" w:ascii="Times New Roman" w:hAnsi="Times New Roman" w:cs="Times New Roman"/>
                      <w:color w:val="auto"/>
                    </w:rPr>
                  </w:pPr>
                  <w:r>
                    <w:rPr>
                      <w:rFonts w:hint="default" w:ascii="Times New Roman" w:hAnsi="Times New Roman" w:cs="Times New Roman"/>
                      <w:color w:val="auto"/>
                    </w:rPr>
                    <w:t>济宁海螺环保替代燃料技改项目</w:t>
                  </w:r>
                </w:p>
              </w:tc>
              <w:tc>
                <w:tcPr>
                  <w:tcW w:w="1543" w:type="pct"/>
                  <w:tcBorders>
                    <w:tl2br w:val="nil"/>
                    <w:tr2bl w:val="nil"/>
                  </w:tcBorders>
                  <w:noWrap/>
                  <w:vAlign w:val="center"/>
                </w:tcPr>
                <w:p w14:paraId="3BD3D665">
                  <w:pPr>
                    <w:pStyle w:val="43"/>
                    <w:bidi w:val="0"/>
                    <w:rPr>
                      <w:rFonts w:hint="default" w:ascii="Times New Roman" w:hAnsi="Times New Roman" w:cs="Times New Roman"/>
                      <w:color w:val="auto"/>
                      <w:szCs w:val="21"/>
                    </w:rPr>
                  </w:pPr>
                  <w:r>
                    <w:rPr>
                      <w:rFonts w:hint="default" w:ascii="Times New Roman" w:hAnsi="Times New Roman" w:cs="Times New Roman"/>
                      <w:color w:val="auto"/>
                    </w:rPr>
                    <w:t>济宁市生态环境局泗水县分局</w:t>
                  </w:r>
                  <w:r>
                    <w:rPr>
                      <w:rFonts w:hint="default" w:ascii="Times New Roman" w:hAnsi="Times New Roman" w:cs="Times New Roman"/>
                      <w:color w:val="auto"/>
                      <w:lang w:eastAsia="zh-CN"/>
                    </w:rPr>
                    <w:t>，</w:t>
                  </w:r>
                  <w:r>
                    <w:rPr>
                      <w:rFonts w:hint="default" w:ascii="Times New Roman" w:hAnsi="Times New Roman" w:cs="Times New Roman"/>
                      <w:color w:val="auto"/>
                      <w:szCs w:val="21"/>
                    </w:rPr>
                    <w:t>济环报告表（泗水）[2024]021号</w:t>
                  </w:r>
                </w:p>
              </w:tc>
              <w:tc>
                <w:tcPr>
                  <w:tcW w:w="1052" w:type="pct"/>
                  <w:tcBorders>
                    <w:tl2br w:val="nil"/>
                    <w:tr2bl w:val="nil"/>
                  </w:tcBorders>
                  <w:noWrap/>
                  <w:vAlign w:val="center"/>
                </w:tcPr>
                <w:p w14:paraId="577AC181">
                  <w:pPr>
                    <w:pStyle w:val="43"/>
                    <w:bidi w:val="0"/>
                    <w:rPr>
                      <w:rFonts w:hint="default" w:ascii="Times New Roman" w:hAnsi="Times New Roman" w:cs="Times New Roman"/>
                      <w:color w:val="auto"/>
                    </w:rPr>
                  </w:pPr>
                  <w:r>
                    <w:rPr>
                      <w:rFonts w:hint="default" w:ascii="Times New Roman" w:hAnsi="Times New Roman" w:cs="Times New Roman"/>
                      <w:color w:val="auto"/>
                    </w:rPr>
                    <w:t>202</w:t>
                  </w:r>
                  <w:r>
                    <w:rPr>
                      <w:rFonts w:hint="eastAsia" w:ascii="Times New Roman" w:hAnsi="Times New Roman" w:cs="Times New Roman"/>
                      <w:color w:val="auto"/>
                      <w:lang w:val="en-US" w:eastAsia="zh-CN"/>
                    </w:rPr>
                    <w:t>5</w:t>
                  </w:r>
                  <w:r>
                    <w:rPr>
                      <w:rFonts w:hint="default" w:ascii="Times New Roman" w:hAnsi="Times New Roman" w:cs="Times New Roman"/>
                      <w:color w:val="auto"/>
                    </w:rPr>
                    <w:t>年3月</w:t>
                  </w:r>
                  <w:r>
                    <w:rPr>
                      <w:rFonts w:hint="eastAsia" w:ascii="Times New Roman" w:hAnsi="Times New Roman" w:cs="Times New Roman"/>
                      <w:color w:val="auto"/>
                      <w:lang w:val="en-US" w:eastAsia="zh-CN"/>
                    </w:rPr>
                    <w:t>28</w:t>
                  </w:r>
                  <w:r>
                    <w:rPr>
                      <w:rFonts w:hint="default" w:ascii="Times New Roman" w:hAnsi="Times New Roman" w:cs="Times New Roman"/>
                      <w:color w:val="auto"/>
                    </w:rPr>
                    <w:t>日完成竣工环境保护自主验收</w:t>
                  </w:r>
                </w:p>
              </w:tc>
              <w:tc>
                <w:tcPr>
                  <w:tcW w:w="465" w:type="pct"/>
                  <w:tcBorders>
                    <w:tl2br w:val="nil"/>
                    <w:tr2bl w:val="nil"/>
                  </w:tcBorders>
                  <w:noWrap/>
                  <w:vAlign w:val="center"/>
                </w:tcPr>
                <w:p w14:paraId="302447AC">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正常生产</w:t>
                  </w:r>
                </w:p>
              </w:tc>
            </w:tr>
          </w:tbl>
          <w:p w14:paraId="57194F0C">
            <w:pPr>
              <w:bidi w:val="0"/>
              <w:ind w:firstLine="482" w:firstLineChars="200"/>
              <w:rPr>
                <w:rFonts w:hint="default" w:ascii="Times New Roman" w:hAnsi="Times New Roman" w:eastAsia="宋体" w:cs="Times New Roman"/>
                <w:b/>
                <w:bCs w:val="0"/>
                <w:color w:val="auto"/>
                <w:lang w:val="en-US" w:eastAsia="zh-CN"/>
              </w:rPr>
            </w:pPr>
            <w:r>
              <w:rPr>
                <w:rStyle w:val="52"/>
                <w:rFonts w:hint="default" w:ascii="Times New Roman" w:hAnsi="Times New Roman" w:eastAsia="宋体" w:cs="Times New Roman"/>
                <w:b/>
                <w:bCs w:val="0"/>
                <w:color w:val="auto"/>
                <w:lang w:val="en-US" w:eastAsia="zh-CN"/>
              </w:rPr>
              <w:t>二、排污许可执行情况</w:t>
            </w:r>
          </w:p>
          <w:p w14:paraId="357BCB37">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济宁海螺水泥有限责任公司于2017年8月17日</w:t>
            </w:r>
            <w:r>
              <w:rPr>
                <w:rFonts w:hint="eastAsia" w:cs="Times New Roman"/>
                <w:color w:val="auto"/>
                <w:lang w:val="en-US" w:eastAsia="zh-CN"/>
              </w:rPr>
              <w:t>首次</w:t>
            </w:r>
            <w:r>
              <w:rPr>
                <w:rFonts w:hint="default" w:ascii="Times New Roman" w:hAnsi="Times New Roman" w:cs="Times New Roman"/>
                <w:color w:val="auto"/>
                <w:lang w:val="en-US" w:eastAsia="zh-CN"/>
              </w:rPr>
              <w:t>申领了排污许可证，</w:t>
            </w:r>
            <w:r>
              <w:rPr>
                <w:rFonts w:hint="default" w:ascii="Times New Roman" w:hAnsi="Times New Roman" w:eastAsia="Times New Roman" w:cs="Times New Roman"/>
                <w:color w:val="auto"/>
                <w:sz w:val="24"/>
                <w:szCs w:val="24"/>
              </w:rPr>
              <w:t>202</w:t>
            </w:r>
            <w:r>
              <w:rPr>
                <w:rFonts w:hint="eastAsia" w:eastAsia="宋体" w:cs="Times New Roman"/>
                <w:color w:val="auto"/>
                <w:sz w:val="24"/>
                <w:szCs w:val="24"/>
                <w:lang w:val="en-US" w:eastAsia="zh-CN"/>
              </w:rPr>
              <w:t>5</w:t>
            </w:r>
            <w:r>
              <w:rPr>
                <w:rFonts w:hint="default" w:ascii="Times New Roman" w:hAnsi="Times New Roman" w:cs="Times New Roman"/>
                <w:color w:val="auto"/>
                <w:sz w:val="24"/>
                <w:szCs w:val="24"/>
              </w:rPr>
              <w:t>年</w:t>
            </w:r>
            <w:r>
              <w:rPr>
                <w:rFonts w:hint="eastAsia" w:cs="Times New Roman"/>
                <w:color w:val="auto"/>
                <w:sz w:val="24"/>
                <w:szCs w:val="24"/>
                <w:lang w:val="en-US" w:eastAsia="zh-CN"/>
              </w:rPr>
              <w:t>1</w:t>
            </w:r>
            <w:r>
              <w:rPr>
                <w:rFonts w:hint="default" w:ascii="Times New Roman" w:hAnsi="Times New Roman" w:cs="Times New Roman"/>
                <w:color w:val="auto"/>
                <w:sz w:val="24"/>
                <w:szCs w:val="24"/>
              </w:rPr>
              <w:t>月</w:t>
            </w:r>
            <w:r>
              <w:rPr>
                <w:rFonts w:hint="eastAsia" w:cs="Times New Roman"/>
                <w:color w:val="auto"/>
                <w:sz w:val="24"/>
                <w:szCs w:val="24"/>
                <w:lang w:val="en-US" w:eastAsia="zh-CN"/>
              </w:rPr>
              <w:t>10</w:t>
            </w:r>
            <w:r>
              <w:rPr>
                <w:rFonts w:hint="default" w:ascii="Times New Roman" w:hAnsi="Times New Roman" w:cs="Times New Roman"/>
                <w:color w:val="auto"/>
                <w:sz w:val="24"/>
                <w:szCs w:val="24"/>
                <w:lang w:val="en-US" w:eastAsia="zh-CN"/>
              </w:rPr>
              <w:t>日</w:t>
            </w:r>
            <w:r>
              <w:rPr>
                <w:rFonts w:hint="eastAsia" w:cs="Times New Roman"/>
                <w:color w:val="auto"/>
                <w:sz w:val="24"/>
                <w:szCs w:val="24"/>
                <w:lang w:val="en-US" w:eastAsia="zh-CN"/>
              </w:rPr>
              <w:t>重新申领了排污许可证，许可证编号：</w:t>
            </w:r>
            <w:r>
              <w:rPr>
                <w:rFonts w:hint="default" w:ascii="Times New Roman" w:hAnsi="Times New Roman" w:cs="Times New Roman"/>
                <w:color w:val="auto"/>
                <w:lang w:val="en-US" w:eastAsia="zh-CN"/>
              </w:rPr>
              <w:t>91370831690639492F001P</w:t>
            </w:r>
            <w:r>
              <w:rPr>
                <w:rFonts w:hint="eastAsia" w:ascii="Times New Roman" w:hAnsi="Times New Roman" w:cs="Times New Roman"/>
                <w:color w:val="auto"/>
                <w:lang w:val="en-US" w:eastAsia="zh-CN"/>
              </w:rPr>
              <w:t>，有效期为</w:t>
            </w:r>
            <w:r>
              <w:rPr>
                <w:rFonts w:hint="default" w:ascii="Times New Roman" w:hAnsi="Times New Roman" w:eastAsia="Times New Roman" w:cs="Times New Roman"/>
                <w:color w:val="auto"/>
                <w:sz w:val="24"/>
                <w:szCs w:val="24"/>
              </w:rPr>
              <w:t>202</w:t>
            </w:r>
            <w:r>
              <w:rPr>
                <w:rFonts w:hint="eastAsia" w:eastAsia="宋体" w:cs="Times New Roman"/>
                <w:color w:val="auto"/>
                <w:sz w:val="24"/>
                <w:szCs w:val="24"/>
                <w:lang w:val="en-US" w:eastAsia="zh-CN"/>
              </w:rPr>
              <w:t>5</w:t>
            </w:r>
            <w:r>
              <w:rPr>
                <w:rFonts w:hint="default" w:ascii="Times New Roman" w:hAnsi="Times New Roman" w:cs="Times New Roman"/>
                <w:color w:val="auto"/>
                <w:sz w:val="24"/>
                <w:szCs w:val="24"/>
              </w:rPr>
              <w:t>年</w:t>
            </w:r>
            <w:r>
              <w:rPr>
                <w:rFonts w:hint="eastAsia" w:cs="Times New Roman"/>
                <w:color w:val="auto"/>
                <w:sz w:val="24"/>
                <w:szCs w:val="24"/>
                <w:lang w:val="en-US" w:eastAsia="zh-CN"/>
              </w:rPr>
              <w:t>1</w:t>
            </w:r>
            <w:r>
              <w:rPr>
                <w:rFonts w:hint="default" w:ascii="Times New Roman" w:hAnsi="Times New Roman" w:cs="Times New Roman"/>
                <w:color w:val="auto"/>
                <w:sz w:val="24"/>
                <w:szCs w:val="24"/>
              </w:rPr>
              <w:t>月</w:t>
            </w:r>
            <w:r>
              <w:rPr>
                <w:rFonts w:hint="eastAsia" w:cs="Times New Roman"/>
                <w:color w:val="auto"/>
                <w:sz w:val="24"/>
                <w:szCs w:val="24"/>
                <w:lang w:val="en-US" w:eastAsia="zh-CN"/>
              </w:rPr>
              <w:t>10</w:t>
            </w:r>
            <w:r>
              <w:rPr>
                <w:rFonts w:hint="default" w:ascii="Times New Roman" w:hAnsi="Times New Roman" w:cs="Times New Roman"/>
                <w:color w:val="auto"/>
                <w:sz w:val="24"/>
                <w:szCs w:val="24"/>
              </w:rPr>
              <w:t>日至</w:t>
            </w:r>
            <w:r>
              <w:rPr>
                <w:rFonts w:hint="default" w:ascii="Times New Roman" w:hAnsi="Times New Roman" w:eastAsia="Times New Roman" w:cs="Times New Roman"/>
                <w:color w:val="auto"/>
                <w:sz w:val="24"/>
                <w:szCs w:val="24"/>
              </w:rPr>
              <w:t>20</w:t>
            </w:r>
            <w:r>
              <w:rPr>
                <w:rFonts w:hint="eastAsia" w:eastAsia="宋体" w:cs="Times New Roman"/>
                <w:color w:val="auto"/>
                <w:sz w:val="24"/>
                <w:szCs w:val="24"/>
                <w:lang w:val="en-US" w:eastAsia="zh-CN"/>
              </w:rPr>
              <w:t>30</w:t>
            </w:r>
            <w:r>
              <w:rPr>
                <w:rFonts w:hint="default" w:ascii="Times New Roman" w:hAnsi="Times New Roman" w:cs="Times New Roman"/>
                <w:color w:val="auto"/>
                <w:sz w:val="24"/>
                <w:szCs w:val="24"/>
              </w:rPr>
              <w:t>年</w:t>
            </w:r>
            <w:r>
              <w:rPr>
                <w:rFonts w:hint="eastAsia" w:cs="Times New Roman"/>
                <w:color w:val="auto"/>
                <w:sz w:val="24"/>
                <w:szCs w:val="24"/>
                <w:lang w:val="en-US" w:eastAsia="zh-CN"/>
              </w:rPr>
              <w:t>1</w:t>
            </w:r>
            <w:r>
              <w:rPr>
                <w:rFonts w:hint="default" w:ascii="Times New Roman" w:hAnsi="Times New Roman" w:cs="Times New Roman"/>
                <w:color w:val="auto"/>
                <w:sz w:val="24"/>
                <w:szCs w:val="24"/>
              </w:rPr>
              <w:t>月</w:t>
            </w:r>
            <w:r>
              <w:rPr>
                <w:rFonts w:hint="eastAsia" w:cs="Times New Roman"/>
                <w:color w:val="auto"/>
                <w:sz w:val="24"/>
                <w:szCs w:val="24"/>
                <w:lang w:val="en-US" w:eastAsia="zh-CN"/>
              </w:rPr>
              <w:t>9</w:t>
            </w:r>
            <w:r>
              <w:rPr>
                <w:rFonts w:hint="default" w:ascii="Times New Roman" w:hAnsi="Times New Roman" w:cs="Times New Roman"/>
                <w:color w:val="auto"/>
                <w:sz w:val="24"/>
                <w:szCs w:val="24"/>
              </w:rPr>
              <w:t>日</w:t>
            </w:r>
            <w:r>
              <w:rPr>
                <w:rFonts w:hint="default" w:ascii="Times New Roman" w:hAnsi="Times New Roman" w:cs="Times New Roman"/>
                <w:color w:val="auto"/>
                <w:sz w:val="24"/>
                <w:szCs w:val="24"/>
                <w:lang w:val="en-US" w:eastAsia="zh-CN"/>
              </w:rPr>
              <w:t>。</w:t>
            </w:r>
          </w:p>
          <w:p w14:paraId="70F16526">
            <w:pPr>
              <w:bidi w:val="0"/>
              <w:ind w:firstLine="480" w:firstLineChars="200"/>
              <w:rPr>
                <w:rStyle w:val="52"/>
                <w:rFonts w:hint="default" w:ascii="Times New Roman" w:hAnsi="Times New Roman" w:eastAsia="宋体" w:cs="Times New Roman"/>
                <w:b/>
                <w:bCs w:val="0"/>
                <w:color w:val="auto"/>
                <w:lang w:val="en-US" w:eastAsia="zh-CN"/>
              </w:rPr>
            </w:pPr>
            <w:r>
              <w:rPr>
                <w:rFonts w:hint="default" w:ascii="Times New Roman" w:hAnsi="Times New Roman" w:cs="Times New Roman"/>
                <w:color w:val="auto"/>
                <w:lang w:val="en-US" w:eastAsia="zh-CN"/>
              </w:rPr>
              <w:t>济宁海螺环保科技有限责任公司：于2020年7月16日申领了排污许可证（编号：91370831MA3DTYGU21001P），</w:t>
            </w:r>
            <w:r>
              <w:rPr>
                <w:rFonts w:hint="default" w:ascii="Times New Roman" w:hAnsi="Times New Roman" w:eastAsia="Times New Roman"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3日</w:t>
            </w:r>
            <w:r>
              <w:rPr>
                <w:rFonts w:hint="default" w:ascii="Times New Roman" w:hAnsi="Times New Roman" w:cs="Times New Roman"/>
                <w:color w:val="auto"/>
                <w:sz w:val="24"/>
                <w:szCs w:val="24"/>
              </w:rPr>
              <w:t>进行排污许可</w:t>
            </w:r>
            <w:r>
              <w:rPr>
                <w:rFonts w:hint="default" w:ascii="Times New Roman" w:hAnsi="Times New Roman" w:cs="Times New Roman"/>
                <w:color w:val="auto"/>
                <w:sz w:val="24"/>
                <w:szCs w:val="24"/>
                <w:lang w:val="en-US" w:eastAsia="zh-CN"/>
              </w:rPr>
              <w:t>重新申请</w:t>
            </w:r>
            <w:r>
              <w:rPr>
                <w:rFonts w:hint="default" w:ascii="Times New Roman" w:hAnsi="Times New Roman" w:cs="Times New Roman"/>
                <w:color w:val="auto"/>
                <w:sz w:val="24"/>
                <w:szCs w:val="24"/>
              </w:rPr>
              <w:t>，有效期限为</w:t>
            </w:r>
            <w:r>
              <w:rPr>
                <w:rFonts w:hint="default" w:ascii="Times New Roman" w:hAnsi="Times New Roman" w:eastAsia="Times New Roman"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日至</w:t>
            </w:r>
            <w:r>
              <w:rPr>
                <w:rFonts w:hint="default" w:ascii="Times New Roman" w:hAnsi="Times New Roman" w:eastAsia="Times New Roman" w:cs="Times New Roman"/>
                <w:color w:val="auto"/>
                <w:sz w:val="24"/>
                <w:szCs w:val="24"/>
              </w:rPr>
              <w:t>202</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日</w:t>
            </w:r>
            <w:r>
              <w:rPr>
                <w:rFonts w:hint="default" w:ascii="Times New Roman" w:hAnsi="Times New Roman" w:cs="Times New Roman"/>
                <w:color w:val="auto"/>
                <w:sz w:val="24"/>
                <w:szCs w:val="24"/>
                <w:lang w:eastAsia="zh-CN"/>
              </w:rPr>
              <w:t>。</w:t>
            </w:r>
          </w:p>
          <w:p w14:paraId="30A233C2">
            <w:pPr>
              <w:bidi w:val="0"/>
              <w:ind w:firstLine="482" w:firstLineChars="200"/>
              <w:rPr>
                <w:rStyle w:val="52"/>
                <w:rFonts w:hint="default" w:ascii="Times New Roman" w:hAnsi="Times New Roman" w:eastAsia="宋体" w:cs="Times New Roman"/>
                <w:b/>
                <w:bCs w:val="0"/>
                <w:color w:val="auto"/>
                <w:lang w:val="en-US" w:eastAsia="zh-CN"/>
              </w:rPr>
            </w:pPr>
            <w:r>
              <w:rPr>
                <w:rStyle w:val="52"/>
                <w:rFonts w:hint="default" w:ascii="Times New Roman" w:hAnsi="Times New Roman" w:eastAsia="宋体" w:cs="Times New Roman"/>
                <w:b/>
                <w:bCs w:val="0"/>
                <w:color w:val="auto"/>
                <w:lang w:val="en-US" w:eastAsia="zh-CN"/>
              </w:rPr>
              <w:t>三、现有项目采取的污染防治措施及污染物排放情况</w:t>
            </w:r>
          </w:p>
          <w:p w14:paraId="29E72761">
            <w:pPr>
              <w:bidi w:val="0"/>
              <w:ind w:firstLine="482" w:firstLineChars="200"/>
              <w:rPr>
                <w:rStyle w:val="52"/>
                <w:rFonts w:hint="default" w:ascii="Times New Roman" w:hAnsi="Times New Roman" w:eastAsia="宋体" w:cs="Times New Roman"/>
                <w:b/>
                <w:bCs w:val="0"/>
                <w:color w:val="auto"/>
                <w:lang w:val="en-US" w:eastAsia="zh-CN"/>
              </w:rPr>
            </w:pPr>
            <w:r>
              <w:rPr>
                <w:rStyle w:val="52"/>
                <w:rFonts w:hint="default" w:ascii="Times New Roman" w:hAnsi="Times New Roman" w:eastAsia="宋体" w:cs="Times New Roman"/>
                <w:b/>
                <w:bCs w:val="0"/>
                <w:color w:val="auto"/>
                <w:lang w:val="en-US" w:eastAsia="zh-CN"/>
              </w:rPr>
              <w:t>1、废气</w:t>
            </w:r>
          </w:p>
          <w:p w14:paraId="0B245818">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与本项目有关的现有废气及污染防治措施包括</w:t>
            </w:r>
            <w:r>
              <w:rPr>
                <w:rFonts w:hint="default" w:ascii="Times New Roman" w:hAnsi="Times New Roman" w:cs="Times New Roman"/>
                <w:color w:val="auto"/>
                <w:lang w:val="en-US" w:eastAsia="zh-CN"/>
              </w:rPr>
              <w:t>济宁海螺水泥水泥窑窑尾废气</w:t>
            </w:r>
            <w:r>
              <w:rPr>
                <w:rFonts w:hint="eastAsia" w:ascii="Times New Roman" w:hAnsi="Times New Roman" w:cs="Times New Roman"/>
                <w:color w:val="auto"/>
                <w:lang w:val="en-US" w:eastAsia="zh-CN"/>
              </w:rPr>
              <w:t>、联合储库物料装卸粉尘、辅材堆棚物料装卸粉尘、煤粉仓呼吸粉尘和</w:t>
            </w:r>
            <w:r>
              <w:rPr>
                <w:rFonts w:hint="default" w:ascii="Times New Roman" w:hAnsi="Times New Roman" w:cs="Times New Roman"/>
                <w:color w:val="auto"/>
                <w:lang w:val="en-US" w:eastAsia="zh-CN"/>
              </w:rPr>
              <w:t>济宁海螺</w:t>
            </w:r>
            <w:r>
              <w:rPr>
                <w:rFonts w:hint="eastAsia" w:ascii="Times New Roman" w:hAnsi="Times New Roman" w:cs="Times New Roman"/>
                <w:color w:val="auto"/>
                <w:lang w:val="en-US" w:eastAsia="zh-CN"/>
              </w:rPr>
              <w:t>环保固废暂存间II物料上料、计量粉尘。</w:t>
            </w:r>
          </w:p>
          <w:p w14:paraId="0A309D45">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以上废气产生环节、防治措施及排放情况见表2-27。</w:t>
            </w:r>
          </w:p>
          <w:p w14:paraId="53CEF2EE">
            <w:pPr>
              <w:bidi w:val="0"/>
              <w:spacing w:line="240" w:lineRule="auto"/>
              <w:ind w:firstLine="482" w:firstLineChars="200"/>
              <w:jc w:val="center"/>
              <w:rPr>
                <w:rFonts w:hint="default" w:ascii="Times New Roman" w:hAnsi="Times New Roman" w:cs="Times New Roman"/>
                <w:b/>
                <w:bCs/>
                <w:color w:val="auto"/>
                <w:lang w:val="en-US" w:eastAsia="zh-CN"/>
              </w:rPr>
            </w:pPr>
            <w:r>
              <w:rPr>
                <w:rFonts w:hint="eastAsia" w:cs="Times New Roman"/>
                <w:b/>
                <w:bCs/>
                <w:color w:val="auto"/>
                <w:lang w:val="en-US" w:eastAsia="zh-CN"/>
              </w:rPr>
              <w:t>表2-27 与本项目有关的现有废气治理措施及排放情况</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967"/>
              <w:gridCol w:w="2300"/>
              <w:gridCol w:w="2366"/>
            </w:tblGrid>
            <w:tr w14:paraId="622EB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6" w:hRule="atLeast"/>
                <w:jc w:val="center"/>
              </w:trPr>
              <w:tc>
                <w:tcPr>
                  <w:tcW w:w="896" w:type="pct"/>
                  <w:tcBorders>
                    <w:tl2br w:val="nil"/>
                    <w:tr2bl w:val="nil"/>
                  </w:tcBorders>
                  <w:noWrap/>
                  <w:vAlign w:val="center"/>
                </w:tcPr>
                <w:p w14:paraId="00725110">
                  <w:pPr>
                    <w:pStyle w:val="71"/>
                    <w:jc w:val="center"/>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rPr>
                    <w:t>产污环节</w:t>
                  </w:r>
                </w:p>
              </w:tc>
              <w:tc>
                <w:tcPr>
                  <w:tcW w:w="1216" w:type="pct"/>
                  <w:tcBorders>
                    <w:tl2br w:val="nil"/>
                    <w:tr2bl w:val="nil"/>
                  </w:tcBorders>
                  <w:noWrap/>
                  <w:vAlign w:val="center"/>
                </w:tcPr>
                <w:p w14:paraId="1A016A8B">
                  <w:pPr>
                    <w:pStyle w:val="71"/>
                    <w:jc w:val="center"/>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rPr>
                    <w:t>污染物</w:t>
                  </w:r>
                </w:p>
              </w:tc>
              <w:tc>
                <w:tcPr>
                  <w:tcW w:w="1422" w:type="pct"/>
                  <w:tcBorders>
                    <w:tl2br w:val="nil"/>
                    <w:tr2bl w:val="nil"/>
                  </w:tcBorders>
                  <w:noWrap/>
                  <w:vAlign w:val="center"/>
                </w:tcPr>
                <w:p w14:paraId="39003401">
                  <w:pPr>
                    <w:pStyle w:val="71"/>
                    <w:jc w:val="center"/>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cs="Times New Roman"/>
                      <w:b/>
                      <w:bCs/>
                      <w:color w:val="auto"/>
                      <w:kern w:val="2"/>
                      <w:sz w:val="21"/>
                      <w:szCs w:val="21"/>
                      <w:lang w:val="en-US" w:eastAsia="zh-CN"/>
                    </w:rPr>
                    <w:t>治理措施</w:t>
                  </w:r>
                </w:p>
              </w:tc>
              <w:tc>
                <w:tcPr>
                  <w:tcW w:w="1463" w:type="pct"/>
                  <w:tcBorders>
                    <w:tl2br w:val="nil"/>
                    <w:tr2bl w:val="nil"/>
                  </w:tcBorders>
                  <w:noWrap/>
                  <w:vAlign w:val="center"/>
                </w:tcPr>
                <w:p w14:paraId="0152DB03">
                  <w:pPr>
                    <w:pStyle w:val="71"/>
                    <w:jc w:val="center"/>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cs="Times New Roman"/>
                      <w:b/>
                      <w:bCs/>
                      <w:color w:val="auto"/>
                      <w:kern w:val="2"/>
                      <w:sz w:val="21"/>
                      <w:szCs w:val="21"/>
                      <w:lang w:val="en-US" w:eastAsia="zh-CN"/>
                    </w:rPr>
                    <w:t>排放去向</w:t>
                  </w:r>
                </w:p>
              </w:tc>
            </w:tr>
            <w:tr w14:paraId="6B630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6" w:type="pct"/>
                  <w:tcBorders>
                    <w:tl2br w:val="nil"/>
                    <w:tr2bl w:val="nil"/>
                  </w:tcBorders>
                  <w:noWrap/>
                  <w:vAlign w:val="center"/>
                </w:tcPr>
                <w:p w14:paraId="62799004">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水泥窑窑尾废气</w:t>
                  </w:r>
                </w:p>
              </w:tc>
              <w:tc>
                <w:tcPr>
                  <w:tcW w:w="1216" w:type="pct"/>
                  <w:tcBorders>
                    <w:tl2br w:val="nil"/>
                    <w:tr2bl w:val="nil"/>
                  </w:tcBorders>
                  <w:noWrap/>
                  <w:vAlign w:val="center"/>
                </w:tcPr>
                <w:p w14:paraId="58E734B0">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颗粒物、SO</w:t>
                  </w:r>
                  <w:r>
                    <w:rPr>
                      <w:rFonts w:hint="default" w:ascii="Times New Roman" w:hAnsi="Times New Roman" w:cs="Times New Roman"/>
                      <w:color w:val="auto"/>
                      <w:kern w:val="2"/>
                      <w:sz w:val="21"/>
                      <w:szCs w:val="21"/>
                      <w:vertAlign w:val="subscript"/>
                      <w:lang w:val="en-US" w:eastAsia="zh-CN"/>
                    </w:rPr>
                    <w:t>2</w:t>
                  </w:r>
                  <w:r>
                    <w:rPr>
                      <w:rFonts w:hint="default" w:ascii="Times New Roman" w:hAnsi="Times New Roman" w:cs="Times New Roman"/>
                      <w:color w:val="auto"/>
                      <w:kern w:val="2"/>
                      <w:sz w:val="21"/>
                      <w:szCs w:val="21"/>
                      <w:lang w:val="en-US" w:eastAsia="zh-CN"/>
                    </w:rPr>
                    <w:t>、NO</w:t>
                  </w:r>
                  <w:r>
                    <w:rPr>
                      <w:rFonts w:hint="default" w:ascii="Times New Roman" w:hAnsi="Times New Roman" w:cs="Times New Roman"/>
                      <w:color w:val="auto"/>
                      <w:kern w:val="2"/>
                      <w:sz w:val="21"/>
                      <w:szCs w:val="21"/>
                      <w:vertAlign w:val="subscript"/>
                      <w:lang w:val="en-US" w:eastAsia="zh-CN"/>
                    </w:rPr>
                    <w:t>x</w:t>
                  </w:r>
                  <w:r>
                    <w:rPr>
                      <w:rFonts w:hint="default" w:ascii="Times New Roman" w:hAnsi="Times New Roman" w:cs="Times New Roman"/>
                      <w:color w:val="auto"/>
                      <w:kern w:val="2"/>
                      <w:sz w:val="21"/>
                      <w:szCs w:val="21"/>
                      <w:lang w:val="en-US" w:eastAsia="zh-CN"/>
                    </w:rPr>
                    <w:t>、HCl、二噁英类、重金属等</w:t>
                  </w:r>
                </w:p>
              </w:tc>
              <w:tc>
                <w:tcPr>
                  <w:tcW w:w="1422" w:type="pct"/>
                  <w:tcBorders>
                    <w:tl2br w:val="nil"/>
                    <w:tr2bl w:val="nil"/>
                  </w:tcBorders>
                  <w:noWrap/>
                  <w:vAlign w:val="center"/>
                </w:tcPr>
                <w:p w14:paraId="3F68071A">
                  <w:pPr>
                    <w:pStyle w:val="71"/>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低氮燃烧+高温+碱性环境+SCR+袋式除尘器</w:t>
                  </w:r>
                </w:p>
              </w:tc>
              <w:tc>
                <w:tcPr>
                  <w:tcW w:w="1463" w:type="pct"/>
                  <w:tcBorders>
                    <w:tl2br w:val="nil"/>
                    <w:tr2bl w:val="nil"/>
                  </w:tcBorders>
                  <w:noWrap/>
                  <w:vAlign w:val="center"/>
                </w:tcPr>
                <w:p w14:paraId="1B9382FC">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105m高排气筒DA027</w:t>
                  </w:r>
                </w:p>
              </w:tc>
            </w:tr>
            <w:tr w14:paraId="215A7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6" w:type="pct"/>
                  <w:tcBorders>
                    <w:tl2br w:val="nil"/>
                    <w:tr2bl w:val="nil"/>
                  </w:tcBorders>
                  <w:noWrap/>
                  <w:vAlign w:val="center"/>
                </w:tcPr>
                <w:p w14:paraId="7E8EACD3">
                  <w:pPr>
                    <w:pStyle w:val="71"/>
                    <w:jc w:val="center"/>
                    <w:rPr>
                      <w:rFonts w:hint="eastAsia"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sz w:val="21"/>
                      <w:szCs w:val="21"/>
                    </w:rPr>
                    <w:t>联合储库</w:t>
                  </w:r>
                  <w:r>
                    <w:rPr>
                      <w:rFonts w:hint="eastAsia" w:ascii="Times New Roman" w:hAnsi="Times New Roman" w:eastAsia="宋体" w:cs="Times New Roman"/>
                      <w:color w:val="auto"/>
                      <w:sz w:val="21"/>
                      <w:szCs w:val="21"/>
                      <w:lang w:val="en-US" w:eastAsia="zh-CN"/>
                    </w:rPr>
                    <w:t>物料装卸粉尘</w:t>
                  </w:r>
                </w:p>
              </w:tc>
              <w:tc>
                <w:tcPr>
                  <w:tcW w:w="1216" w:type="pct"/>
                  <w:tcBorders>
                    <w:tl2br w:val="nil"/>
                    <w:tr2bl w:val="nil"/>
                  </w:tcBorders>
                  <w:noWrap/>
                  <w:vAlign w:val="center"/>
                </w:tcPr>
                <w:p w14:paraId="0328DEF6">
                  <w:pPr>
                    <w:pStyle w:val="71"/>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颗粒物</w:t>
                  </w:r>
                </w:p>
              </w:tc>
              <w:tc>
                <w:tcPr>
                  <w:tcW w:w="1422" w:type="pct"/>
                  <w:tcBorders>
                    <w:tl2br w:val="nil"/>
                    <w:tr2bl w:val="nil"/>
                  </w:tcBorders>
                  <w:noWrap/>
                  <w:vAlign w:val="center"/>
                </w:tcPr>
                <w:p w14:paraId="658160E0">
                  <w:pPr>
                    <w:pStyle w:val="71"/>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产尘点配套袋式除尘器</w:t>
                  </w:r>
                </w:p>
              </w:tc>
              <w:tc>
                <w:tcPr>
                  <w:tcW w:w="1463" w:type="pct"/>
                  <w:tcBorders>
                    <w:tl2br w:val="nil"/>
                    <w:tr2bl w:val="nil"/>
                  </w:tcBorders>
                  <w:noWrap/>
                  <w:vAlign w:val="center"/>
                </w:tcPr>
                <w:p w14:paraId="4FF66726">
                  <w:pPr>
                    <w:pStyle w:val="71"/>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15m高排气筒DA131、DA133、DA134、DA135</w:t>
                  </w:r>
                </w:p>
              </w:tc>
            </w:tr>
            <w:tr w14:paraId="3001D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6" w:type="pct"/>
                  <w:tcBorders>
                    <w:tl2br w:val="nil"/>
                    <w:tr2bl w:val="nil"/>
                  </w:tcBorders>
                  <w:noWrap/>
                  <w:vAlign w:val="center"/>
                </w:tcPr>
                <w:p w14:paraId="3B78DAAB">
                  <w:pPr>
                    <w:pStyle w:val="71"/>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辅材堆棚物料装卸粉尘</w:t>
                  </w:r>
                </w:p>
              </w:tc>
              <w:tc>
                <w:tcPr>
                  <w:tcW w:w="1216" w:type="pct"/>
                  <w:tcBorders>
                    <w:tl2br w:val="nil"/>
                    <w:tr2bl w:val="nil"/>
                  </w:tcBorders>
                  <w:noWrap/>
                  <w:vAlign w:val="center"/>
                </w:tcPr>
                <w:p w14:paraId="1FB903BD">
                  <w:pPr>
                    <w:pStyle w:val="71"/>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颗粒物</w:t>
                  </w:r>
                </w:p>
              </w:tc>
              <w:tc>
                <w:tcPr>
                  <w:tcW w:w="1422" w:type="pct"/>
                  <w:tcBorders>
                    <w:tl2br w:val="nil"/>
                    <w:tr2bl w:val="nil"/>
                  </w:tcBorders>
                  <w:noWrap/>
                  <w:vAlign w:val="center"/>
                </w:tcPr>
                <w:p w14:paraId="0144B7E5">
                  <w:pPr>
                    <w:pStyle w:val="71"/>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产尘点配套袋式除尘器</w:t>
                  </w:r>
                </w:p>
              </w:tc>
              <w:tc>
                <w:tcPr>
                  <w:tcW w:w="1463" w:type="pct"/>
                  <w:tcBorders>
                    <w:tl2br w:val="nil"/>
                    <w:tr2bl w:val="nil"/>
                  </w:tcBorders>
                  <w:noWrap/>
                  <w:vAlign w:val="center"/>
                </w:tcPr>
                <w:p w14:paraId="7660DC37">
                  <w:pPr>
                    <w:pStyle w:val="71"/>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15m高排气筒DA091</w:t>
                  </w:r>
                </w:p>
              </w:tc>
            </w:tr>
            <w:tr w14:paraId="62902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96" w:type="pct"/>
                  <w:tcBorders>
                    <w:tl2br w:val="nil"/>
                    <w:tr2bl w:val="nil"/>
                  </w:tcBorders>
                  <w:shd w:val="clear" w:color="auto" w:fill="auto"/>
                  <w:noWrap/>
                  <w:vAlign w:val="center"/>
                </w:tcPr>
                <w:p w14:paraId="283D8F7A">
                  <w:pPr>
                    <w:pStyle w:val="71"/>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煤粉仓呼吸粉尘</w:t>
                  </w:r>
                </w:p>
              </w:tc>
              <w:tc>
                <w:tcPr>
                  <w:tcW w:w="1216" w:type="pct"/>
                  <w:tcBorders>
                    <w:tl2br w:val="nil"/>
                    <w:tr2bl w:val="nil"/>
                  </w:tcBorders>
                  <w:shd w:val="clear" w:color="auto" w:fill="auto"/>
                  <w:noWrap/>
                  <w:vAlign w:val="center"/>
                </w:tcPr>
                <w:p w14:paraId="2C0DB173">
                  <w:pPr>
                    <w:pStyle w:val="71"/>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rPr>
                    <w:t>颗粒物</w:t>
                  </w:r>
                </w:p>
              </w:tc>
              <w:tc>
                <w:tcPr>
                  <w:tcW w:w="1422" w:type="pct"/>
                  <w:tcBorders>
                    <w:tl2br w:val="nil"/>
                    <w:tr2bl w:val="nil"/>
                  </w:tcBorders>
                  <w:noWrap/>
                  <w:vAlign w:val="center"/>
                </w:tcPr>
                <w:p w14:paraId="5E25B656">
                  <w:pPr>
                    <w:pStyle w:val="71"/>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仓顶除尘器</w:t>
                  </w:r>
                </w:p>
              </w:tc>
              <w:tc>
                <w:tcPr>
                  <w:tcW w:w="1463" w:type="pct"/>
                  <w:tcBorders>
                    <w:tl2br w:val="nil"/>
                    <w:tr2bl w:val="nil"/>
                  </w:tcBorders>
                  <w:noWrap/>
                  <w:vAlign w:val="center"/>
                </w:tcPr>
                <w:p w14:paraId="331147BE">
                  <w:pPr>
                    <w:pStyle w:val="71"/>
                    <w:jc w:val="center"/>
                    <w:rPr>
                      <w:rFonts w:hint="default" w:ascii="Times New Roman" w:hAnsi="Times New Roman" w:eastAsia="宋体" w:cs="Times New Roman"/>
                      <w:color w:val="auto"/>
                      <w:kern w:val="2"/>
                      <w:sz w:val="21"/>
                      <w:szCs w:val="21"/>
                      <w:lang w:val="en-US" w:eastAsia="zh-CN"/>
                    </w:rPr>
                  </w:pPr>
                  <w:r>
                    <w:rPr>
                      <w:rFonts w:hint="eastAsia" w:ascii="Times New Roman" w:cs="Times New Roman"/>
                      <w:color w:val="auto"/>
                      <w:kern w:val="2"/>
                      <w:sz w:val="21"/>
                      <w:szCs w:val="21"/>
                      <w:lang w:val="en-US" w:eastAsia="zh-CN"/>
                    </w:rPr>
                    <w:t>15</w:t>
                  </w:r>
                  <w:r>
                    <w:rPr>
                      <w:rFonts w:hint="default" w:ascii="Times New Roman" w:hAnsi="Times New Roman" w:eastAsia="宋体" w:cs="Times New Roman"/>
                      <w:color w:val="auto"/>
                      <w:kern w:val="2"/>
                      <w:sz w:val="21"/>
                      <w:szCs w:val="21"/>
                      <w:lang w:val="en-US" w:eastAsia="zh-CN"/>
                    </w:rPr>
                    <w:t>m高排气筒DA</w:t>
                  </w:r>
                  <w:r>
                    <w:rPr>
                      <w:rFonts w:hint="eastAsia" w:ascii="Times New Roman" w:hAnsi="Times New Roman" w:cs="Times New Roman"/>
                      <w:color w:val="auto"/>
                      <w:kern w:val="2"/>
                      <w:sz w:val="21"/>
                      <w:szCs w:val="21"/>
                      <w:lang w:val="en-US" w:eastAsia="zh-CN"/>
                    </w:rPr>
                    <w:t>196</w:t>
                  </w:r>
                </w:p>
              </w:tc>
            </w:tr>
            <w:tr w14:paraId="28D6E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96" w:type="pct"/>
                  <w:tcBorders>
                    <w:tl2br w:val="nil"/>
                    <w:tr2bl w:val="nil"/>
                  </w:tcBorders>
                  <w:noWrap/>
                  <w:vAlign w:val="center"/>
                </w:tcPr>
                <w:p w14:paraId="4DB8310F">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固废暂存间II物料上料、计量粉尘</w:t>
                  </w:r>
                </w:p>
              </w:tc>
              <w:tc>
                <w:tcPr>
                  <w:tcW w:w="1216" w:type="pct"/>
                  <w:tcBorders>
                    <w:tl2br w:val="nil"/>
                    <w:tr2bl w:val="nil"/>
                  </w:tcBorders>
                  <w:noWrap/>
                  <w:vAlign w:val="center"/>
                </w:tcPr>
                <w:p w14:paraId="16C8630A">
                  <w:pPr>
                    <w:pStyle w:val="71"/>
                    <w:jc w:val="center"/>
                    <w:rPr>
                      <w:rFonts w:hint="default"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颗粒物</w:t>
                  </w:r>
                </w:p>
              </w:tc>
              <w:tc>
                <w:tcPr>
                  <w:tcW w:w="1422" w:type="pct"/>
                  <w:tcBorders>
                    <w:tl2br w:val="nil"/>
                    <w:tr2bl w:val="nil"/>
                  </w:tcBorders>
                  <w:noWrap/>
                  <w:vAlign w:val="center"/>
                </w:tcPr>
                <w:p w14:paraId="43E0AB55">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袋式除尘器</w:t>
                  </w:r>
                </w:p>
              </w:tc>
              <w:tc>
                <w:tcPr>
                  <w:tcW w:w="1463" w:type="pct"/>
                  <w:tcBorders>
                    <w:tl2br w:val="nil"/>
                    <w:tr2bl w:val="nil"/>
                  </w:tcBorders>
                  <w:noWrap/>
                  <w:vAlign w:val="center"/>
                </w:tcPr>
                <w:p w14:paraId="2A2F6D93">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15.8m高排气筒DA003</w:t>
                  </w:r>
                  <w:r>
                    <w:rPr>
                      <w:rFonts w:hint="eastAsia" w:ascii="Times New Roman" w:cs="Times New Roman"/>
                      <w:color w:val="auto"/>
                      <w:kern w:val="2"/>
                      <w:sz w:val="21"/>
                      <w:szCs w:val="21"/>
                      <w:lang w:val="en-US" w:eastAsia="zh-CN"/>
                    </w:rPr>
                    <w:t>（海螺环保）</w:t>
                  </w:r>
                </w:p>
              </w:tc>
            </w:tr>
          </w:tbl>
          <w:p w14:paraId="7E416E77">
            <w:pPr>
              <w:bidi w:val="0"/>
              <w:ind w:firstLine="480" w:firstLineChars="200"/>
              <w:rPr>
                <w:rStyle w:val="63"/>
                <w:rFonts w:hint="default" w:ascii="Times New Roman" w:hAnsi="Times New Roman" w:eastAsia="宋体" w:cs="Times New Roman"/>
                <w:b/>
                <w:bCs/>
                <w:color w:val="auto"/>
              </w:rPr>
            </w:pPr>
            <w:r>
              <w:rPr>
                <w:rFonts w:hint="default" w:ascii="Times New Roman" w:hAnsi="Times New Roman" w:cs="Times New Roman"/>
                <w:color w:val="auto"/>
                <w:lang w:val="en-US" w:eastAsia="zh-CN"/>
              </w:rPr>
              <w:t>本次评价搜集了</w:t>
            </w:r>
            <w:r>
              <w:rPr>
                <w:rFonts w:hint="eastAsia" w:cs="Times New Roman"/>
                <w:color w:val="auto"/>
                <w:lang w:val="en-US" w:eastAsia="zh-CN"/>
              </w:rPr>
              <w:t>海螺水泥</w:t>
            </w:r>
            <w:r>
              <w:rPr>
                <w:rFonts w:hint="default" w:ascii="Times New Roman" w:hAnsi="Times New Roman" w:cs="Times New Roman"/>
                <w:color w:val="auto"/>
                <w:lang w:val="en-US" w:eastAsia="zh-CN"/>
              </w:rPr>
              <w:t>202</w:t>
            </w:r>
            <w:r>
              <w:rPr>
                <w:rFonts w:hint="eastAsia" w:cs="Times New Roman"/>
                <w:color w:val="auto"/>
                <w:lang w:val="en-US" w:eastAsia="zh-CN"/>
              </w:rPr>
              <w:t>5</w:t>
            </w:r>
            <w:r>
              <w:rPr>
                <w:rFonts w:hint="default" w:ascii="Times New Roman" w:hAnsi="Times New Roman" w:cs="Times New Roman"/>
                <w:color w:val="auto"/>
                <w:lang w:val="en-US" w:eastAsia="zh-CN"/>
              </w:rPr>
              <w:t>年窑尾废气（SO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、NOx、颗粒物）在线监测数据，数据统计结果见下表。</w:t>
            </w:r>
          </w:p>
          <w:p w14:paraId="15C23B14">
            <w:pPr>
              <w:pStyle w:val="115"/>
              <w:spacing w:line="240" w:lineRule="auto"/>
              <w:jc w:val="center"/>
              <w:rPr>
                <w:rFonts w:hint="default" w:ascii="Times New Roman" w:hAnsi="Times New Roman" w:eastAsia="宋体" w:cs="Times New Roman"/>
                <w:b/>
                <w:bCs/>
                <w:color w:val="auto"/>
                <w:lang w:val="en-US" w:eastAsia="zh-CN"/>
              </w:rPr>
            </w:pPr>
            <w:r>
              <w:rPr>
                <w:rStyle w:val="63"/>
                <w:rFonts w:hint="default" w:ascii="Times New Roman" w:hAnsi="Times New Roman" w:eastAsia="宋体" w:cs="Times New Roman"/>
                <w:b/>
                <w:bCs/>
                <w:color w:val="auto"/>
              </w:rPr>
              <w:t>表</w:t>
            </w:r>
            <w:r>
              <w:rPr>
                <w:rStyle w:val="63"/>
                <w:rFonts w:hint="default" w:ascii="Times New Roman" w:hAnsi="Times New Roman" w:eastAsia="宋体" w:cs="Times New Roman"/>
                <w:b/>
                <w:bCs/>
                <w:color w:val="auto"/>
                <w:lang w:val="en-US" w:eastAsia="zh-CN"/>
              </w:rPr>
              <w:t>2</w:t>
            </w:r>
            <w:r>
              <w:rPr>
                <w:rStyle w:val="63"/>
                <w:rFonts w:hint="default" w:ascii="Times New Roman" w:hAnsi="Times New Roman" w:eastAsia="宋体" w:cs="Times New Roman"/>
                <w:b/>
                <w:bCs/>
                <w:color w:val="auto"/>
              </w:rPr>
              <w:t>-</w:t>
            </w:r>
            <w:r>
              <w:rPr>
                <w:rStyle w:val="63"/>
                <w:rFonts w:hint="default" w:ascii="Times New Roman" w:hAnsi="Times New Roman" w:eastAsia="宋体" w:cs="Times New Roman"/>
                <w:b/>
                <w:bCs/>
                <w:color w:val="auto"/>
                <w:lang w:val="en-US" w:eastAsia="zh-CN"/>
              </w:rPr>
              <w:t>2</w:t>
            </w:r>
            <w:r>
              <w:rPr>
                <w:rStyle w:val="63"/>
                <w:rFonts w:hint="eastAsia" w:cs="Times New Roman"/>
                <w:b/>
                <w:bCs/>
                <w:color w:val="auto"/>
                <w:lang w:val="en-US" w:eastAsia="zh-CN"/>
              </w:rPr>
              <w:t>8</w:t>
            </w:r>
            <w:r>
              <w:rPr>
                <w:rStyle w:val="63"/>
                <w:rFonts w:hint="default" w:ascii="Times New Roman" w:hAnsi="Times New Roman" w:eastAsia="宋体" w:cs="Times New Roman"/>
                <w:b/>
                <w:bCs/>
                <w:color w:val="auto"/>
                <w:lang w:val="en-US" w:eastAsia="zh-CN"/>
              </w:rPr>
              <w:t xml:space="preserve">  202</w:t>
            </w:r>
            <w:r>
              <w:rPr>
                <w:rStyle w:val="63"/>
                <w:rFonts w:hint="eastAsia" w:cs="Times New Roman"/>
                <w:b/>
                <w:bCs/>
                <w:color w:val="auto"/>
                <w:lang w:val="en-US" w:eastAsia="zh-CN"/>
              </w:rPr>
              <w:t>5</w:t>
            </w:r>
            <w:r>
              <w:rPr>
                <w:rStyle w:val="63"/>
                <w:rFonts w:hint="default" w:ascii="Times New Roman" w:hAnsi="Times New Roman" w:eastAsia="宋体" w:cs="Times New Roman"/>
                <w:b/>
                <w:bCs/>
                <w:color w:val="auto"/>
                <w:lang w:val="en-US" w:eastAsia="zh-CN"/>
              </w:rPr>
              <w:t>年海螺水泥窑尾废气在线监测数据 单位：mg/m</w:t>
            </w:r>
            <w:r>
              <w:rPr>
                <w:rStyle w:val="63"/>
                <w:rFonts w:hint="default" w:ascii="Times New Roman" w:hAnsi="Times New Roman" w:eastAsia="宋体" w:cs="Times New Roman"/>
                <w:b/>
                <w:bCs/>
                <w:color w:val="auto"/>
                <w:vertAlign w:val="superscript"/>
                <w:lang w:val="en-US" w:eastAsia="zh-CN"/>
              </w:rPr>
              <w:t>3</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2431"/>
              <w:gridCol w:w="2254"/>
              <w:gridCol w:w="2145"/>
            </w:tblGrid>
            <w:tr w14:paraId="69588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75" w:type="pct"/>
                  <w:tcBorders>
                    <w:tl2br w:val="nil"/>
                    <w:tr2bl w:val="nil"/>
                  </w:tcBorders>
                  <w:noWrap/>
                  <w:vAlign w:val="center"/>
                </w:tcPr>
                <w:p w14:paraId="3322C176">
                  <w:pPr>
                    <w:pStyle w:val="71"/>
                    <w:jc w:val="center"/>
                    <w:rPr>
                      <w:rFonts w:hint="default" w:ascii="Times New Roman" w:hAnsi="Times New Roman" w:eastAsia="宋体" w:cs="Times New Roman"/>
                      <w:b/>
                      <w:bCs/>
                      <w:color w:val="auto"/>
                      <w:kern w:val="2"/>
                      <w:sz w:val="21"/>
                      <w:szCs w:val="21"/>
                      <w:lang w:eastAsia="zh-CN"/>
                    </w:rPr>
                  </w:pPr>
                  <w:r>
                    <w:rPr>
                      <w:rFonts w:hint="default" w:ascii="Times New Roman" w:hAnsi="Times New Roman" w:cs="Times New Roman"/>
                      <w:b/>
                      <w:bCs/>
                      <w:color w:val="auto"/>
                      <w:kern w:val="2"/>
                      <w:sz w:val="21"/>
                      <w:szCs w:val="21"/>
                      <w:lang w:val="en-US" w:eastAsia="zh-CN"/>
                    </w:rPr>
                    <w:t>时间</w:t>
                  </w:r>
                </w:p>
              </w:tc>
              <w:tc>
                <w:tcPr>
                  <w:tcW w:w="1503" w:type="pct"/>
                  <w:tcBorders>
                    <w:tl2br w:val="nil"/>
                    <w:tr2bl w:val="nil"/>
                  </w:tcBorders>
                  <w:noWrap/>
                  <w:vAlign w:val="center"/>
                </w:tcPr>
                <w:p w14:paraId="28C1F0D2">
                  <w:pPr>
                    <w:pStyle w:val="71"/>
                    <w:jc w:val="center"/>
                    <w:rPr>
                      <w:rFonts w:hint="default" w:ascii="Times New Roman" w:hAnsi="Times New Roman" w:eastAsia="宋体" w:cs="Times New Roman"/>
                      <w:b/>
                      <w:bCs/>
                      <w:color w:val="auto"/>
                      <w:kern w:val="2"/>
                      <w:sz w:val="21"/>
                      <w:szCs w:val="21"/>
                      <w:lang w:eastAsia="zh-CN"/>
                    </w:rPr>
                  </w:pPr>
                  <w:r>
                    <w:rPr>
                      <w:rFonts w:hint="default" w:ascii="Times New Roman" w:hAnsi="Times New Roman" w:cs="Times New Roman"/>
                      <w:b/>
                      <w:bCs/>
                      <w:color w:val="auto"/>
                      <w:kern w:val="2"/>
                      <w:sz w:val="21"/>
                      <w:szCs w:val="21"/>
                      <w:lang w:val="en-US" w:eastAsia="zh-CN"/>
                    </w:rPr>
                    <w:t>颗粒物</w:t>
                  </w:r>
                </w:p>
              </w:tc>
              <w:tc>
                <w:tcPr>
                  <w:tcW w:w="1394" w:type="pct"/>
                  <w:tcBorders>
                    <w:tl2br w:val="nil"/>
                    <w:tr2bl w:val="nil"/>
                  </w:tcBorders>
                  <w:noWrap/>
                  <w:vAlign w:val="center"/>
                </w:tcPr>
                <w:p w14:paraId="792CBD5A">
                  <w:pPr>
                    <w:pStyle w:val="71"/>
                    <w:jc w:val="center"/>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SO</w:t>
                  </w:r>
                  <w:r>
                    <w:rPr>
                      <w:rFonts w:hint="default" w:ascii="Times New Roman" w:hAnsi="Times New Roman" w:cs="Times New Roman"/>
                      <w:b/>
                      <w:bCs/>
                      <w:color w:val="auto"/>
                      <w:kern w:val="2"/>
                      <w:sz w:val="21"/>
                      <w:szCs w:val="21"/>
                      <w:vertAlign w:val="subscript"/>
                    </w:rPr>
                    <w:t>2</w:t>
                  </w:r>
                </w:p>
              </w:tc>
              <w:tc>
                <w:tcPr>
                  <w:tcW w:w="1326" w:type="pct"/>
                  <w:tcBorders>
                    <w:tl2br w:val="nil"/>
                    <w:tr2bl w:val="nil"/>
                  </w:tcBorders>
                  <w:noWrap/>
                  <w:vAlign w:val="center"/>
                </w:tcPr>
                <w:p w14:paraId="476EEC3B">
                  <w:pPr>
                    <w:pStyle w:val="71"/>
                    <w:jc w:val="center"/>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NOx</w:t>
                  </w:r>
                </w:p>
              </w:tc>
            </w:tr>
            <w:tr w14:paraId="06CE6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5" w:type="pct"/>
                  <w:tcBorders>
                    <w:tl2br w:val="nil"/>
                    <w:tr2bl w:val="nil"/>
                  </w:tcBorders>
                  <w:noWrap/>
                  <w:vAlign w:val="center"/>
                </w:tcPr>
                <w:p w14:paraId="50AD1B29">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1月</w:t>
                  </w:r>
                </w:p>
              </w:tc>
              <w:tc>
                <w:tcPr>
                  <w:tcW w:w="1503" w:type="pct"/>
                  <w:tcBorders>
                    <w:tl2br w:val="nil"/>
                    <w:tr2bl w:val="nil"/>
                  </w:tcBorders>
                  <w:shd w:val="clear" w:color="auto" w:fill="auto"/>
                  <w:noWrap/>
                  <w:vAlign w:val="center"/>
                </w:tcPr>
                <w:p w14:paraId="4FA7242E">
                  <w:pPr>
                    <w:pStyle w:val="71"/>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cs="Times New Roman"/>
                      <w:color w:val="auto"/>
                      <w:kern w:val="2"/>
                      <w:sz w:val="20"/>
                      <w:szCs w:val="20"/>
                      <w:lang w:val="en-US" w:eastAsia="zh-CN"/>
                    </w:rPr>
                    <w:t>/</w:t>
                  </w:r>
                </w:p>
              </w:tc>
              <w:tc>
                <w:tcPr>
                  <w:tcW w:w="1394" w:type="pct"/>
                  <w:tcBorders>
                    <w:tl2br w:val="nil"/>
                    <w:tr2bl w:val="nil"/>
                  </w:tcBorders>
                  <w:shd w:val="clear" w:color="auto" w:fill="auto"/>
                  <w:noWrap/>
                  <w:vAlign w:val="center"/>
                </w:tcPr>
                <w:p w14:paraId="2C477345">
                  <w:pPr>
                    <w:pStyle w:val="71"/>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cs="Times New Roman"/>
                      <w:color w:val="auto"/>
                      <w:kern w:val="2"/>
                      <w:sz w:val="20"/>
                      <w:szCs w:val="20"/>
                      <w:lang w:val="en-US" w:eastAsia="zh-CN"/>
                    </w:rPr>
                    <w:t>/</w:t>
                  </w:r>
                </w:p>
              </w:tc>
              <w:tc>
                <w:tcPr>
                  <w:tcW w:w="1326" w:type="pct"/>
                  <w:tcBorders>
                    <w:tl2br w:val="nil"/>
                    <w:tr2bl w:val="nil"/>
                  </w:tcBorders>
                  <w:shd w:val="clear" w:color="auto" w:fill="auto"/>
                  <w:noWrap/>
                  <w:vAlign w:val="center"/>
                </w:tcPr>
                <w:p w14:paraId="63505C1F">
                  <w:pPr>
                    <w:pStyle w:val="71"/>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cs="Times New Roman"/>
                      <w:color w:val="auto"/>
                      <w:kern w:val="2"/>
                      <w:sz w:val="20"/>
                      <w:szCs w:val="20"/>
                      <w:lang w:val="en-US" w:eastAsia="zh-CN"/>
                    </w:rPr>
                    <w:t>/</w:t>
                  </w:r>
                </w:p>
              </w:tc>
            </w:tr>
            <w:tr w14:paraId="20D14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5" w:type="pct"/>
                  <w:tcBorders>
                    <w:tl2br w:val="nil"/>
                    <w:tr2bl w:val="nil"/>
                  </w:tcBorders>
                  <w:noWrap/>
                  <w:vAlign w:val="center"/>
                </w:tcPr>
                <w:p w14:paraId="0CFABA70">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2月</w:t>
                  </w:r>
                </w:p>
              </w:tc>
              <w:tc>
                <w:tcPr>
                  <w:tcW w:w="1503" w:type="pct"/>
                  <w:tcBorders>
                    <w:tl2br w:val="nil"/>
                    <w:tr2bl w:val="nil"/>
                  </w:tcBorders>
                  <w:shd w:val="clear" w:color="auto" w:fill="auto"/>
                  <w:noWrap/>
                  <w:vAlign w:val="center"/>
                </w:tcPr>
                <w:p w14:paraId="6635EB6F">
                  <w:pPr>
                    <w:pStyle w:val="71"/>
                    <w:jc w:val="center"/>
                    <w:rPr>
                      <w:rFonts w:hint="default" w:ascii="Times New Roman" w:hAnsi="Times New Roman" w:eastAsia="宋体" w:cs="Times New Roman"/>
                      <w:color w:val="auto"/>
                      <w:kern w:val="2"/>
                      <w:sz w:val="20"/>
                      <w:szCs w:val="20"/>
                      <w:lang w:val="en-US" w:eastAsia="zh-CN" w:bidi="ar-SA"/>
                    </w:rPr>
                  </w:pPr>
                  <w:r>
                    <w:rPr>
                      <w:rFonts w:hint="eastAsia" w:ascii="Times New Roman" w:cs="Times New Roman"/>
                      <w:color w:val="auto"/>
                      <w:kern w:val="2"/>
                      <w:sz w:val="20"/>
                      <w:szCs w:val="20"/>
                      <w:lang w:val="en-US" w:eastAsia="zh-CN"/>
                    </w:rPr>
                    <w:t>0.249</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0.990</w:t>
                  </w:r>
                </w:p>
              </w:tc>
              <w:tc>
                <w:tcPr>
                  <w:tcW w:w="1394" w:type="pct"/>
                  <w:tcBorders>
                    <w:tl2br w:val="nil"/>
                    <w:tr2bl w:val="nil"/>
                  </w:tcBorders>
                  <w:shd w:val="clear" w:color="auto" w:fill="auto"/>
                  <w:noWrap/>
                  <w:vAlign w:val="center"/>
                </w:tcPr>
                <w:p w14:paraId="0339427B">
                  <w:pPr>
                    <w:pStyle w:val="71"/>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0.</w:t>
                  </w:r>
                  <w:r>
                    <w:rPr>
                      <w:rFonts w:hint="eastAsia" w:ascii="Times New Roman" w:eastAsia="宋体" w:cs="Times New Roman"/>
                      <w:color w:val="auto"/>
                      <w:kern w:val="2"/>
                      <w:sz w:val="20"/>
                      <w:szCs w:val="20"/>
                      <w:lang w:val="en-US" w:eastAsia="zh-CN" w:bidi="ar-SA"/>
                    </w:rPr>
                    <w:t>144</w:t>
                  </w:r>
                  <w:r>
                    <w:rPr>
                      <w:rFonts w:hint="default" w:ascii="Times New Roman" w:hAnsi="Times New Roman" w:eastAsia="宋体" w:cs="Times New Roman"/>
                      <w:color w:val="auto"/>
                      <w:kern w:val="2"/>
                      <w:sz w:val="20"/>
                      <w:szCs w:val="20"/>
                      <w:lang w:val="en-US" w:eastAsia="zh-CN" w:bidi="ar-SA"/>
                    </w:rPr>
                    <w:t>~</w:t>
                  </w:r>
                  <w:r>
                    <w:rPr>
                      <w:rFonts w:hint="eastAsia" w:ascii="Times New Roman" w:eastAsia="宋体" w:cs="Times New Roman"/>
                      <w:color w:val="auto"/>
                      <w:kern w:val="2"/>
                      <w:sz w:val="20"/>
                      <w:szCs w:val="20"/>
                      <w:lang w:val="en-US" w:eastAsia="zh-CN" w:bidi="ar-SA"/>
                    </w:rPr>
                    <w:t>13.5</w:t>
                  </w:r>
                </w:p>
              </w:tc>
              <w:tc>
                <w:tcPr>
                  <w:tcW w:w="1326" w:type="pct"/>
                  <w:tcBorders>
                    <w:tl2br w:val="nil"/>
                    <w:tr2bl w:val="nil"/>
                  </w:tcBorders>
                  <w:shd w:val="clear" w:color="auto" w:fill="auto"/>
                  <w:noWrap/>
                  <w:vAlign w:val="center"/>
                </w:tcPr>
                <w:p w14:paraId="6ED12A30">
                  <w:pPr>
                    <w:pStyle w:val="71"/>
                    <w:jc w:val="center"/>
                    <w:rPr>
                      <w:rFonts w:hint="default" w:ascii="Times New Roman" w:hAnsi="Times New Roman" w:eastAsia="宋体" w:cs="Times New Roman"/>
                      <w:color w:val="auto"/>
                      <w:kern w:val="2"/>
                      <w:sz w:val="20"/>
                      <w:szCs w:val="20"/>
                      <w:lang w:val="en-US" w:eastAsia="zh-CN" w:bidi="ar-SA"/>
                    </w:rPr>
                  </w:pPr>
                  <w:r>
                    <w:rPr>
                      <w:rFonts w:hint="eastAsia" w:ascii="Times New Roman" w:cs="Times New Roman"/>
                      <w:color w:val="auto"/>
                      <w:kern w:val="2"/>
                      <w:sz w:val="20"/>
                      <w:szCs w:val="20"/>
                      <w:lang w:val="en-US" w:eastAsia="zh-CN"/>
                    </w:rPr>
                    <w:t>40.9</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48.3</w:t>
                  </w:r>
                </w:p>
              </w:tc>
            </w:tr>
            <w:tr w14:paraId="4420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5" w:type="pct"/>
                  <w:tcBorders>
                    <w:tl2br w:val="nil"/>
                    <w:tr2bl w:val="nil"/>
                  </w:tcBorders>
                  <w:noWrap/>
                  <w:vAlign w:val="center"/>
                </w:tcPr>
                <w:p w14:paraId="25383BBF">
                  <w:pPr>
                    <w:pStyle w:val="71"/>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3月</w:t>
                  </w:r>
                </w:p>
              </w:tc>
              <w:tc>
                <w:tcPr>
                  <w:tcW w:w="1503" w:type="pct"/>
                  <w:tcBorders>
                    <w:tl2br w:val="nil"/>
                    <w:tr2bl w:val="nil"/>
                  </w:tcBorders>
                  <w:noWrap/>
                  <w:vAlign w:val="center"/>
                </w:tcPr>
                <w:p w14:paraId="2C4BC4BC">
                  <w:pPr>
                    <w:pStyle w:val="71"/>
                    <w:jc w:val="center"/>
                    <w:rPr>
                      <w:rFonts w:hint="default" w:ascii="Times New Roman" w:hAnsi="Times New Roman" w:eastAsia="宋体" w:cs="Times New Roman"/>
                      <w:color w:val="auto"/>
                      <w:kern w:val="2"/>
                      <w:sz w:val="20"/>
                      <w:szCs w:val="20"/>
                      <w:lang w:val="en-US" w:eastAsia="zh-CN"/>
                    </w:rPr>
                  </w:pPr>
                  <w:r>
                    <w:rPr>
                      <w:rFonts w:hint="eastAsia" w:ascii="Times New Roman" w:cs="Times New Roman"/>
                      <w:color w:val="auto"/>
                      <w:kern w:val="2"/>
                      <w:sz w:val="20"/>
                      <w:szCs w:val="20"/>
                      <w:lang w:val="en-US" w:eastAsia="zh-CN"/>
                    </w:rPr>
                    <w:t>0.231</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0.602</w:t>
                  </w:r>
                </w:p>
              </w:tc>
              <w:tc>
                <w:tcPr>
                  <w:tcW w:w="1394" w:type="pct"/>
                  <w:tcBorders>
                    <w:tl2br w:val="nil"/>
                    <w:tr2bl w:val="nil"/>
                  </w:tcBorders>
                  <w:noWrap/>
                  <w:vAlign w:val="center"/>
                </w:tcPr>
                <w:p w14:paraId="37918C61">
                  <w:pPr>
                    <w:pStyle w:val="71"/>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0.</w:t>
                  </w:r>
                  <w:r>
                    <w:rPr>
                      <w:rFonts w:hint="eastAsia" w:ascii="Times New Roman" w:cs="Times New Roman"/>
                      <w:color w:val="auto"/>
                      <w:kern w:val="2"/>
                      <w:sz w:val="20"/>
                      <w:szCs w:val="20"/>
                      <w:lang w:val="en-US" w:eastAsia="zh-CN" w:bidi="ar-SA"/>
                    </w:rPr>
                    <w:t>558</w:t>
                  </w:r>
                  <w:r>
                    <w:rPr>
                      <w:rFonts w:hint="default" w:ascii="Times New Roman" w:hAnsi="Times New Roman" w:eastAsia="宋体" w:cs="Times New Roman"/>
                      <w:color w:val="auto"/>
                      <w:kern w:val="2"/>
                      <w:sz w:val="20"/>
                      <w:szCs w:val="20"/>
                      <w:lang w:val="en-US" w:eastAsia="zh-CN" w:bidi="ar-SA"/>
                    </w:rPr>
                    <w:t>~</w:t>
                  </w:r>
                  <w:r>
                    <w:rPr>
                      <w:rFonts w:hint="eastAsia" w:ascii="Times New Roman" w:cs="Times New Roman"/>
                      <w:color w:val="auto"/>
                      <w:kern w:val="2"/>
                      <w:sz w:val="20"/>
                      <w:szCs w:val="20"/>
                      <w:lang w:val="en-US" w:eastAsia="zh-CN" w:bidi="ar-SA"/>
                    </w:rPr>
                    <w:t>9.88</w:t>
                  </w:r>
                </w:p>
              </w:tc>
              <w:tc>
                <w:tcPr>
                  <w:tcW w:w="1326" w:type="pct"/>
                  <w:tcBorders>
                    <w:tl2br w:val="nil"/>
                    <w:tr2bl w:val="nil"/>
                  </w:tcBorders>
                  <w:noWrap/>
                  <w:vAlign w:val="center"/>
                </w:tcPr>
                <w:p w14:paraId="5FD0B3B1">
                  <w:pPr>
                    <w:pStyle w:val="71"/>
                    <w:jc w:val="center"/>
                    <w:rPr>
                      <w:rFonts w:hint="default" w:ascii="Times New Roman" w:hAnsi="Times New Roman" w:eastAsia="宋体" w:cs="Times New Roman"/>
                      <w:color w:val="auto"/>
                      <w:kern w:val="2"/>
                      <w:sz w:val="20"/>
                      <w:szCs w:val="20"/>
                      <w:lang w:val="en-US" w:eastAsia="zh-CN"/>
                    </w:rPr>
                  </w:pPr>
                  <w:r>
                    <w:rPr>
                      <w:rFonts w:hint="eastAsia" w:ascii="Times New Roman" w:cs="Times New Roman"/>
                      <w:color w:val="auto"/>
                      <w:kern w:val="2"/>
                      <w:sz w:val="20"/>
                      <w:szCs w:val="20"/>
                      <w:lang w:val="en-US" w:eastAsia="zh-CN"/>
                    </w:rPr>
                    <w:t>43.3</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46.7</w:t>
                  </w:r>
                </w:p>
              </w:tc>
            </w:tr>
            <w:tr w14:paraId="6C91D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1B4DA9E8">
                  <w:pPr>
                    <w:pStyle w:val="71"/>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4月</w:t>
                  </w:r>
                </w:p>
              </w:tc>
              <w:tc>
                <w:tcPr>
                  <w:tcW w:w="1503" w:type="pct"/>
                  <w:tcBorders>
                    <w:tl2br w:val="nil"/>
                    <w:tr2bl w:val="nil"/>
                  </w:tcBorders>
                  <w:noWrap/>
                  <w:vAlign w:val="center"/>
                </w:tcPr>
                <w:p w14:paraId="14F43FB8">
                  <w:pPr>
                    <w:pStyle w:val="71"/>
                    <w:jc w:val="center"/>
                    <w:rPr>
                      <w:rFonts w:hint="default" w:ascii="Times New Roman" w:hAnsi="Times New Roman" w:eastAsia="宋体" w:cs="Times New Roman"/>
                      <w:color w:val="auto"/>
                      <w:kern w:val="2"/>
                      <w:sz w:val="20"/>
                      <w:szCs w:val="20"/>
                      <w:lang w:val="en-US" w:eastAsia="zh-CN"/>
                    </w:rPr>
                  </w:pPr>
                  <w:r>
                    <w:rPr>
                      <w:rFonts w:hint="eastAsia" w:ascii="Times New Roman" w:cs="Times New Roman"/>
                      <w:color w:val="auto"/>
                      <w:kern w:val="2"/>
                      <w:sz w:val="20"/>
                      <w:szCs w:val="20"/>
                      <w:lang w:val="en-US" w:eastAsia="zh-CN"/>
                    </w:rPr>
                    <w:t>0.229</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0.571</w:t>
                  </w:r>
                </w:p>
              </w:tc>
              <w:tc>
                <w:tcPr>
                  <w:tcW w:w="1394" w:type="pct"/>
                  <w:tcBorders>
                    <w:tl2br w:val="nil"/>
                    <w:tr2bl w:val="nil"/>
                  </w:tcBorders>
                  <w:noWrap/>
                  <w:vAlign w:val="center"/>
                </w:tcPr>
                <w:p w14:paraId="0643BABB">
                  <w:pPr>
                    <w:pStyle w:val="71"/>
                    <w:jc w:val="center"/>
                    <w:rPr>
                      <w:rFonts w:hint="default" w:ascii="Times New Roman" w:hAnsi="Times New Roman" w:eastAsia="宋体" w:cs="Times New Roman"/>
                      <w:color w:val="auto"/>
                      <w:kern w:val="2"/>
                      <w:sz w:val="20"/>
                      <w:szCs w:val="20"/>
                      <w:lang w:val="en-US" w:eastAsia="zh-CN"/>
                    </w:rPr>
                  </w:pPr>
                  <w:r>
                    <w:rPr>
                      <w:rFonts w:hint="eastAsia" w:ascii="Times New Roman" w:cs="Times New Roman"/>
                      <w:color w:val="auto"/>
                      <w:kern w:val="2"/>
                      <w:sz w:val="20"/>
                      <w:szCs w:val="20"/>
                      <w:lang w:val="en-US" w:eastAsia="zh-CN"/>
                    </w:rPr>
                    <w:t>0.937</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9.74</w:t>
                  </w:r>
                </w:p>
              </w:tc>
              <w:tc>
                <w:tcPr>
                  <w:tcW w:w="1326" w:type="pct"/>
                  <w:tcBorders>
                    <w:tl2br w:val="nil"/>
                    <w:tr2bl w:val="nil"/>
                  </w:tcBorders>
                  <w:noWrap/>
                  <w:vAlign w:val="center"/>
                </w:tcPr>
                <w:p w14:paraId="601D3F89">
                  <w:pPr>
                    <w:pStyle w:val="71"/>
                    <w:jc w:val="center"/>
                    <w:rPr>
                      <w:rFonts w:hint="default" w:ascii="Times New Roman" w:hAnsi="Times New Roman" w:eastAsia="宋体" w:cs="Times New Roman"/>
                      <w:color w:val="auto"/>
                      <w:kern w:val="2"/>
                      <w:sz w:val="20"/>
                      <w:szCs w:val="20"/>
                      <w:lang w:val="en-US" w:eastAsia="zh-CN"/>
                    </w:rPr>
                  </w:pPr>
                  <w:r>
                    <w:rPr>
                      <w:rFonts w:hint="eastAsia" w:ascii="Times New Roman" w:cs="Times New Roman"/>
                      <w:color w:val="auto"/>
                      <w:kern w:val="2"/>
                      <w:sz w:val="20"/>
                      <w:szCs w:val="20"/>
                      <w:lang w:val="en-US" w:eastAsia="zh-CN"/>
                    </w:rPr>
                    <w:t>39.8</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50.3</w:t>
                  </w:r>
                </w:p>
              </w:tc>
            </w:tr>
            <w:tr w14:paraId="09DF7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1C730D50">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5月</w:t>
                  </w:r>
                </w:p>
              </w:tc>
              <w:tc>
                <w:tcPr>
                  <w:tcW w:w="1503" w:type="pct"/>
                  <w:tcBorders>
                    <w:tl2br w:val="nil"/>
                    <w:tr2bl w:val="nil"/>
                  </w:tcBorders>
                  <w:noWrap/>
                  <w:vAlign w:val="center"/>
                </w:tcPr>
                <w:p w14:paraId="3568BB53">
                  <w:pPr>
                    <w:pStyle w:val="71"/>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0.</w:t>
                  </w:r>
                  <w:r>
                    <w:rPr>
                      <w:rFonts w:hint="eastAsia" w:ascii="Times New Roman" w:cs="Times New Roman"/>
                      <w:color w:val="auto"/>
                      <w:kern w:val="2"/>
                      <w:sz w:val="20"/>
                      <w:szCs w:val="20"/>
                      <w:lang w:val="en-US" w:eastAsia="zh-CN" w:bidi="ar-SA"/>
                    </w:rPr>
                    <w:t>427</w:t>
                  </w:r>
                  <w:r>
                    <w:rPr>
                      <w:rFonts w:hint="default" w:ascii="Times New Roman" w:hAnsi="Times New Roman" w:eastAsia="宋体" w:cs="Times New Roman"/>
                      <w:color w:val="auto"/>
                      <w:kern w:val="2"/>
                      <w:sz w:val="20"/>
                      <w:szCs w:val="20"/>
                      <w:lang w:val="en-US" w:eastAsia="zh-CN" w:bidi="ar-SA"/>
                    </w:rPr>
                    <w:t>~</w:t>
                  </w:r>
                  <w:r>
                    <w:rPr>
                      <w:rFonts w:hint="eastAsia" w:ascii="Times New Roman" w:cs="Times New Roman"/>
                      <w:color w:val="auto"/>
                      <w:kern w:val="2"/>
                      <w:sz w:val="20"/>
                      <w:szCs w:val="20"/>
                      <w:lang w:val="en-US" w:eastAsia="zh-CN" w:bidi="ar-SA"/>
                    </w:rPr>
                    <w:t>6.9</w:t>
                  </w:r>
                </w:p>
              </w:tc>
              <w:tc>
                <w:tcPr>
                  <w:tcW w:w="1394" w:type="pct"/>
                  <w:tcBorders>
                    <w:tl2br w:val="nil"/>
                    <w:tr2bl w:val="nil"/>
                  </w:tcBorders>
                  <w:noWrap/>
                  <w:vAlign w:val="center"/>
                </w:tcPr>
                <w:p w14:paraId="75294C11">
                  <w:pPr>
                    <w:pStyle w:val="71"/>
                    <w:jc w:val="center"/>
                    <w:rPr>
                      <w:rFonts w:hint="default" w:ascii="Times New Roman" w:hAnsi="Times New Roman" w:eastAsia="宋体" w:cs="Times New Roman"/>
                      <w:color w:val="auto"/>
                      <w:kern w:val="2"/>
                      <w:sz w:val="20"/>
                      <w:szCs w:val="20"/>
                      <w:lang w:val="en-US" w:eastAsia="zh-CN"/>
                    </w:rPr>
                  </w:pPr>
                  <w:r>
                    <w:rPr>
                      <w:rFonts w:hint="default" w:ascii="Times New Roman" w:hAnsi="Times New Roman" w:eastAsia="宋体" w:cs="Times New Roman"/>
                      <w:color w:val="auto"/>
                      <w:kern w:val="2"/>
                      <w:sz w:val="20"/>
                      <w:szCs w:val="20"/>
                      <w:lang w:val="en-US" w:eastAsia="zh-CN"/>
                    </w:rPr>
                    <w:t>0.</w:t>
                  </w:r>
                  <w:r>
                    <w:rPr>
                      <w:rFonts w:hint="eastAsia" w:ascii="Times New Roman" w:cs="Times New Roman"/>
                      <w:color w:val="auto"/>
                      <w:kern w:val="2"/>
                      <w:sz w:val="20"/>
                      <w:szCs w:val="20"/>
                      <w:lang w:val="en-US" w:eastAsia="zh-CN"/>
                    </w:rPr>
                    <w:t>0516</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6.56</w:t>
                  </w:r>
                </w:p>
              </w:tc>
              <w:tc>
                <w:tcPr>
                  <w:tcW w:w="1326" w:type="pct"/>
                  <w:tcBorders>
                    <w:tl2br w:val="nil"/>
                    <w:tr2bl w:val="nil"/>
                  </w:tcBorders>
                  <w:noWrap/>
                  <w:vAlign w:val="center"/>
                </w:tcPr>
                <w:p w14:paraId="35D4FF33">
                  <w:pPr>
                    <w:pStyle w:val="71"/>
                    <w:jc w:val="center"/>
                    <w:rPr>
                      <w:rFonts w:hint="default" w:ascii="Times New Roman" w:hAnsi="Times New Roman" w:eastAsia="宋体" w:cs="Times New Roman"/>
                      <w:color w:val="auto"/>
                      <w:kern w:val="2"/>
                      <w:sz w:val="20"/>
                      <w:szCs w:val="20"/>
                      <w:lang w:val="en-US" w:eastAsia="zh-CN"/>
                    </w:rPr>
                  </w:pPr>
                  <w:r>
                    <w:rPr>
                      <w:rFonts w:hint="eastAsia" w:ascii="Times New Roman" w:cs="Times New Roman"/>
                      <w:color w:val="auto"/>
                      <w:kern w:val="2"/>
                      <w:sz w:val="20"/>
                      <w:szCs w:val="20"/>
                      <w:lang w:val="en-US" w:eastAsia="zh-CN"/>
                    </w:rPr>
                    <w:t>42.9</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48.1</w:t>
                  </w:r>
                </w:p>
              </w:tc>
            </w:tr>
            <w:tr w14:paraId="61358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3BE40378">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6月</w:t>
                  </w:r>
                </w:p>
              </w:tc>
              <w:tc>
                <w:tcPr>
                  <w:tcW w:w="1503" w:type="pct"/>
                  <w:tcBorders>
                    <w:tl2br w:val="nil"/>
                    <w:tr2bl w:val="nil"/>
                  </w:tcBorders>
                  <w:noWrap/>
                  <w:vAlign w:val="center"/>
                </w:tcPr>
                <w:p w14:paraId="2E62097D">
                  <w:pPr>
                    <w:pStyle w:val="71"/>
                    <w:jc w:val="center"/>
                    <w:rPr>
                      <w:rFonts w:hint="default" w:ascii="Times New Roman" w:hAnsi="Times New Roman" w:cs="Times New Roman"/>
                      <w:color w:val="auto"/>
                      <w:kern w:val="2"/>
                      <w:sz w:val="20"/>
                      <w:szCs w:val="20"/>
                      <w:lang w:val="en-US" w:eastAsia="zh-CN"/>
                    </w:rPr>
                  </w:pPr>
                  <w:r>
                    <w:rPr>
                      <w:rFonts w:hint="default" w:ascii="Times New Roman" w:hAnsi="Times New Roman" w:cs="Times New Roman"/>
                      <w:color w:val="auto"/>
                      <w:kern w:val="2"/>
                      <w:sz w:val="20"/>
                      <w:szCs w:val="20"/>
                      <w:lang w:val="en-US" w:eastAsia="zh-CN"/>
                    </w:rPr>
                    <w:t>0.</w:t>
                  </w:r>
                  <w:r>
                    <w:rPr>
                      <w:rFonts w:hint="eastAsia" w:ascii="Times New Roman" w:cs="Times New Roman"/>
                      <w:color w:val="auto"/>
                      <w:kern w:val="2"/>
                      <w:sz w:val="20"/>
                      <w:szCs w:val="20"/>
                      <w:lang w:val="en-US" w:eastAsia="zh-CN"/>
                    </w:rPr>
                    <w:t>592</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6.7</w:t>
                  </w:r>
                </w:p>
              </w:tc>
              <w:tc>
                <w:tcPr>
                  <w:tcW w:w="1394" w:type="pct"/>
                  <w:tcBorders>
                    <w:tl2br w:val="nil"/>
                    <w:tr2bl w:val="nil"/>
                  </w:tcBorders>
                  <w:noWrap/>
                  <w:vAlign w:val="center"/>
                </w:tcPr>
                <w:p w14:paraId="6305EB3C">
                  <w:pPr>
                    <w:pStyle w:val="71"/>
                    <w:jc w:val="center"/>
                    <w:rPr>
                      <w:rFonts w:hint="default" w:ascii="Times New Roman" w:hAnsi="Times New Roman" w:cs="Times New Roman"/>
                      <w:color w:val="auto"/>
                      <w:kern w:val="2"/>
                      <w:sz w:val="20"/>
                      <w:szCs w:val="20"/>
                      <w:lang w:val="en-US" w:eastAsia="zh-CN"/>
                    </w:rPr>
                  </w:pPr>
                  <w:r>
                    <w:rPr>
                      <w:rFonts w:hint="default" w:ascii="Times New Roman" w:hAnsi="Times New Roman" w:cs="Times New Roman"/>
                      <w:color w:val="auto"/>
                      <w:kern w:val="2"/>
                      <w:sz w:val="20"/>
                      <w:szCs w:val="20"/>
                      <w:lang w:val="en-US" w:eastAsia="zh-CN"/>
                    </w:rPr>
                    <w:t>0.</w:t>
                  </w:r>
                  <w:r>
                    <w:rPr>
                      <w:rFonts w:hint="eastAsia" w:ascii="Times New Roman" w:cs="Times New Roman"/>
                      <w:color w:val="auto"/>
                      <w:kern w:val="2"/>
                      <w:sz w:val="20"/>
                      <w:szCs w:val="20"/>
                      <w:lang w:val="en-US" w:eastAsia="zh-CN"/>
                    </w:rPr>
                    <w:t>502</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8.03</w:t>
                  </w:r>
                </w:p>
              </w:tc>
              <w:tc>
                <w:tcPr>
                  <w:tcW w:w="1326" w:type="pct"/>
                  <w:tcBorders>
                    <w:tl2br w:val="nil"/>
                    <w:tr2bl w:val="nil"/>
                  </w:tcBorders>
                  <w:noWrap/>
                  <w:vAlign w:val="center"/>
                </w:tcPr>
                <w:p w14:paraId="74AA413E">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41.2</w:t>
                  </w:r>
                  <w:r>
                    <w:rPr>
                      <w:rFonts w:hint="default" w:ascii="Times New Roman" w:hAnsi="Times New Roman" w:eastAsia="宋体" w:cs="Times New Roman"/>
                      <w:color w:val="auto"/>
                      <w:kern w:val="2"/>
                      <w:sz w:val="20"/>
                      <w:szCs w:val="20"/>
                      <w:lang w:val="en-US" w:eastAsia="zh-CN"/>
                    </w:rPr>
                    <w:t>~</w:t>
                  </w:r>
                  <w:r>
                    <w:rPr>
                      <w:rFonts w:hint="eastAsia" w:ascii="Times New Roman" w:cs="Times New Roman"/>
                      <w:color w:val="auto"/>
                      <w:kern w:val="2"/>
                      <w:sz w:val="20"/>
                      <w:szCs w:val="20"/>
                      <w:lang w:val="en-US" w:eastAsia="zh-CN"/>
                    </w:rPr>
                    <w:t>47.4</w:t>
                  </w:r>
                </w:p>
              </w:tc>
            </w:tr>
            <w:tr w14:paraId="1F212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7F3169B6">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7月</w:t>
                  </w:r>
                </w:p>
              </w:tc>
              <w:tc>
                <w:tcPr>
                  <w:tcW w:w="1503" w:type="pct"/>
                  <w:tcBorders>
                    <w:tl2br w:val="nil"/>
                    <w:tr2bl w:val="nil"/>
                  </w:tcBorders>
                  <w:noWrap/>
                  <w:vAlign w:val="center"/>
                </w:tcPr>
                <w:p w14:paraId="39A29954">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0.378</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0.893</w:t>
                  </w:r>
                </w:p>
              </w:tc>
              <w:tc>
                <w:tcPr>
                  <w:tcW w:w="1394" w:type="pct"/>
                  <w:tcBorders>
                    <w:tl2br w:val="nil"/>
                    <w:tr2bl w:val="nil"/>
                  </w:tcBorders>
                  <w:noWrap/>
                  <w:vAlign w:val="center"/>
                </w:tcPr>
                <w:p w14:paraId="5D58921E">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0.0362</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6.83</w:t>
                  </w:r>
                </w:p>
              </w:tc>
              <w:tc>
                <w:tcPr>
                  <w:tcW w:w="1326" w:type="pct"/>
                  <w:tcBorders>
                    <w:tl2br w:val="nil"/>
                    <w:tr2bl w:val="nil"/>
                  </w:tcBorders>
                  <w:noWrap/>
                  <w:vAlign w:val="center"/>
                </w:tcPr>
                <w:p w14:paraId="6D467B3D">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41.7</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51.0</w:t>
                  </w:r>
                </w:p>
              </w:tc>
            </w:tr>
            <w:tr w14:paraId="3A6E6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6B1180EE">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8月</w:t>
                  </w:r>
                </w:p>
              </w:tc>
              <w:tc>
                <w:tcPr>
                  <w:tcW w:w="1503" w:type="pct"/>
                  <w:tcBorders>
                    <w:tl2br w:val="nil"/>
                    <w:tr2bl w:val="nil"/>
                  </w:tcBorders>
                  <w:noWrap/>
                  <w:vAlign w:val="center"/>
                </w:tcPr>
                <w:p w14:paraId="75F09578">
                  <w:pPr>
                    <w:pStyle w:val="71"/>
                    <w:jc w:val="center"/>
                    <w:rPr>
                      <w:rFonts w:hint="default" w:ascii="Times New Roman" w:hAnsi="Times New Roman" w:cs="Times New Roman"/>
                      <w:color w:val="auto"/>
                      <w:kern w:val="2"/>
                      <w:sz w:val="20"/>
                      <w:szCs w:val="20"/>
                      <w:lang w:val="en-US" w:eastAsia="zh-CN"/>
                    </w:rPr>
                  </w:pPr>
                  <w:r>
                    <w:rPr>
                      <w:rFonts w:hint="default" w:ascii="Times New Roman" w:hAnsi="Times New Roman" w:cs="Times New Roman"/>
                      <w:color w:val="auto"/>
                      <w:kern w:val="2"/>
                      <w:sz w:val="20"/>
                      <w:szCs w:val="20"/>
                      <w:lang w:val="en-US" w:eastAsia="zh-CN"/>
                    </w:rPr>
                    <w:t>0.</w:t>
                  </w:r>
                  <w:r>
                    <w:rPr>
                      <w:rFonts w:hint="eastAsia" w:ascii="Times New Roman" w:cs="Times New Roman"/>
                      <w:color w:val="auto"/>
                      <w:kern w:val="2"/>
                      <w:sz w:val="20"/>
                      <w:szCs w:val="20"/>
                      <w:lang w:val="en-US" w:eastAsia="zh-CN"/>
                    </w:rPr>
                    <w:t>355</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0.664</w:t>
                  </w:r>
                </w:p>
              </w:tc>
              <w:tc>
                <w:tcPr>
                  <w:tcW w:w="1394" w:type="pct"/>
                  <w:tcBorders>
                    <w:tl2br w:val="nil"/>
                    <w:tr2bl w:val="nil"/>
                  </w:tcBorders>
                  <w:noWrap/>
                  <w:vAlign w:val="center"/>
                </w:tcPr>
                <w:p w14:paraId="66B14CF8">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0.261</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7.60</w:t>
                  </w:r>
                </w:p>
              </w:tc>
              <w:tc>
                <w:tcPr>
                  <w:tcW w:w="1326" w:type="pct"/>
                  <w:tcBorders>
                    <w:tl2br w:val="nil"/>
                    <w:tr2bl w:val="nil"/>
                  </w:tcBorders>
                  <w:noWrap/>
                  <w:vAlign w:val="center"/>
                </w:tcPr>
                <w:p w14:paraId="38B4D027">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37.2</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48.8</w:t>
                  </w:r>
                </w:p>
              </w:tc>
            </w:tr>
            <w:tr w14:paraId="07BA2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2665E354">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9月</w:t>
                  </w:r>
                </w:p>
              </w:tc>
              <w:tc>
                <w:tcPr>
                  <w:tcW w:w="1503" w:type="pct"/>
                  <w:tcBorders>
                    <w:tl2br w:val="nil"/>
                    <w:tr2bl w:val="nil"/>
                  </w:tcBorders>
                  <w:noWrap/>
                  <w:vAlign w:val="center"/>
                </w:tcPr>
                <w:p w14:paraId="24F53898">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0.351</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0.695</w:t>
                  </w:r>
                </w:p>
              </w:tc>
              <w:tc>
                <w:tcPr>
                  <w:tcW w:w="1394" w:type="pct"/>
                  <w:tcBorders>
                    <w:tl2br w:val="nil"/>
                    <w:tr2bl w:val="nil"/>
                  </w:tcBorders>
                  <w:noWrap/>
                  <w:vAlign w:val="center"/>
                </w:tcPr>
                <w:p w14:paraId="40C2EA9C">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0.762</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10.50</w:t>
                  </w:r>
                </w:p>
              </w:tc>
              <w:tc>
                <w:tcPr>
                  <w:tcW w:w="1326" w:type="pct"/>
                  <w:tcBorders>
                    <w:tl2br w:val="nil"/>
                    <w:tr2bl w:val="nil"/>
                  </w:tcBorders>
                  <w:noWrap/>
                  <w:vAlign w:val="center"/>
                </w:tcPr>
                <w:p w14:paraId="66A6E772">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36.3</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44.1</w:t>
                  </w:r>
                </w:p>
              </w:tc>
            </w:tr>
            <w:tr w14:paraId="066C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42F70A3F">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10月</w:t>
                  </w:r>
                </w:p>
              </w:tc>
              <w:tc>
                <w:tcPr>
                  <w:tcW w:w="1503" w:type="pct"/>
                  <w:tcBorders>
                    <w:tl2br w:val="nil"/>
                    <w:tr2bl w:val="nil"/>
                  </w:tcBorders>
                  <w:noWrap/>
                  <w:vAlign w:val="center"/>
                </w:tcPr>
                <w:p w14:paraId="55FABA9B">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0.207</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0.363</w:t>
                  </w:r>
                </w:p>
              </w:tc>
              <w:tc>
                <w:tcPr>
                  <w:tcW w:w="1394" w:type="pct"/>
                  <w:tcBorders>
                    <w:tl2br w:val="nil"/>
                    <w:tr2bl w:val="nil"/>
                  </w:tcBorders>
                  <w:noWrap/>
                  <w:vAlign w:val="center"/>
                </w:tcPr>
                <w:p w14:paraId="3CD6F249">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3.0</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15.6</w:t>
                  </w:r>
                </w:p>
              </w:tc>
              <w:tc>
                <w:tcPr>
                  <w:tcW w:w="1326" w:type="pct"/>
                  <w:tcBorders>
                    <w:tl2br w:val="nil"/>
                    <w:tr2bl w:val="nil"/>
                  </w:tcBorders>
                  <w:noWrap/>
                  <w:vAlign w:val="center"/>
                </w:tcPr>
                <w:p w14:paraId="58701C1D">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29.8</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42.1</w:t>
                  </w:r>
                </w:p>
              </w:tc>
            </w:tr>
            <w:tr w14:paraId="41A65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21B033B4">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11月</w:t>
                  </w:r>
                </w:p>
              </w:tc>
              <w:tc>
                <w:tcPr>
                  <w:tcW w:w="1503" w:type="pct"/>
                  <w:tcBorders>
                    <w:tl2br w:val="nil"/>
                    <w:tr2bl w:val="nil"/>
                  </w:tcBorders>
                  <w:noWrap/>
                  <w:vAlign w:val="center"/>
                </w:tcPr>
                <w:p w14:paraId="1BA5DD36">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0.139</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0.230</w:t>
                  </w:r>
                </w:p>
              </w:tc>
              <w:tc>
                <w:tcPr>
                  <w:tcW w:w="1394" w:type="pct"/>
                  <w:tcBorders>
                    <w:tl2br w:val="nil"/>
                    <w:tr2bl w:val="nil"/>
                  </w:tcBorders>
                  <w:noWrap/>
                  <w:vAlign w:val="center"/>
                </w:tcPr>
                <w:p w14:paraId="6B8194B1">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0.0255</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14.0</w:t>
                  </w:r>
                </w:p>
              </w:tc>
              <w:tc>
                <w:tcPr>
                  <w:tcW w:w="1326" w:type="pct"/>
                  <w:tcBorders>
                    <w:tl2br w:val="nil"/>
                    <w:tr2bl w:val="nil"/>
                  </w:tcBorders>
                  <w:noWrap/>
                  <w:vAlign w:val="center"/>
                </w:tcPr>
                <w:p w14:paraId="79647B49">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37.2</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45.1</w:t>
                  </w:r>
                </w:p>
              </w:tc>
            </w:tr>
            <w:tr w14:paraId="10087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0D9B7DCB">
                  <w:pPr>
                    <w:pStyle w:val="71"/>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12月</w:t>
                  </w:r>
                </w:p>
              </w:tc>
              <w:tc>
                <w:tcPr>
                  <w:tcW w:w="1503" w:type="pct"/>
                  <w:tcBorders>
                    <w:tl2br w:val="nil"/>
                    <w:tr2bl w:val="nil"/>
                  </w:tcBorders>
                  <w:noWrap/>
                  <w:vAlign w:val="center"/>
                </w:tcPr>
                <w:p w14:paraId="43FA061F">
                  <w:pPr>
                    <w:pStyle w:val="71"/>
                    <w:jc w:val="center"/>
                    <w:rPr>
                      <w:rFonts w:hint="default" w:ascii="Times New Roman" w:hAnsi="Times New Roman" w:cs="Times New Roman"/>
                      <w:color w:val="auto"/>
                      <w:kern w:val="2"/>
                      <w:sz w:val="20"/>
                      <w:szCs w:val="20"/>
                      <w:lang w:val="en-US" w:eastAsia="zh-CN"/>
                    </w:rPr>
                  </w:pPr>
                  <w:r>
                    <w:rPr>
                      <w:rFonts w:hint="default" w:ascii="Times New Roman" w:hAnsi="Times New Roman" w:cs="Times New Roman"/>
                      <w:color w:val="auto"/>
                      <w:kern w:val="2"/>
                      <w:sz w:val="20"/>
                      <w:szCs w:val="20"/>
                      <w:lang w:val="en-US" w:eastAsia="zh-CN"/>
                    </w:rPr>
                    <w:t>0.</w:t>
                  </w:r>
                  <w:r>
                    <w:rPr>
                      <w:rFonts w:hint="eastAsia" w:ascii="Times New Roman" w:cs="Times New Roman"/>
                      <w:color w:val="auto"/>
                      <w:kern w:val="2"/>
                      <w:sz w:val="20"/>
                      <w:szCs w:val="20"/>
                      <w:lang w:val="en-US" w:eastAsia="zh-CN"/>
                    </w:rPr>
                    <w:t>124</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0.325</w:t>
                  </w:r>
                </w:p>
              </w:tc>
              <w:tc>
                <w:tcPr>
                  <w:tcW w:w="1394" w:type="pct"/>
                  <w:tcBorders>
                    <w:tl2br w:val="nil"/>
                    <w:tr2bl w:val="nil"/>
                  </w:tcBorders>
                  <w:noWrap/>
                  <w:vAlign w:val="center"/>
                </w:tcPr>
                <w:p w14:paraId="65265113">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0.0288</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7.74</w:t>
                  </w:r>
                </w:p>
              </w:tc>
              <w:tc>
                <w:tcPr>
                  <w:tcW w:w="1326" w:type="pct"/>
                  <w:tcBorders>
                    <w:tl2br w:val="nil"/>
                    <w:tr2bl w:val="nil"/>
                  </w:tcBorders>
                  <w:noWrap/>
                  <w:vAlign w:val="center"/>
                </w:tcPr>
                <w:p w14:paraId="2A65A9F8">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36.8</w:t>
                  </w:r>
                  <w:r>
                    <w:rPr>
                      <w:rFonts w:hint="default" w:ascii="Times New Roman" w:hAnsi="Times New Roman" w:cs="Times New Roman"/>
                      <w:color w:val="auto"/>
                      <w:kern w:val="2"/>
                      <w:sz w:val="20"/>
                      <w:szCs w:val="20"/>
                      <w:lang w:val="en-US" w:eastAsia="zh-CN"/>
                    </w:rPr>
                    <w:t>~</w:t>
                  </w:r>
                  <w:r>
                    <w:rPr>
                      <w:rFonts w:hint="eastAsia" w:ascii="Times New Roman" w:cs="Times New Roman"/>
                      <w:color w:val="auto"/>
                      <w:kern w:val="2"/>
                      <w:sz w:val="20"/>
                      <w:szCs w:val="20"/>
                      <w:lang w:val="en-US" w:eastAsia="zh-CN"/>
                    </w:rPr>
                    <w:t>44.2</w:t>
                  </w:r>
                </w:p>
              </w:tc>
            </w:tr>
            <w:tr w14:paraId="1DBCD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14C1C18B">
                  <w:pPr>
                    <w:pStyle w:val="71"/>
                    <w:jc w:val="center"/>
                    <w:rPr>
                      <w:rFonts w:hint="default" w:ascii="Times New Roman" w:hAnsi="Times New Roman" w:cs="Times New Roman"/>
                      <w:color w:val="auto"/>
                      <w:kern w:val="2"/>
                      <w:sz w:val="21"/>
                      <w:szCs w:val="21"/>
                      <w:lang w:val="en-US" w:eastAsia="zh-CN"/>
                    </w:rPr>
                  </w:pPr>
                  <w:r>
                    <w:rPr>
                      <w:rFonts w:hint="eastAsia" w:ascii="Times New Roman" w:cs="Times New Roman"/>
                      <w:color w:val="auto"/>
                      <w:kern w:val="2"/>
                      <w:sz w:val="21"/>
                      <w:szCs w:val="21"/>
                      <w:lang w:val="en-US" w:eastAsia="zh-CN"/>
                    </w:rPr>
                    <w:t>最大值</w:t>
                  </w:r>
                </w:p>
              </w:tc>
              <w:tc>
                <w:tcPr>
                  <w:tcW w:w="1503" w:type="pct"/>
                  <w:tcBorders>
                    <w:tl2br w:val="nil"/>
                    <w:tr2bl w:val="nil"/>
                  </w:tcBorders>
                  <w:noWrap/>
                  <w:vAlign w:val="center"/>
                </w:tcPr>
                <w:p w14:paraId="75EC810A">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6.90</w:t>
                  </w:r>
                </w:p>
              </w:tc>
              <w:tc>
                <w:tcPr>
                  <w:tcW w:w="1394" w:type="pct"/>
                  <w:tcBorders>
                    <w:tl2br w:val="nil"/>
                    <w:tr2bl w:val="nil"/>
                  </w:tcBorders>
                  <w:noWrap/>
                  <w:vAlign w:val="center"/>
                </w:tcPr>
                <w:p w14:paraId="099A1569">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15.6</w:t>
                  </w:r>
                </w:p>
              </w:tc>
              <w:tc>
                <w:tcPr>
                  <w:tcW w:w="1326" w:type="pct"/>
                  <w:tcBorders>
                    <w:tl2br w:val="nil"/>
                    <w:tr2bl w:val="nil"/>
                  </w:tcBorders>
                  <w:noWrap/>
                  <w:vAlign w:val="center"/>
                </w:tcPr>
                <w:p w14:paraId="7FBACD07">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51.0</w:t>
                  </w:r>
                </w:p>
              </w:tc>
            </w:tr>
            <w:tr w14:paraId="4160E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718C2D7F">
                  <w:pPr>
                    <w:pStyle w:val="71"/>
                    <w:jc w:val="center"/>
                    <w:rPr>
                      <w:rFonts w:hint="default" w:ascii="Times New Roman" w:hAnsi="Times New Roman" w:cs="Times New Roman"/>
                      <w:color w:val="auto"/>
                      <w:kern w:val="2"/>
                      <w:sz w:val="21"/>
                      <w:szCs w:val="21"/>
                      <w:lang w:val="en-US" w:eastAsia="zh-CN"/>
                    </w:rPr>
                  </w:pPr>
                  <w:r>
                    <w:rPr>
                      <w:rFonts w:hint="eastAsia" w:ascii="Times New Roman" w:cs="Times New Roman"/>
                      <w:color w:val="auto"/>
                      <w:kern w:val="2"/>
                      <w:sz w:val="21"/>
                      <w:szCs w:val="21"/>
                      <w:lang w:val="en-US" w:eastAsia="zh-CN"/>
                    </w:rPr>
                    <w:t>最小值</w:t>
                  </w:r>
                </w:p>
              </w:tc>
              <w:tc>
                <w:tcPr>
                  <w:tcW w:w="1503" w:type="pct"/>
                  <w:tcBorders>
                    <w:tl2br w:val="nil"/>
                    <w:tr2bl w:val="nil"/>
                  </w:tcBorders>
                  <w:noWrap/>
                  <w:vAlign w:val="center"/>
                </w:tcPr>
                <w:p w14:paraId="67B8598A">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0.124</w:t>
                  </w:r>
                </w:p>
              </w:tc>
              <w:tc>
                <w:tcPr>
                  <w:tcW w:w="1394" w:type="pct"/>
                  <w:tcBorders>
                    <w:tl2br w:val="nil"/>
                    <w:tr2bl w:val="nil"/>
                  </w:tcBorders>
                  <w:noWrap/>
                  <w:vAlign w:val="center"/>
                </w:tcPr>
                <w:p w14:paraId="082E7E05">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0.0255</w:t>
                  </w:r>
                </w:p>
              </w:tc>
              <w:tc>
                <w:tcPr>
                  <w:tcW w:w="1326" w:type="pct"/>
                  <w:tcBorders>
                    <w:tl2br w:val="nil"/>
                    <w:tr2bl w:val="nil"/>
                  </w:tcBorders>
                  <w:noWrap/>
                  <w:vAlign w:val="center"/>
                </w:tcPr>
                <w:p w14:paraId="4E451FDD">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29.8</w:t>
                  </w:r>
                </w:p>
              </w:tc>
            </w:tr>
            <w:tr w14:paraId="21931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4E08A944">
                  <w:pPr>
                    <w:pStyle w:val="71"/>
                    <w:jc w:val="center"/>
                    <w:rPr>
                      <w:rFonts w:hint="default" w:ascii="Times New Roman" w:hAnsi="Times New Roman" w:cs="Times New Roman"/>
                      <w:color w:val="auto"/>
                      <w:kern w:val="2"/>
                      <w:sz w:val="21"/>
                      <w:szCs w:val="21"/>
                      <w:lang w:val="en-US" w:eastAsia="zh-CN"/>
                    </w:rPr>
                  </w:pPr>
                  <w:r>
                    <w:rPr>
                      <w:rFonts w:hint="eastAsia" w:ascii="Times New Roman" w:cs="Times New Roman"/>
                      <w:color w:val="auto"/>
                      <w:kern w:val="2"/>
                      <w:sz w:val="21"/>
                      <w:szCs w:val="21"/>
                      <w:lang w:val="en-US" w:eastAsia="zh-CN"/>
                    </w:rPr>
                    <w:t>平均值</w:t>
                  </w:r>
                </w:p>
              </w:tc>
              <w:tc>
                <w:tcPr>
                  <w:tcW w:w="1503" w:type="pct"/>
                  <w:tcBorders>
                    <w:tl2br w:val="nil"/>
                    <w:tr2bl w:val="nil"/>
                  </w:tcBorders>
                  <w:noWrap/>
                  <w:vAlign w:val="center"/>
                </w:tcPr>
                <w:p w14:paraId="5618FF96">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0.823</w:t>
                  </w:r>
                </w:p>
              </w:tc>
              <w:tc>
                <w:tcPr>
                  <w:tcW w:w="1394" w:type="pct"/>
                  <w:tcBorders>
                    <w:tl2br w:val="nil"/>
                    <w:tr2bl w:val="nil"/>
                  </w:tcBorders>
                  <w:noWrap/>
                  <w:vAlign w:val="center"/>
                </w:tcPr>
                <w:p w14:paraId="662E57CD">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3.86</w:t>
                  </w:r>
                </w:p>
              </w:tc>
              <w:tc>
                <w:tcPr>
                  <w:tcW w:w="1326" w:type="pct"/>
                  <w:tcBorders>
                    <w:tl2br w:val="nil"/>
                    <w:tr2bl w:val="nil"/>
                  </w:tcBorders>
                  <w:noWrap/>
                  <w:vAlign w:val="center"/>
                </w:tcPr>
                <w:p w14:paraId="30FF5EB4">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43.1</w:t>
                  </w:r>
                </w:p>
              </w:tc>
            </w:tr>
            <w:tr w14:paraId="5A730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tcBorders>
                    <w:tl2br w:val="nil"/>
                    <w:tr2bl w:val="nil"/>
                  </w:tcBorders>
                  <w:noWrap/>
                  <w:vAlign w:val="center"/>
                </w:tcPr>
                <w:p w14:paraId="57F59A29">
                  <w:pPr>
                    <w:pStyle w:val="71"/>
                    <w:jc w:val="center"/>
                    <w:rPr>
                      <w:rFonts w:hint="default" w:ascii="Times New Roman" w:cs="Times New Roman"/>
                      <w:color w:val="auto"/>
                      <w:kern w:val="2"/>
                      <w:sz w:val="21"/>
                      <w:szCs w:val="21"/>
                      <w:lang w:val="en-US" w:eastAsia="zh-CN"/>
                    </w:rPr>
                  </w:pPr>
                  <w:r>
                    <w:rPr>
                      <w:rFonts w:hint="eastAsia" w:ascii="Times New Roman" w:cs="Times New Roman"/>
                      <w:color w:val="auto"/>
                      <w:kern w:val="2"/>
                      <w:sz w:val="21"/>
                      <w:szCs w:val="21"/>
                      <w:lang w:val="en-US" w:eastAsia="zh-CN"/>
                    </w:rPr>
                    <w:t>排放限值</w:t>
                  </w:r>
                </w:p>
              </w:tc>
              <w:tc>
                <w:tcPr>
                  <w:tcW w:w="1503" w:type="pct"/>
                  <w:tcBorders>
                    <w:tl2br w:val="nil"/>
                    <w:tr2bl w:val="nil"/>
                  </w:tcBorders>
                  <w:noWrap/>
                  <w:vAlign w:val="center"/>
                </w:tcPr>
                <w:p w14:paraId="3085EDCA">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20</w:t>
                  </w:r>
                </w:p>
              </w:tc>
              <w:tc>
                <w:tcPr>
                  <w:tcW w:w="1394" w:type="pct"/>
                  <w:tcBorders>
                    <w:tl2br w:val="nil"/>
                    <w:tr2bl w:val="nil"/>
                  </w:tcBorders>
                  <w:noWrap/>
                  <w:vAlign w:val="center"/>
                </w:tcPr>
                <w:p w14:paraId="1D05230A">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100</w:t>
                  </w:r>
                </w:p>
              </w:tc>
              <w:tc>
                <w:tcPr>
                  <w:tcW w:w="1326" w:type="pct"/>
                  <w:tcBorders>
                    <w:tl2br w:val="nil"/>
                    <w:tr2bl w:val="nil"/>
                  </w:tcBorders>
                  <w:noWrap/>
                  <w:vAlign w:val="center"/>
                </w:tcPr>
                <w:p w14:paraId="0DD0BFB7">
                  <w:pPr>
                    <w:pStyle w:val="71"/>
                    <w:jc w:val="center"/>
                    <w:rPr>
                      <w:rFonts w:hint="default" w:ascii="Times New Roman" w:hAnsi="Times New Roman" w:cs="Times New Roman"/>
                      <w:color w:val="auto"/>
                      <w:kern w:val="2"/>
                      <w:sz w:val="20"/>
                      <w:szCs w:val="20"/>
                      <w:lang w:val="en-US" w:eastAsia="zh-CN"/>
                    </w:rPr>
                  </w:pPr>
                  <w:r>
                    <w:rPr>
                      <w:rFonts w:hint="eastAsia" w:ascii="Times New Roman" w:cs="Times New Roman"/>
                      <w:color w:val="auto"/>
                      <w:kern w:val="2"/>
                      <w:sz w:val="20"/>
                      <w:szCs w:val="20"/>
                      <w:lang w:val="en-US" w:eastAsia="zh-CN"/>
                    </w:rPr>
                    <w:t>200</w:t>
                  </w:r>
                </w:p>
              </w:tc>
            </w:tr>
          </w:tbl>
          <w:p w14:paraId="0AC6C969">
            <w:pPr>
              <w:bidi w:val="0"/>
              <w:ind w:firstLine="420" w:firstLineChars="200"/>
              <w:rPr>
                <w:rFonts w:hint="default" w:ascii="Times New Roman" w:hAnsi="Times New Roman" w:cs="Times New Roman"/>
                <w:color w:val="auto"/>
                <w:sz w:val="21"/>
                <w:szCs w:val="18"/>
                <w:lang w:val="en-US" w:eastAsia="zh-CN"/>
              </w:rPr>
            </w:pPr>
            <w:r>
              <w:rPr>
                <w:rFonts w:hint="default" w:ascii="Times New Roman" w:hAnsi="Times New Roman" w:cs="Times New Roman"/>
                <w:color w:val="auto"/>
                <w:sz w:val="21"/>
                <w:szCs w:val="18"/>
                <w:lang w:val="en-US" w:eastAsia="zh-CN"/>
              </w:rPr>
              <w:t>备注：</w:t>
            </w:r>
            <w:r>
              <w:rPr>
                <w:rFonts w:hint="eastAsia" w:cs="Times New Roman"/>
                <w:color w:val="auto"/>
                <w:sz w:val="21"/>
                <w:szCs w:val="18"/>
                <w:lang w:val="en-US" w:eastAsia="zh-CN"/>
              </w:rPr>
              <w:t>1月份</w:t>
            </w:r>
            <w:r>
              <w:rPr>
                <w:rFonts w:hint="default" w:ascii="Times New Roman" w:hAnsi="Times New Roman" w:cs="Times New Roman"/>
                <w:color w:val="auto"/>
                <w:sz w:val="21"/>
                <w:szCs w:val="18"/>
                <w:lang w:val="en-US" w:eastAsia="zh-CN"/>
              </w:rPr>
              <w:t>停炉检修。</w:t>
            </w:r>
          </w:p>
          <w:p w14:paraId="5C7E2BD3">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根据上表可知，</w:t>
            </w:r>
            <w:r>
              <w:rPr>
                <w:rFonts w:hint="eastAsia" w:cs="Times New Roman"/>
                <w:color w:val="auto"/>
                <w:lang w:val="en-US" w:eastAsia="zh-CN"/>
              </w:rPr>
              <w:t>海螺水泥2025年</w:t>
            </w:r>
            <w:r>
              <w:rPr>
                <w:rFonts w:hint="default" w:ascii="Times New Roman" w:hAnsi="Times New Roman" w:cs="Times New Roman"/>
                <w:color w:val="auto"/>
                <w:lang w:val="en-US" w:eastAsia="zh-CN"/>
              </w:rPr>
              <w:t>窑尾排气筒颗粒物、SO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、NOx排放浓度满足《建材工业大气污染物排放标准》（DB37/2373-2018）表2一般控制区标准限值。</w:t>
            </w:r>
          </w:p>
          <w:p w14:paraId="40FB4030">
            <w:pPr>
              <w:pStyle w:val="4"/>
              <w:numPr>
                <w:ilvl w:val="0"/>
                <w:numId w:val="0"/>
              </w:numPr>
              <w:bidi w:val="0"/>
              <w:ind w:leftChars="0" w:firstLine="480" w:firstLineChars="200"/>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lang w:val="en-US" w:eastAsia="zh-CN"/>
              </w:rPr>
              <w:t>根据济宁海螺水泥有限责任公司</w:t>
            </w:r>
            <w:r>
              <w:rPr>
                <w:rFonts w:hint="eastAsia" w:eastAsia="宋体" w:cs="Times New Roman"/>
                <w:color w:val="auto"/>
                <w:lang w:val="en-US" w:eastAsia="zh-CN"/>
              </w:rPr>
              <w:t>2025年</w:t>
            </w:r>
            <w:r>
              <w:rPr>
                <w:rFonts w:hint="default" w:ascii="Times New Roman" w:hAnsi="Times New Roman" w:eastAsia="宋体" w:cs="Times New Roman"/>
                <w:color w:val="auto"/>
                <w:lang w:val="en-US" w:eastAsia="zh-CN"/>
              </w:rPr>
              <w:t>自行监测报告（报告编号：济瑞检字(2025)HJ第10270</w:t>
            </w:r>
            <w:r>
              <w:rPr>
                <w:rFonts w:hint="eastAsia" w:eastAsia="宋体" w:cs="Times New Roman"/>
                <w:color w:val="auto"/>
                <w:lang w:val="en-US" w:eastAsia="zh-CN"/>
              </w:rPr>
              <w:t>1</w:t>
            </w:r>
            <w:r>
              <w:rPr>
                <w:rFonts w:hint="default" w:ascii="Times New Roman" w:hAnsi="Times New Roman" w:eastAsia="宋体" w:cs="Times New Roman"/>
                <w:color w:val="auto"/>
                <w:lang w:val="en-US" w:eastAsia="zh-CN"/>
              </w:rPr>
              <w:t>号</w:t>
            </w:r>
            <w:r>
              <w:rPr>
                <w:rFonts w:hint="eastAsia" w:eastAsia="宋体" w:cs="Times New Roman"/>
                <w:color w:val="auto"/>
                <w:lang w:val="en-US" w:eastAsia="zh-CN"/>
              </w:rPr>
              <w:t>、济瑞检字(2025)Ⅲ第102403号、贝塔[检]字HJ251003040、QDYM2504241401C</w:t>
            </w:r>
            <w:r>
              <w:rPr>
                <w:rFonts w:hint="default" w:ascii="Times New Roman" w:hAnsi="Times New Roman" w:eastAsia="宋体" w:cs="Times New Roman"/>
                <w:color w:val="auto"/>
                <w:lang w:val="en-US" w:eastAsia="zh-CN"/>
              </w:rPr>
              <w:t>），2025年5月10日监测期间，窑尾排气筒DA027</w:t>
            </w:r>
            <w:r>
              <w:rPr>
                <w:rFonts w:hint="eastAsia" w:eastAsia="宋体" w:cs="Times New Roman"/>
                <w:color w:val="auto"/>
                <w:lang w:val="en-US" w:eastAsia="zh-CN"/>
              </w:rPr>
              <w:t>氟化氢排放浓度最大值为</w:t>
            </w:r>
            <w:r>
              <w:rPr>
                <w:rFonts w:hint="eastAsia" w:cs="Times New Roman"/>
                <w:color w:val="auto"/>
                <w:vertAlign w:val="baseline"/>
                <w:lang w:val="en-US" w:eastAsia="zh-CN"/>
              </w:rPr>
              <w:t>0.18</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、氯化氢排放浓度最大值为</w:t>
            </w:r>
            <w:r>
              <w:rPr>
                <w:rFonts w:hint="eastAsia" w:cs="Times New Roman"/>
                <w:color w:val="auto"/>
                <w:vertAlign w:val="baseline"/>
                <w:lang w:val="en-US" w:eastAsia="zh-CN"/>
              </w:rPr>
              <w:t>2.23</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、总有机碳排放浓度最大值为</w:t>
            </w:r>
            <w:r>
              <w:rPr>
                <w:rFonts w:hint="eastAsia" w:cs="Times New Roman"/>
                <w:color w:val="auto"/>
                <w:vertAlign w:val="baseline"/>
                <w:lang w:val="en-US" w:eastAsia="zh-CN"/>
              </w:rPr>
              <w:t>4.52</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、氨排放浓度最大值为</w:t>
            </w:r>
            <w:r>
              <w:rPr>
                <w:rFonts w:hint="eastAsia" w:cs="Times New Roman"/>
                <w:color w:val="auto"/>
                <w:vertAlign w:val="baseline"/>
                <w:lang w:val="en-US" w:eastAsia="zh-CN"/>
              </w:rPr>
              <w:t>1.11</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、汞及其化合物排放浓度未检出（检出限</w:t>
            </w:r>
            <w:r>
              <w:rPr>
                <w:rFonts w:hint="eastAsia" w:cs="Times New Roman"/>
                <w:color w:val="auto"/>
                <w:vertAlign w:val="baseline"/>
                <w:lang w:val="en-US" w:eastAsia="zh-CN"/>
              </w:rPr>
              <w:t>0.0025</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）、铊、镉、铅、砷及其化合物排放浓度最大值为</w:t>
            </w:r>
            <w:r>
              <w:rPr>
                <w:rFonts w:hint="eastAsia" w:cs="Times New Roman"/>
                <w:color w:val="auto"/>
                <w:vertAlign w:val="baseline"/>
                <w:lang w:val="en-US" w:eastAsia="zh-CN"/>
              </w:rPr>
              <w:t>0.00595</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、铍、铬、锡、锑、铜、钴、锰、镍、钒及其化合物</w:t>
            </w:r>
            <w:r>
              <w:rPr>
                <w:rFonts w:hint="default" w:ascii="Times New Roman" w:hAnsi="Times New Roman" w:eastAsia="宋体" w:cs="Times New Roman"/>
                <w:color w:val="auto"/>
                <w:lang w:val="en-US" w:eastAsia="zh-CN"/>
              </w:rPr>
              <w:t>排放浓度</w:t>
            </w:r>
            <w:r>
              <w:rPr>
                <w:rFonts w:hint="eastAsia" w:eastAsia="宋体" w:cs="Times New Roman"/>
                <w:color w:val="auto"/>
                <w:lang w:val="en-US" w:eastAsia="zh-CN"/>
              </w:rPr>
              <w:t>最大值为</w:t>
            </w:r>
            <w:r>
              <w:rPr>
                <w:rFonts w:hint="eastAsia" w:cs="Times New Roman"/>
                <w:color w:val="auto"/>
                <w:vertAlign w:val="baseline"/>
                <w:lang w:val="en-US" w:eastAsia="zh-CN"/>
              </w:rPr>
              <w:t>0.02785</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lang w:val="en-US" w:eastAsia="zh-CN"/>
              </w:rPr>
              <w:t>、</w:t>
            </w:r>
            <w:r>
              <w:rPr>
                <w:rFonts w:hint="default" w:ascii="Times New Roman" w:hAnsi="Times New Roman" w:eastAsia="宋体" w:cs="Times New Roman"/>
                <w:color w:val="auto"/>
                <w:lang w:val="en-US" w:eastAsia="zh-CN"/>
              </w:rPr>
              <w:t>二噁英排放浓度</w:t>
            </w:r>
            <w:r>
              <w:rPr>
                <w:rFonts w:hint="eastAsia" w:eastAsia="宋体" w:cs="Times New Roman"/>
                <w:color w:val="auto"/>
                <w:lang w:val="en-US" w:eastAsia="zh-CN"/>
              </w:rPr>
              <w:t>最大值为</w:t>
            </w:r>
            <w:r>
              <w:rPr>
                <w:rFonts w:hint="default" w:ascii="Times New Roman" w:hAnsi="Times New Roman" w:eastAsia="宋体" w:cs="Times New Roman"/>
                <w:color w:val="auto"/>
                <w:lang w:val="en-US" w:eastAsia="zh-CN"/>
              </w:rPr>
              <w:t>0.00</w:t>
            </w:r>
            <w:r>
              <w:rPr>
                <w:rFonts w:hint="eastAsia" w:eastAsia="宋体" w:cs="Times New Roman"/>
                <w:color w:val="auto"/>
                <w:lang w:val="en-US" w:eastAsia="zh-CN"/>
              </w:rPr>
              <w:t>45</w:t>
            </w:r>
            <w:r>
              <w:rPr>
                <w:rFonts w:hint="default" w:ascii="Times New Roman" w:hAnsi="Times New Roman" w:eastAsia="Times New Roman" w:cs="Times New Roman"/>
                <w:color w:val="auto"/>
                <w:szCs w:val="21"/>
              </w:rPr>
              <w:t>ngTEQ/m</w:t>
            </w:r>
            <w:r>
              <w:rPr>
                <w:rFonts w:hint="default" w:ascii="Times New Roman" w:hAnsi="Times New Roman" w:eastAsia="Times New Roman" w:cs="Times New Roman"/>
                <w:color w:val="auto"/>
                <w:szCs w:val="21"/>
                <w:vertAlign w:val="superscript"/>
              </w:rPr>
              <w:t>3</w:t>
            </w:r>
            <w:r>
              <w:rPr>
                <w:rFonts w:hint="default" w:ascii="Times New Roman" w:hAnsi="Times New Roman" w:eastAsia="宋体" w:cs="Times New Roman"/>
                <w:color w:val="auto"/>
                <w:szCs w:val="21"/>
                <w:vertAlign w:val="baseline"/>
                <w:lang w:eastAsia="zh-CN"/>
              </w:rPr>
              <w:t>，</w:t>
            </w:r>
            <w:r>
              <w:rPr>
                <w:rFonts w:hint="default" w:ascii="Times New Roman" w:hAnsi="Times New Roman" w:eastAsia="宋体" w:cs="Times New Roman"/>
                <w:color w:val="auto"/>
                <w:szCs w:val="21"/>
                <w:vertAlign w:val="baseline"/>
                <w:lang w:val="en-US" w:eastAsia="zh-CN"/>
              </w:rPr>
              <w:t>满足《水泥窑协同处置固体废物污染物控制标准》（GB30485-2013）</w:t>
            </w:r>
            <w:r>
              <w:rPr>
                <w:rFonts w:hint="eastAsia" w:eastAsia="宋体" w:cs="Times New Roman"/>
                <w:color w:val="auto"/>
                <w:szCs w:val="21"/>
                <w:vertAlign w:val="baseline"/>
                <w:lang w:val="en-US" w:eastAsia="zh-CN"/>
              </w:rPr>
              <w:t>限值（</w:t>
            </w:r>
            <w:r>
              <w:rPr>
                <w:rFonts w:hint="default" w:ascii="Times New Roman" w:hAnsi="Times New Roman" w:eastAsia="宋体" w:cs="Times New Roman"/>
                <w:color w:val="auto"/>
                <w:lang w:val="en-US" w:eastAsia="zh-CN"/>
              </w:rPr>
              <w:t>二噁英</w:t>
            </w:r>
            <w:r>
              <w:rPr>
                <w:rFonts w:hint="eastAsia" w:eastAsia="宋体" w:cs="Times New Roman"/>
                <w:color w:val="auto"/>
                <w:lang w:val="en-US" w:eastAsia="zh-CN"/>
              </w:rPr>
              <w:t>≤0.1</w:t>
            </w:r>
            <w:r>
              <w:rPr>
                <w:rFonts w:hint="default" w:ascii="Times New Roman" w:hAnsi="Times New Roman" w:eastAsia="Times New Roman" w:cs="Times New Roman"/>
                <w:color w:val="auto"/>
                <w:szCs w:val="21"/>
              </w:rPr>
              <w:t>ngTEQ/m</w:t>
            </w:r>
            <w:r>
              <w:rPr>
                <w:rFonts w:hint="default" w:ascii="Times New Roman" w:hAnsi="Times New Roman" w:eastAsia="Times New Roman" w:cs="Times New Roman"/>
                <w:color w:val="auto"/>
                <w:szCs w:val="21"/>
                <w:vertAlign w:val="superscript"/>
              </w:rPr>
              <w:t>3</w:t>
            </w:r>
            <w:r>
              <w:rPr>
                <w:rFonts w:hint="eastAsia" w:eastAsia="宋体" w:cs="Times New Roman"/>
                <w:color w:val="auto"/>
                <w:szCs w:val="21"/>
                <w:vertAlign w:val="baseline"/>
                <w:lang w:eastAsia="zh-CN"/>
              </w:rPr>
              <w:t>、</w:t>
            </w:r>
            <w:r>
              <w:rPr>
                <w:rFonts w:hint="eastAsia" w:eastAsia="宋体" w:cs="Times New Roman"/>
                <w:color w:val="auto"/>
                <w:szCs w:val="21"/>
                <w:vertAlign w:val="baseline"/>
                <w:lang w:val="en-US" w:eastAsia="zh-CN"/>
              </w:rPr>
              <w:t>总有机碳</w:t>
            </w:r>
            <w:r>
              <w:rPr>
                <w:rFonts w:hint="eastAsia" w:eastAsia="宋体" w:cs="Times New Roman"/>
                <w:color w:val="auto"/>
                <w:lang w:val="en-US" w:eastAsia="zh-CN"/>
              </w:rPr>
              <w:t>≤10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eastAsia="zh-CN"/>
              </w:rPr>
              <w:t>、</w:t>
            </w:r>
            <w:r>
              <w:rPr>
                <w:rFonts w:hint="eastAsia" w:eastAsia="宋体" w:cs="Times New Roman"/>
                <w:color w:val="auto"/>
                <w:szCs w:val="21"/>
                <w:vertAlign w:val="baseline"/>
                <w:lang w:val="en-US" w:eastAsia="zh-CN"/>
              </w:rPr>
              <w:t>氟化氢</w:t>
            </w:r>
            <w:r>
              <w:rPr>
                <w:rFonts w:hint="eastAsia" w:eastAsia="宋体" w:cs="Times New Roman"/>
                <w:color w:val="auto"/>
                <w:lang w:val="en-US" w:eastAsia="zh-CN"/>
              </w:rPr>
              <w:t>≤1</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eastAsia="zh-CN"/>
              </w:rPr>
              <w:t>、</w:t>
            </w:r>
            <w:r>
              <w:rPr>
                <w:rFonts w:hint="eastAsia" w:eastAsia="宋体" w:cs="Times New Roman"/>
                <w:color w:val="auto"/>
                <w:szCs w:val="21"/>
                <w:vertAlign w:val="baseline"/>
                <w:lang w:val="en-US" w:eastAsia="zh-CN"/>
              </w:rPr>
              <w:t>氯化氢</w:t>
            </w:r>
            <w:r>
              <w:rPr>
                <w:rFonts w:hint="eastAsia" w:eastAsia="宋体" w:cs="Times New Roman"/>
                <w:color w:val="auto"/>
                <w:lang w:val="en-US" w:eastAsia="zh-CN"/>
              </w:rPr>
              <w:t>≤10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eastAsia="zh-CN"/>
              </w:rPr>
              <w:t>、</w:t>
            </w:r>
            <w:r>
              <w:rPr>
                <w:rFonts w:hint="eastAsia" w:eastAsia="宋体" w:cs="Times New Roman"/>
                <w:color w:val="auto"/>
                <w:lang w:val="en-US" w:eastAsia="zh-CN"/>
              </w:rPr>
              <w:t>铊、镉、铅、砷及其化合物≤1.0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eastAsia="zh-CN"/>
              </w:rPr>
              <w:t>、</w:t>
            </w:r>
            <w:r>
              <w:rPr>
                <w:rFonts w:hint="eastAsia" w:eastAsia="宋体" w:cs="Times New Roman"/>
                <w:color w:val="auto"/>
                <w:lang w:val="en-US" w:eastAsia="zh-CN"/>
              </w:rPr>
              <w:t>铍、铬、锡、锑、铜、钴、锰、镍、钒及其化合物≤0.5</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val="en-US" w:eastAsia="zh-CN"/>
              </w:rPr>
              <w:t>）、《建材工业大气污染物排放标准》（DB37/2373-2018）表2一般控制区标准限值（氨</w:t>
            </w:r>
            <w:r>
              <w:rPr>
                <w:rFonts w:hint="eastAsia" w:eastAsia="宋体" w:cs="Times New Roman"/>
                <w:color w:val="auto"/>
                <w:lang w:val="en-US" w:eastAsia="zh-CN"/>
              </w:rPr>
              <w:t>≤8</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eastAsia="zh-CN"/>
              </w:rPr>
              <w:t>、</w:t>
            </w:r>
            <w:r>
              <w:rPr>
                <w:rFonts w:hint="eastAsia" w:eastAsia="宋体" w:cs="Times New Roman"/>
                <w:color w:val="auto"/>
                <w:szCs w:val="21"/>
                <w:vertAlign w:val="baseline"/>
                <w:lang w:val="en-US" w:eastAsia="zh-CN"/>
              </w:rPr>
              <w:t>汞及其化合物</w:t>
            </w:r>
            <w:r>
              <w:rPr>
                <w:rFonts w:hint="eastAsia" w:eastAsia="宋体" w:cs="Times New Roman"/>
                <w:color w:val="auto"/>
                <w:lang w:val="en-US" w:eastAsia="zh-CN"/>
              </w:rPr>
              <w:t>≤0.05</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eastAsia="宋体" w:cs="Times New Roman"/>
                <w:color w:val="auto"/>
                <w:szCs w:val="21"/>
                <w:vertAlign w:val="baseline"/>
                <w:lang w:val="en-US" w:eastAsia="zh-CN"/>
              </w:rPr>
              <w:t>）</w:t>
            </w:r>
            <w:r>
              <w:rPr>
                <w:rFonts w:hint="default" w:ascii="Times New Roman" w:hAnsi="Times New Roman" w:eastAsia="宋体" w:cs="Times New Roman"/>
                <w:color w:val="auto"/>
                <w:szCs w:val="21"/>
                <w:vertAlign w:val="baseline"/>
                <w:lang w:val="en-US" w:eastAsia="zh-CN"/>
              </w:rPr>
              <w:t>。</w:t>
            </w:r>
          </w:p>
          <w:p w14:paraId="16BD1009">
            <w:pPr>
              <w:bidi w:val="0"/>
              <w:ind w:firstLine="480" w:firstLineChars="200"/>
              <w:rPr>
                <w:rFonts w:hint="default" w:ascii="Times New Roman" w:hAnsi="Times New Roman" w:eastAsia="宋体" w:cs="Times New Roman"/>
                <w:color w:val="auto"/>
                <w:lang w:val="en-US" w:eastAsia="zh-CN"/>
              </w:rPr>
            </w:pPr>
            <w:r>
              <w:rPr>
                <w:rFonts w:hint="eastAsia" w:cs="Times New Roman"/>
                <w:color w:val="auto"/>
                <w:lang w:val="en-US" w:eastAsia="zh-CN"/>
              </w:rPr>
              <w:t>根据济宁海螺水泥有限责任公司自行</w:t>
            </w:r>
            <w:r>
              <w:rPr>
                <w:rFonts w:hint="default" w:ascii="Times New Roman" w:hAnsi="Times New Roman" w:eastAsia="宋体" w:cs="Times New Roman"/>
                <w:color w:val="auto"/>
                <w:lang w:val="en-US" w:eastAsia="zh-CN"/>
              </w:rPr>
              <w:t>监测报告（报告编号：济瑞检字(2025)HJ第051002号），</w:t>
            </w:r>
            <w:r>
              <w:rPr>
                <w:rFonts w:hint="eastAsia" w:cs="Times New Roman"/>
                <w:color w:val="000000"/>
                <w:sz w:val="24"/>
                <w:szCs w:val="24"/>
                <w:highlight w:val="none"/>
                <w:lang w:val="en-US" w:eastAsia="zh-CN"/>
              </w:rPr>
              <w:t>2025年5月10日监测期间，辅材堆棚煤矸石地坑收尘排放口DA091颗粒物排放浓度最大值为</w:t>
            </w:r>
            <w:r>
              <w:rPr>
                <w:rFonts w:hint="eastAsia" w:cs="Times New Roman"/>
                <w:color w:val="auto"/>
                <w:vertAlign w:val="baseline"/>
                <w:lang w:val="en-US" w:eastAsia="zh-CN"/>
              </w:rPr>
              <w:t>6.2</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eastAsia="宋体" w:cs="Times New Roman"/>
                <w:color w:val="auto"/>
                <w:szCs w:val="21"/>
                <w:vertAlign w:val="baseline"/>
                <w:lang w:eastAsia="zh-CN"/>
              </w:rPr>
              <w:t>，</w:t>
            </w:r>
            <w:r>
              <w:rPr>
                <w:rFonts w:hint="eastAsia" w:ascii="Times New Roman" w:hAnsi="Times New Roman" w:cs="Times New Roman"/>
                <w:color w:val="auto"/>
                <w:szCs w:val="21"/>
                <w:vertAlign w:val="baseline"/>
                <w:lang w:val="en-US" w:eastAsia="zh-CN"/>
              </w:rPr>
              <w:t>满足《水泥工业大气污染物排放标准》（GB4915-2013）表2标准限值</w:t>
            </w:r>
            <w:r>
              <w:rPr>
                <w:rFonts w:hint="eastAsia" w:cs="Times New Roman"/>
                <w:color w:val="auto"/>
                <w:szCs w:val="21"/>
                <w:vertAlign w:val="baseline"/>
                <w:lang w:val="en-US" w:eastAsia="zh-CN"/>
              </w:rPr>
              <w:t>（10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szCs w:val="21"/>
                <w:vertAlign w:val="baseline"/>
                <w:lang w:val="en-US" w:eastAsia="zh-CN"/>
              </w:rPr>
              <w:t>）。</w:t>
            </w:r>
          </w:p>
          <w:p w14:paraId="00929876">
            <w:pPr>
              <w:bidi w:val="0"/>
              <w:ind w:firstLine="480" w:firstLineChars="200"/>
              <w:rPr>
                <w:rFonts w:hint="eastAsia" w:cs="Times New Roman"/>
                <w:color w:val="auto"/>
                <w:lang w:val="en-US" w:eastAsia="zh-CN"/>
              </w:rPr>
            </w:pPr>
            <w:r>
              <w:rPr>
                <w:rFonts w:hint="eastAsia" w:cs="Times New Roman"/>
                <w:color w:val="auto"/>
                <w:lang w:val="en-US" w:eastAsia="zh-CN"/>
              </w:rPr>
              <w:t>根据济宁海螺水泥有限责任公司自行</w:t>
            </w:r>
            <w:r>
              <w:rPr>
                <w:rFonts w:hint="default" w:ascii="Times New Roman" w:hAnsi="Times New Roman" w:eastAsia="宋体" w:cs="Times New Roman"/>
                <w:color w:val="auto"/>
                <w:lang w:val="en-US" w:eastAsia="zh-CN"/>
              </w:rPr>
              <w:t>监测报告（报告编号：济瑞检字(2025)HJ第022702号），</w:t>
            </w:r>
            <w:r>
              <w:rPr>
                <w:rFonts w:hint="eastAsia" w:cs="Times New Roman"/>
                <w:color w:val="000000"/>
                <w:sz w:val="24"/>
                <w:szCs w:val="24"/>
                <w:highlight w:val="none"/>
                <w:lang w:val="en-US" w:eastAsia="zh-CN"/>
              </w:rPr>
              <w:t>2025年2月27日监测期间，联合储库物料装卸粉尘各除尘器排气筒DA131、DA133、DA134、DA135颗粒物排放浓度最大值分别为4.9</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vertAlign w:val="baseline"/>
                <w:lang w:val="en-US" w:eastAsia="zh-CN"/>
              </w:rPr>
              <w:t>、3.8</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vertAlign w:val="baseline"/>
                <w:lang w:val="en-US" w:eastAsia="zh-CN"/>
              </w:rPr>
              <w:t>、5.0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vertAlign w:val="baseline"/>
                <w:lang w:val="en-US" w:eastAsia="zh-CN"/>
              </w:rPr>
              <w:t>、5.5</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eastAsia="宋体" w:cs="Times New Roman"/>
                <w:color w:val="auto"/>
                <w:szCs w:val="21"/>
                <w:vertAlign w:val="baseline"/>
                <w:lang w:eastAsia="zh-CN"/>
              </w:rPr>
              <w:t>，</w:t>
            </w:r>
            <w:r>
              <w:rPr>
                <w:rFonts w:hint="eastAsia" w:ascii="Times New Roman" w:hAnsi="Times New Roman" w:cs="Times New Roman"/>
                <w:color w:val="auto"/>
                <w:szCs w:val="21"/>
                <w:vertAlign w:val="baseline"/>
                <w:lang w:val="en-US" w:eastAsia="zh-CN"/>
              </w:rPr>
              <w:t>满足《水泥工业大气污染物排放标准》（GB4915-2013）表2标准限值</w:t>
            </w:r>
            <w:r>
              <w:rPr>
                <w:rFonts w:hint="eastAsia" w:cs="Times New Roman"/>
                <w:color w:val="auto"/>
                <w:szCs w:val="21"/>
                <w:vertAlign w:val="baseline"/>
                <w:lang w:val="en-US" w:eastAsia="zh-CN"/>
              </w:rPr>
              <w:t>（10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szCs w:val="21"/>
                <w:vertAlign w:val="baseline"/>
                <w:lang w:val="en-US" w:eastAsia="zh-CN"/>
              </w:rPr>
              <w:t>）。</w:t>
            </w:r>
          </w:p>
          <w:p w14:paraId="2A8B0927">
            <w:pPr>
              <w:bidi w:val="0"/>
              <w:ind w:firstLine="480" w:firstLineChars="200"/>
              <w:rPr>
                <w:rFonts w:hint="eastAsia" w:cs="Times New Roman"/>
                <w:color w:val="auto"/>
                <w:lang w:val="en-US" w:eastAsia="zh-CN"/>
              </w:rPr>
            </w:pPr>
            <w:r>
              <w:rPr>
                <w:rFonts w:hint="eastAsia" w:cs="Times New Roman"/>
                <w:color w:val="auto"/>
                <w:lang w:val="en-US" w:eastAsia="zh-CN"/>
              </w:rPr>
              <w:t>根据济宁海螺水泥有限责任公司自行</w:t>
            </w:r>
            <w:r>
              <w:rPr>
                <w:rFonts w:hint="default" w:ascii="Times New Roman" w:hAnsi="Times New Roman" w:eastAsia="宋体" w:cs="Times New Roman"/>
                <w:color w:val="auto"/>
                <w:lang w:val="en-US" w:eastAsia="zh-CN"/>
              </w:rPr>
              <w:t>监测报告（报告编号：济瑞检字(2025)HJ第070303号），</w:t>
            </w:r>
            <w:r>
              <w:rPr>
                <w:rFonts w:hint="eastAsia" w:cs="Times New Roman"/>
                <w:color w:val="000000"/>
                <w:sz w:val="24"/>
                <w:szCs w:val="24"/>
                <w:highlight w:val="none"/>
                <w:lang w:val="en-US" w:eastAsia="zh-CN"/>
              </w:rPr>
              <w:t>2025年7月3日监测期间，粉煤仓收尘器排气筒DA196颗粒物排放浓度最大值为4.7</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eastAsia="宋体" w:cs="Times New Roman"/>
                <w:color w:val="auto"/>
                <w:szCs w:val="21"/>
                <w:vertAlign w:val="baseline"/>
                <w:lang w:eastAsia="zh-CN"/>
              </w:rPr>
              <w:t>，</w:t>
            </w:r>
            <w:r>
              <w:rPr>
                <w:rFonts w:hint="eastAsia" w:ascii="Times New Roman" w:hAnsi="Times New Roman" w:cs="Times New Roman"/>
                <w:color w:val="auto"/>
                <w:szCs w:val="21"/>
                <w:vertAlign w:val="baseline"/>
                <w:lang w:val="en-US" w:eastAsia="zh-CN"/>
              </w:rPr>
              <w:t>满足《水泥工业大气污染物排放标准》（GB4915-2013）表2标准限值</w:t>
            </w:r>
            <w:r>
              <w:rPr>
                <w:rFonts w:hint="eastAsia" w:cs="Times New Roman"/>
                <w:color w:val="auto"/>
                <w:szCs w:val="21"/>
                <w:vertAlign w:val="baseline"/>
                <w:lang w:val="en-US" w:eastAsia="zh-CN"/>
              </w:rPr>
              <w:t>（10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szCs w:val="21"/>
                <w:vertAlign w:val="baseline"/>
                <w:lang w:val="en-US" w:eastAsia="zh-CN"/>
              </w:rPr>
              <w:t>）。</w:t>
            </w:r>
          </w:p>
          <w:p w14:paraId="43C9CD6B">
            <w:pPr>
              <w:bidi w:val="0"/>
              <w:ind w:firstLine="480" w:firstLineChars="200"/>
              <w:rPr>
                <w:rFonts w:hint="default" w:ascii="Times New Roman" w:hAnsi="Times New Roman" w:eastAsia="宋体" w:cs="Times New Roman"/>
                <w:color w:val="auto"/>
                <w:lang w:val="en-US" w:eastAsia="zh-CN"/>
              </w:rPr>
            </w:pPr>
            <w:r>
              <w:rPr>
                <w:rFonts w:hint="eastAsia" w:cs="Times New Roman"/>
                <w:color w:val="auto"/>
                <w:lang w:val="en-US" w:eastAsia="zh-CN"/>
              </w:rPr>
              <w:t>根据</w:t>
            </w:r>
            <w:r>
              <w:rPr>
                <w:rFonts w:hint="eastAsia" w:cs="Times New Roman"/>
                <w:color w:val="000000"/>
                <w:sz w:val="24"/>
                <w:szCs w:val="24"/>
                <w:highlight w:val="none"/>
                <w:lang w:val="en-US" w:eastAsia="zh-CN"/>
              </w:rPr>
              <w:t>济宁海螺环保科技有限责任公司《济宁海螺环保替代燃料技改项目竣工环境保护验收监测报告表》，2025年3月7日、8日监测期间，固废暂存间II排气筒DA003颗粒物排放浓度最大值为</w:t>
            </w:r>
            <w:r>
              <w:rPr>
                <w:rFonts w:hint="eastAsia" w:ascii="Times New Roman" w:hAnsi="Times New Roman" w:cs="Times New Roman"/>
                <w:color w:val="auto"/>
                <w:vertAlign w:val="baseline"/>
                <w:lang w:val="en-US" w:eastAsia="zh-CN"/>
              </w:rPr>
              <w:t>3.2</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eastAsia="宋体" w:cs="Times New Roman"/>
                <w:color w:val="auto"/>
                <w:szCs w:val="21"/>
                <w:vertAlign w:val="baseline"/>
                <w:lang w:eastAsia="zh-CN"/>
              </w:rPr>
              <w:t>，</w:t>
            </w:r>
            <w:r>
              <w:rPr>
                <w:rFonts w:hint="eastAsia" w:ascii="Times New Roman" w:hAnsi="Times New Roman" w:cs="Times New Roman"/>
                <w:color w:val="auto"/>
                <w:szCs w:val="21"/>
                <w:vertAlign w:val="baseline"/>
                <w:lang w:val="en-US" w:eastAsia="zh-CN"/>
              </w:rPr>
              <w:t>满足《水泥工业大气污染物排放标准》（GB4915-2013）表2标准限值</w:t>
            </w:r>
            <w:r>
              <w:rPr>
                <w:rFonts w:hint="eastAsia" w:cs="Times New Roman"/>
                <w:color w:val="auto"/>
                <w:szCs w:val="21"/>
                <w:vertAlign w:val="baseline"/>
                <w:lang w:val="en-US" w:eastAsia="zh-CN"/>
              </w:rPr>
              <w:t>（10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eastAsia" w:cs="Times New Roman"/>
                <w:color w:val="auto"/>
                <w:szCs w:val="21"/>
                <w:vertAlign w:val="baseline"/>
                <w:lang w:val="en-US" w:eastAsia="zh-CN"/>
              </w:rPr>
              <w:t>）</w:t>
            </w:r>
            <w:r>
              <w:rPr>
                <w:rFonts w:hint="eastAsia" w:ascii="Times New Roman" w:hAnsi="Times New Roman" w:cs="Times New Roman"/>
                <w:color w:val="auto"/>
                <w:szCs w:val="21"/>
                <w:vertAlign w:val="baseline"/>
                <w:lang w:val="en-US" w:eastAsia="zh-CN"/>
              </w:rPr>
              <w:t>。</w:t>
            </w:r>
          </w:p>
          <w:p w14:paraId="29FA3F34">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（2）无组织废气</w:t>
            </w:r>
          </w:p>
          <w:p w14:paraId="78F7E169">
            <w:pPr>
              <w:kinsoku w:val="0"/>
              <w:autoSpaceDE w:val="0"/>
              <w:autoSpaceDN w:val="0"/>
              <w:adjustRightInd w:val="0"/>
              <w:snapToGrid w:val="0"/>
              <w:ind w:firstLine="480" w:firstLineChars="200"/>
              <w:jc w:val="both"/>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根据</w:t>
            </w:r>
            <w:r>
              <w:rPr>
                <w:rFonts w:hint="eastAsia" w:cs="Times New Roman"/>
                <w:color w:val="auto"/>
                <w:lang w:val="en-US" w:eastAsia="zh-CN"/>
              </w:rPr>
              <w:t>济宁海螺水泥有限责任公司</w:t>
            </w:r>
            <w:r>
              <w:rPr>
                <w:rFonts w:hint="default" w:ascii="Times New Roman" w:hAnsi="Times New Roman" w:eastAsia="宋体" w:cs="Times New Roman"/>
                <w:color w:val="auto"/>
                <w:lang w:val="en-US" w:eastAsia="zh-CN"/>
              </w:rPr>
              <w:t>2024</w:t>
            </w:r>
            <w:r>
              <w:rPr>
                <w:rFonts w:hint="eastAsia" w:cs="Times New Roman"/>
                <w:color w:val="auto"/>
                <w:lang w:val="en-US" w:eastAsia="zh-CN"/>
              </w:rPr>
              <w:t>5</w:t>
            </w:r>
            <w:r>
              <w:rPr>
                <w:rFonts w:hint="default" w:ascii="Times New Roman" w:hAnsi="Times New Roman" w:eastAsia="宋体" w:cs="Times New Roman"/>
                <w:color w:val="auto"/>
                <w:lang w:val="en-US" w:eastAsia="zh-CN"/>
              </w:rPr>
              <w:t>年</w:t>
            </w:r>
            <w:r>
              <w:rPr>
                <w:rFonts w:hint="eastAsia" w:cs="Times New Roman"/>
                <w:color w:val="auto"/>
                <w:lang w:val="en-US" w:eastAsia="zh-CN"/>
              </w:rPr>
              <w:t>10</w:t>
            </w:r>
            <w:r>
              <w:rPr>
                <w:rFonts w:hint="default" w:ascii="Times New Roman" w:hAnsi="Times New Roman" w:eastAsia="宋体" w:cs="Times New Roman"/>
                <w:color w:val="auto"/>
                <w:lang w:val="en-US" w:eastAsia="zh-CN"/>
              </w:rPr>
              <w:t>月</w:t>
            </w:r>
            <w:r>
              <w:rPr>
                <w:rFonts w:hint="eastAsia" w:cs="Times New Roman"/>
                <w:color w:val="auto"/>
                <w:lang w:val="en-US" w:eastAsia="zh-CN"/>
              </w:rPr>
              <w:t>31</w:t>
            </w:r>
            <w:r>
              <w:rPr>
                <w:rFonts w:hint="default" w:ascii="Times New Roman" w:hAnsi="Times New Roman" w:eastAsia="宋体" w:cs="Times New Roman"/>
                <w:color w:val="auto"/>
                <w:lang w:val="en-US" w:eastAsia="zh-CN"/>
              </w:rPr>
              <w:t>日例行监测报告（报告编号：济瑞检字(2025)HJ第10270</w:t>
            </w:r>
            <w:r>
              <w:rPr>
                <w:rFonts w:hint="eastAsia" w:eastAsia="宋体" w:cs="Times New Roman"/>
                <w:color w:val="auto"/>
                <w:lang w:val="en-US" w:eastAsia="zh-CN"/>
              </w:rPr>
              <w:t>1</w:t>
            </w:r>
            <w:r>
              <w:rPr>
                <w:rFonts w:hint="default" w:ascii="Times New Roman" w:hAnsi="Times New Roman" w:eastAsia="宋体" w:cs="Times New Roman"/>
                <w:color w:val="auto"/>
                <w:lang w:val="en-US" w:eastAsia="zh-CN"/>
              </w:rPr>
              <w:t>号），</w:t>
            </w:r>
            <w:r>
              <w:rPr>
                <w:rFonts w:hint="default" w:ascii="Times New Roman" w:hAnsi="Times New Roman" w:cs="Times New Roman"/>
                <w:color w:val="auto"/>
                <w:lang w:val="en-US" w:eastAsia="zh-CN"/>
              </w:rPr>
              <w:t>企业无组织排放监控点颗粒物最大排放浓度为0.28</w:t>
            </w:r>
            <w:r>
              <w:rPr>
                <w:rFonts w:hint="eastAsia" w:cs="Times New Roman"/>
                <w:color w:val="auto"/>
                <w:lang w:val="en-US" w:eastAsia="zh-CN"/>
              </w:rPr>
              <w:t>1</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，氨最大排放浓度为0.0</w:t>
            </w:r>
            <w:r>
              <w:rPr>
                <w:rFonts w:hint="eastAsia" w:cs="Times New Roman"/>
                <w:color w:val="auto"/>
                <w:lang w:val="en-US" w:eastAsia="zh-CN"/>
              </w:rPr>
              <w:t>3</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，满足</w:t>
            </w:r>
            <w:r>
              <w:rPr>
                <w:rFonts w:hint="default" w:ascii="Times New Roman" w:hAnsi="Times New Roman" w:cs="Times New Roman"/>
                <w:color w:val="auto"/>
                <w:szCs w:val="21"/>
              </w:rPr>
              <w:t>《建材工业大气污染物排放标准》（</w:t>
            </w:r>
            <w:r>
              <w:rPr>
                <w:rFonts w:hint="default" w:ascii="Times New Roman" w:hAnsi="Times New Roman" w:eastAsia="Times New Roman" w:cs="Times New Roman"/>
                <w:color w:val="auto"/>
                <w:szCs w:val="21"/>
              </w:rPr>
              <w:t>DB37/2373-2018</w:t>
            </w:r>
            <w:r>
              <w:rPr>
                <w:rFonts w:hint="default" w:ascii="Times New Roman" w:hAnsi="Times New Roman" w:cs="Times New Roman"/>
                <w:color w:val="auto"/>
                <w:szCs w:val="21"/>
              </w:rPr>
              <w:t>）表</w:t>
            </w:r>
            <w:r>
              <w:rPr>
                <w:rFonts w:hint="default" w:ascii="Times New Roman" w:hAnsi="Times New Roman" w:eastAsia="Times New Roman" w:cs="Times New Roman"/>
                <w:color w:val="auto"/>
                <w:szCs w:val="21"/>
              </w:rPr>
              <w:t>3</w:t>
            </w:r>
            <w:r>
              <w:rPr>
                <w:rFonts w:hint="default" w:ascii="Times New Roman" w:hAnsi="Times New Roman" w:cs="Times New Roman"/>
                <w:color w:val="auto"/>
                <w:szCs w:val="21"/>
                <w:lang w:val="en-US" w:eastAsia="zh-CN"/>
              </w:rPr>
              <w:t>标准限值；</w:t>
            </w:r>
            <w:r>
              <w:rPr>
                <w:rFonts w:hint="default" w:ascii="Times New Roman" w:hAnsi="Times New Roman" w:cs="Times New Roman"/>
                <w:color w:val="auto"/>
                <w:lang w:val="en-US" w:eastAsia="zh-CN"/>
              </w:rPr>
              <w:t>硫化氢</w:t>
            </w:r>
            <w:r>
              <w:rPr>
                <w:rFonts w:hint="eastAsia" w:cs="Times New Roman"/>
                <w:color w:val="auto"/>
                <w:lang w:val="en-US" w:eastAsia="zh-CN"/>
              </w:rPr>
              <w:t>均为未检出</w:t>
            </w:r>
            <w:r>
              <w:rPr>
                <w:rFonts w:hint="default" w:ascii="Times New Roman" w:hAnsi="Times New Roman" w:cs="Times New Roman"/>
                <w:color w:val="auto"/>
                <w:lang w:val="en-US" w:eastAsia="zh-CN"/>
              </w:rPr>
              <w:t>，满足《恶臭污染物排放标准》（GB14554-93）表1中二级新扩改标准限值；非甲烷总烃最大排放浓度为0.5</w:t>
            </w:r>
            <w:r>
              <w:rPr>
                <w:rFonts w:hint="eastAsia" w:cs="Times New Roman"/>
                <w:color w:val="auto"/>
                <w:lang w:val="en-US" w:eastAsia="zh-CN"/>
              </w:rPr>
              <w:t>8</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，臭气浓度最大值为12（无量纲），满足《挥发性有机物排放标准</w:t>
            </w:r>
            <w:r>
              <w:rPr>
                <w:rFonts w:hint="eastAsia" w:cs="Times New Roman"/>
                <w:color w:val="auto"/>
                <w:lang w:val="en-US" w:eastAsia="zh-CN"/>
              </w:rPr>
              <w:t xml:space="preserve"> </w:t>
            </w:r>
            <w:r>
              <w:rPr>
                <w:rFonts w:hint="default" w:ascii="Times New Roman" w:hAnsi="Times New Roman" w:cs="Times New Roman"/>
                <w:color w:val="auto"/>
                <w:lang w:val="en-US" w:eastAsia="zh-CN"/>
              </w:rPr>
              <w:t>第7部分：其他行业》（DB37/2801.7-2019）表2限值。</w:t>
            </w:r>
          </w:p>
          <w:p w14:paraId="29812366">
            <w:pPr>
              <w:bidi w:val="0"/>
              <w:rPr>
                <w:rFonts w:hint="default" w:ascii="Times New Roman" w:hAnsi="Times New Roman" w:eastAsia="宋体" w:cs="Times New Roman"/>
                <w:b/>
                <w:bCs/>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eastAsia="宋体" w:cs="Times New Roman"/>
                <w:b/>
                <w:bCs/>
                <w:color w:val="auto"/>
                <w:lang w:val="en-US" w:eastAsia="zh-CN"/>
              </w:rPr>
              <w:t xml:space="preserve"> </w:t>
            </w:r>
            <w:r>
              <w:rPr>
                <w:rStyle w:val="52"/>
                <w:rFonts w:hint="default" w:ascii="Times New Roman" w:hAnsi="Times New Roman" w:eastAsia="宋体" w:cs="Times New Roman"/>
                <w:b/>
                <w:bCs/>
                <w:color w:val="auto"/>
                <w:lang w:val="en-US" w:eastAsia="zh-CN"/>
              </w:rPr>
              <w:t>2、废水</w:t>
            </w:r>
          </w:p>
          <w:p w14:paraId="4561D3DB">
            <w:pPr>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 xml:space="preserve">    厂区废水经地埋式污水处理设施处理后，出水水质符合《城市污水再生利用 城市杂用水水质》（GB/T18920-2020）中相应标准后，作为公司厂区绿化、道路洒水以及景观用水，厂区不能全部利用时，用洒水车运至石灰石矿区用作矿区道路洒水降尘，实现厂区废污水零排放。</w:t>
            </w:r>
          </w:p>
          <w:p w14:paraId="5B8B4D4A">
            <w:pPr>
              <w:pStyle w:val="4"/>
              <w:numPr>
                <w:ilvl w:val="0"/>
                <w:numId w:val="0"/>
              </w:numPr>
              <w:bidi w:val="0"/>
              <w:ind w:leftChars="0" w:firstLine="482" w:firstLineChars="200"/>
              <w:rPr>
                <w:rFonts w:hint="default" w:ascii="Times New Roman" w:hAnsi="Times New Roman" w:eastAsia="宋体" w:cs="Times New Roman"/>
                <w:b/>
                <w:bCs/>
                <w:color w:val="auto"/>
                <w:kern w:val="2"/>
                <w:sz w:val="24"/>
                <w:szCs w:val="21"/>
                <w:lang w:val="en-US" w:eastAsia="zh-CN" w:bidi="ar-SA"/>
              </w:rPr>
            </w:pPr>
            <w:r>
              <w:rPr>
                <w:rFonts w:hint="default" w:ascii="Times New Roman" w:hAnsi="Times New Roman" w:eastAsia="宋体" w:cs="Times New Roman"/>
                <w:b/>
                <w:bCs/>
                <w:color w:val="auto"/>
                <w:kern w:val="2"/>
                <w:sz w:val="24"/>
                <w:szCs w:val="21"/>
                <w:lang w:val="en-US" w:eastAsia="zh-CN" w:bidi="ar-SA"/>
              </w:rPr>
              <w:t>3、噪声</w:t>
            </w:r>
          </w:p>
          <w:p w14:paraId="6CDECBBA">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现有项目噪声源有空气动力性噪声、机械噪声、车辆运输噪声等，空气动力性噪声主要由各种风机等振动产生，机械噪声主要由传动设备、破碎机等产生，车辆运输噪声主要由运送一般固废及危废的车辆产生</w:t>
            </w:r>
            <w:r>
              <w:rPr>
                <w:rFonts w:hint="default" w:ascii="Times New Roman" w:hAnsi="Times New Roman" w:cs="Times New Roman"/>
                <w:color w:val="auto"/>
                <w:lang w:eastAsia="zh-CN"/>
              </w:rPr>
              <w:t>。</w:t>
            </w:r>
          </w:p>
          <w:p w14:paraId="44071D3C">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现有项目已采取以下措施对噪声加以控制：①选用加工精度高、装配质量好、产生噪声低的设备；②对于某些设备运行时振动产生的噪声，将适当的设备基础隔振、减振；③对于属于空气动力产生噪声的设备如空压机、风机等，设计时在设备的气流通道上加装消音器；④利用建筑物、构筑物等来阻隔声波的传播；⑤控制车辆行驶速度，禁止鸣笛等</w:t>
            </w:r>
            <w:r>
              <w:rPr>
                <w:rFonts w:hint="default" w:ascii="Times New Roman" w:hAnsi="Times New Roman" w:cs="Times New Roman"/>
                <w:color w:val="auto"/>
                <w:lang w:eastAsia="zh-CN"/>
              </w:rPr>
              <w:t>。</w:t>
            </w:r>
          </w:p>
          <w:p w14:paraId="0E231192">
            <w:pPr>
              <w:bidi w:val="0"/>
              <w:ind w:firstLine="480" w:firstLineChars="200"/>
              <w:jc w:val="both"/>
              <w:rPr>
                <w:rFonts w:hint="default" w:ascii="Times New Roman" w:hAnsi="Times New Roman" w:eastAsia="宋体" w:cs="Times New Roman"/>
                <w:b/>
                <w:bCs/>
                <w:color w:val="auto"/>
                <w:lang w:val="en-US" w:eastAsia="zh-CN"/>
              </w:rPr>
            </w:pPr>
            <w:r>
              <w:rPr>
                <w:rFonts w:hint="default" w:ascii="Times New Roman" w:hAnsi="Times New Roman" w:eastAsia="宋体" w:cs="Times New Roman"/>
                <w:color w:val="auto"/>
                <w:lang w:val="en-US" w:eastAsia="zh-CN"/>
              </w:rPr>
              <w:t>根据</w:t>
            </w:r>
            <w:r>
              <w:rPr>
                <w:rFonts w:hint="eastAsia" w:cs="Times New Roman"/>
                <w:color w:val="auto"/>
                <w:lang w:val="en-US" w:eastAsia="zh-CN"/>
              </w:rPr>
              <w:t>济宁海螺水泥有限责任公司自行</w:t>
            </w:r>
            <w:r>
              <w:rPr>
                <w:rFonts w:hint="default" w:ascii="Times New Roman" w:hAnsi="Times New Roman" w:eastAsia="宋体" w:cs="Times New Roman"/>
                <w:color w:val="auto"/>
                <w:lang w:val="en-US" w:eastAsia="zh-CN"/>
              </w:rPr>
              <w:t>监测报告（报告编号：济瑞检字(2025)HJ第10270</w:t>
            </w:r>
            <w:r>
              <w:rPr>
                <w:rFonts w:hint="eastAsia" w:eastAsia="宋体" w:cs="Times New Roman"/>
                <w:color w:val="auto"/>
                <w:lang w:val="en-US" w:eastAsia="zh-CN"/>
              </w:rPr>
              <w:t>1</w:t>
            </w:r>
            <w:r>
              <w:rPr>
                <w:rFonts w:hint="default" w:ascii="Times New Roman" w:hAnsi="Times New Roman" w:eastAsia="宋体" w:cs="Times New Roman"/>
                <w:color w:val="auto"/>
                <w:lang w:val="en-US" w:eastAsia="zh-CN"/>
              </w:rPr>
              <w:t>号），</w:t>
            </w:r>
            <w:r>
              <w:rPr>
                <w:rFonts w:hint="eastAsia" w:cs="Times New Roman"/>
                <w:color w:val="000000"/>
                <w:sz w:val="24"/>
                <w:szCs w:val="24"/>
                <w:highlight w:val="none"/>
                <w:lang w:val="en-US" w:eastAsia="zh-CN"/>
              </w:rPr>
              <w:t>2025年10月30日</w:t>
            </w:r>
            <w:r>
              <w:rPr>
                <w:rFonts w:hint="default" w:ascii="Times New Roman" w:hAnsi="Times New Roman" w:cs="Times New Roman"/>
                <w:color w:val="auto"/>
                <w:sz w:val="24"/>
                <w:lang w:val="zh-CN"/>
              </w:rPr>
              <w:t>监测期间</w:t>
            </w:r>
            <w:r>
              <w:rPr>
                <w:rFonts w:hint="default" w:ascii="Times New Roman" w:hAnsi="Times New Roman" w:cs="Times New Roman"/>
                <w:color w:val="auto"/>
                <w:sz w:val="24"/>
              </w:rPr>
              <w:t>厂界4个噪声监测点，昼间噪声</w:t>
            </w:r>
            <w:r>
              <w:rPr>
                <w:rFonts w:hint="eastAsia" w:cs="Times New Roman"/>
                <w:color w:val="auto"/>
                <w:sz w:val="24"/>
                <w:lang w:val="en-US" w:eastAsia="zh-CN"/>
              </w:rPr>
              <w:t>等效声级</w:t>
            </w:r>
            <w:r>
              <w:rPr>
                <w:rFonts w:hint="default" w:ascii="Times New Roman" w:hAnsi="Times New Roman" w:cs="Times New Roman"/>
                <w:color w:val="auto"/>
                <w:sz w:val="24"/>
              </w:rPr>
              <w:t>最大值为</w:t>
            </w:r>
            <w:r>
              <w:rPr>
                <w:rFonts w:hint="default" w:ascii="Times New Roman" w:hAnsi="Times New Roman" w:cs="Times New Roman"/>
                <w:color w:val="auto"/>
                <w:sz w:val="24"/>
                <w:lang w:val="en-US" w:eastAsia="zh-CN"/>
              </w:rPr>
              <w:t>5</w:t>
            </w:r>
            <w:r>
              <w:rPr>
                <w:rFonts w:hint="eastAsia" w:cs="Times New Roman"/>
                <w:color w:val="auto"/>
                <w:sz w:val="24"/>
                <w:lang w:val="en-US" w:eastAsia="zh-CN"/>
              </w:rPr>
              <w:t>7</w:t>
            </w:r>
            <w:r>
              <w:rPr>
                <w:rFonts w:hint="default" w:ascii="Times New Roman" w:hAnsi="Times New Roman" w:cs="Times New Roman"/>
                <w:color w:val="auto"/>
                <w:sz w:val="24"/>
              </w:rPr>
              <w:t>dB（A），小于标准限值6</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dB（A）</w:t>
            </w:r>
            <w:r>
              <w:rPr>
                <w:rFonts w:hint="default" w:ascii="Times New Roman" w:hAnsi="Times New Roman" w:cs="Times New Roman"/>
                <w:color w:val="auto"/>
                <w:sz w:val="24"/>
                <w:lang w:eastAsia="zh-CN"/>
              </w:rPr>
              <w:t>，夜</w:t>
            </w:r>
            <w:r>
              <w:rPr>
                <w:rFonts w:hint="default" w:ascii="Times New Roman" w:hAnsi="Times New Roman" w:cs="Times New Roman"/>
                <w:color w:val="auto"/>
                <w:sz w:val="24"/>
              </w:rPr>
              <w:t>间噪声</w:t>
            </w:r>
            <w:r>
              <w:rPr>
                <w:rFonts w:hint="eastAsia" w:cs="Times New Roman"/>
                <w:color w:val="auto"/>
                <w:sz w:val="24"/>
                <w:lang w:val="en-US" w:eastAsia="zh-CN"/>
              </w:rPr>
              <w:t>等效声级</w:t>
            </w:r>
            <w:r>
              <w:rPr>
                <w:rFonts w:hint="default" w:ascii="Times New Roman" w:hAnsi="Times New Roman" w:cs="Times New Roman"/>
                <w:color w:val="auto"/>
                <w:sz w:val="24"/>
              </w:rPr>
              <w:t>最大值为</w:t>
            </w:r>
            <w:r>
              <w:rPr>
                <w:rFonts w:hint="default" w:ascii="Times New Roman" w:hAnsi="Times New Roman" w:cs="Times New Roman"/>
                <w:color w:val="auto"/>
                <w:sz w:val="24"/>
                <w:lang w:val="en-US" w:eastAsia="zh-CN"/>
              </w:rPr>
              <w:t>4</w:t>
            </w:r>
            <w:r>
              <w:rPr>
                <w:rFonts w:hint="eastAsia" w:cs="Times New Roman"/>
                <w:color w:val="auto"/>
                <w:sz w:val="24"/>
                <w:lang w:val="en-US" w:eastAsia="zh-CN"/>
              </w:rPr>
              <w:t>9</w:t>
            </w:r>
            <w:r>
              <w:rPr>
                <w:rFonts w:hint="default" w:ascii="Times New Roman" w:hAnsi="Times New Roman" w:cs="Times New Roman"/>
                <w:color w:val="auto"/>
                <w:sz w:val="24"/>
              </w:rPr>
              <w:t>dB（A），小于标准限值</w:t>
            </w:r>
            <w:r>
              <w:rPr>
                <w:rFonts w:hint="default" w:ascii="Times New Roman" w:hAnsi="Times New Roman" w:cs="Times New Roman"/>
                <w:color w:val="auto"/>
                <w:sz w:val="24"/>
                <w:lang w:val="en-US" w:eastAsia="zh-CN"/>
              </w:rPr>
              <w:t>50</w:t>
            </w:r>
            <w:r>
              <w:rPr>
                <w:rFonts w:hint="default" w:ascii="Times New Roman" w:hAnsi="Times New Roman" w:cs="Times New Roman"/>
                <w:color w:val="auto"/>
                <w:sz w:val="24"/>
              </w:rPr>
              <w:t>dB（A）</w:t>
            </w:r>
            <w:r>
              <w:rPr>
                <w:rFonts w:hint="default" w:ascii="Times New Roman" w:hAnsi="Times New Roman" w:cs="Times New Roman"/>
                <w:color w:val="auto"/>
                <w:sz w:val="24"/>
                <w:lang w:eastAsia="zh-CN"/>
              </w:rPr>
              <w:t>，夜</w:t>
            </w:r>
            <w:r>
              <w:rPr>
                <w:rFonts w:hint="default" w:ascii="Times New Roman" w:hAnsi="Times New Roman" w:cs="Times New Roman"/>
                <w:color w:val="auto"/>
                <w:sz w:val="24"/>
              </w:rPr>
              <w:t>间噪声</w:t>
            </w:r>
            <w:r>
              <w:rPr>
                <w:rFonts w:hint="eastAsia" w:ascii="Times New Roman" w:hAnsi="Times New Roman" w:cs="Times New Roman"/>
                <w:color w:val="auto"/>
                <w:sz w:val="24"/>
                <w:lang w:val="en-US" w:eastAsia="zh-CN"/>
              </w:rPr>
              <w:t>最大</w:t>
            </w:r>
            <w:r>
              <w:rPr>
                <w:rFonts w:hint="eastAsia" w:cs="Times New Roman"/>
                <w:color w:val="auto"/>
                <w:sz w:val="24"/>
                <w:lang w:val="en-US" w:eastAsia="zh-CN"/>
              </w:rPr>
              <w:t>声级</w:t>
            </w:r>
            <w:r>
              <w:rPr>
                <w:rFonts w:hint="default" w:ascii="Times New Roman" w:hAnsi="Times New Roman" w:cs="Times New Roman"/>
                <w:color w:val="auto"/>
                <w:sz w:val="24"/>
              </w:rPr>
              <w:t>最大值为</w:t>
            </w:r>
            <w:r>
              <w:rPr>
                <w:rFonts w:hint="eastAsia" w:ascii="Times New Roman" w:hAnsi="Times New Roman" w:cs="Times New Roman"/>
                <w:color w:val="auto"/>
                <w:sz w:val="24"/>
                <w:lang w:val="en-US" w:eastAsia="zh-CN"/>
              </w:rPr>
              <w:t>5</w:t>
            </w:r>
            <w:r>
              <w:rPr>
                <w:rFonts w:hint="eastAsia" w:cs="Times New Roman"/>
                <w:color w:val="auto"/>
                <w:sz w:val="24"/>
                <w:lang w:val="en-US" w:eastAsia="zh-CN"/>
              </w:rPr>
              <w:t>9</w:t>
            </w:r>
            <w:r>
              <w:rPr>
                <w:rFonts w:hint="default" w:ascii="Times New Roman" w:hAnsi="Times New Roman" w:cs="Times New Roman"/>
                <w:color w:val="auto"/>
                <w:sz w:val="24"/>
              </w:rPr>
              <w:t>dB（A），小于标准限值</w:t>
            </w:r>
            <w:r>
              <w:rPr>
                <w:rFonts w:hint="eastAsia" w:ascii="Times New Roman" w:hAnsi="Times New Roman" w:cs="Times New Roman"/>
                <w:color w:val="auto"/>
                <w:sz w:val="24"/>
                <w:lang w:val="en-US" w:eastAsia="zh-CN"/>
              </w:rPr>
              <w:t>65</w:t>
            </w:r>
            <w:r>
              <w:rPr>
                <w:rFonts w:hint="default" w:ascii="Times New Roman" w:hAnsi="Times New Roman" w:cs="Times New Roman"/>
                <w:color w:val="auto"/>
                <w:sz w:val="24"/>
              </w:rPr>
              <w:t>dB（A）</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zh-CN"/>
              </w:rPr>
              <w:t>满足《工业企业厂界环境噪声排放标准》（GB12348-2008）</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val="zh-CN"/>
              </w:rPr>
              <w:t>类</w:t>
            </w:r>
            <w:r>
              <w:rPr>
                <w:rFonts w:hint="default" w:ascii="Times New Roman" w:hAnsi="Times New Roman" w:cs="Times New Roman"/>
                <w:color w:val="auto"/>
                <w:sz w:val="24"/>
              </w:rPr>
              <w:t>标准</w:t>
            </w:r>
            <w:r>
              <w:rPr>
                <w:rFonts w:hint="default" w:ascii="Times New Roman" w:hAnsi="Times New Roman" w:cs="Times New Roman"/>
                <w:color w:val="auto"/>
                <w:sz w:val="24"/>
                <w:lang w:eastAsia="zh-CN"/>
              </w:rPr>
              <w:t>。</w:t>
            </w:r>
          </w:p>
          <w:p w14:paraId="33521391">
            <w:pPr>
              <w:pStyle w:val="4"/>
              <w:numPr>
                <w:ilvl w:val="0"/>
                <w:numId w:val="0"/>
              </w:numPr>
              <w:bidi w:val="0"/>
              <w:ind w:leftChars="0" w:firstLine="482" w:firstLineChars="200"/>
              <w:rPr>
                <w:rFonts w:hint="default" w:ascii="Times New Roman" w:hAnsi="Times New Roman" w:eastAsia="宋体" w:cs="Times New Roman"/>
                <w:b/>
                <w:bCs/>
                <w:color w:val="auto"/>
                <w:kern w:val="2"/>
                <w:sz w:val="24"/>
                <w:szCs w:val="21"/>
                <w:lang w:val="en-US" w:eastAsia="zh-CN" w:bidi="ar-SA"/>
              </w:rPr>
            </w:pPr>
            <w:r>
              <w:rPr>
                <w:rFonts w:hint="default" w:ascii="Times New Roman" w:hAnsi="Times New Roman" w:eastAsia="宋体" w:cs="Times New Roman"/>
                <w:b/>
                <w:bCs/>
                <w:color w:val="auto"/>
                <w:kern w:val="2"/>
                <w:sz w:val="24"/>
                <w:szCs w:val="21"/>
                <w:lang w:val="en-US" w:eastAsia="zh-CN" w:bidi="ar-SA"/>
              </w:rPr>
              <w:t>4、固废</w:t>
            </w:r>
          </w:p>
          <w:p w14:paraId="3ED86094">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除尘器收尘、沉淀池污泥、气化炉灰渣作为熟料生产原料回用于生产，除尘器废布袋由厂家回收处理，废活性炭、废催化剂、废矿物油及包装桶、废铅蓄电池属于危险废物，定期委托有资质的单位处置。</w:t>
            </w:r>
            <w:r>
              <w:rPr>
                <w:rFonts w:hint="default" w:ascii="Times New Roman" w:hAnsi="Times New Roman" w:cs="Times New Roman"/>
                <w:color w:val="auto"/>
                <w:lang w:val="en-US" w:eastAsia="zh-CN"/>
              </w:rPr>
              <w:t>现有项目固废均得到合理处置。</w:t>
            </w:r>
          </w:p>
          <w:p w14:paraId="48952888">
            <w:pPr>
              <w:pStyle w:val="4"/>
              <w:numPr>
                <w:ilvl w:val="0"/>
                <w:numId w:val="0"/>
              </w:numPr>
              <w:bidi w:val="0"/>
              <w:ind w:leftChars="0" w:firstLine="482" w:firstLineChars="200"/>
              <w:rPr>
                <w:rFonts w:hint="default" w:ascii="Times New Roman" w:hAnsi="Times New Roman" w:eastAsia="宋体" w:cs="Times New Roman"/>
                <w:b/>
                <w:bCs/>
                <w:color w:val="auto"/>
                <w:kern w:val="2"/>
                <w:sz w:val="24"/>
                <w:szCs w:val="21"/>
                <w:lang w:val="en-US" w:eastAsia="zh-CN" w:bidi="ar-SA"/>
              </w:rPr>
            </w:pPr>
            <w:r>
              <w:rPr>
                <w:rFonts w:hint="default" w:ascii="Times New Roman" w:hAnsi="Times New Roman" w:eastAsia="宋体" w:cs="Times New Roman"/>
                <w:b/>
                <w:bCs/>
                <w:color w:val="auto"/>
                <w:kern w:val="2"/>
                <w:sz w:val="24"/>
                <w:szCs w:val="21"/>
                <w:lang w:val="en-US" w:eastAsia="zh-CN" w:bidi="ar-SA"/>
              </w:rPr>
              <w:t>四、现有项目污染物排放总量情况</w:t>
            </w:r>
          </w:p>
          <w:p w14:paraId="3921FE21">
            <w:pPr>
              <w:bidi w:val="0"/>
              <w:ind w:firstLine="480" w:firstLineChars="200"/>
              <w:jc w:val="both"/>
              <w:rPr>
                <w:rFonts w:hint="default" w:ascii="Times New Roman" w:hAnsi="Times New Roman" w:cs="Times New Roman"/>
                <w:color w:val="auto"/>
                <w:lang w:val="en-US" w:eastAsia="zh-CN"/>
              </w:rPr>
            </w:pPr>
            <w:r>
              <w:rPr>
                <w:rFonts w:hint="eastAsia" w:cs="Times New Roman"/>
                <w:color w:val="auto"/>
                <w:lang w:val="en-US" w:eastAsia="zh-CN"/>
              </w:rPr>
              <w:t>颗粒物、SO</w:t>
            </w:r>
            <w:r>
              <w:rPr>
                <w:rFonts w:hint="eastAsia" w:cs="Times New Roman"/>
                <w:color w:val="auto"/>
                <w:vertAlign w:val="subscript"/>
                <w:lang w:val="en-US" w:eastAsia="zh-CN"/>
              </w:rPr>
              <w:t>2</w:t>
            </w:r>
            <w:r>
              <w:rPr>
                <w:rFonts w:hint="eastAsia" w:cs="Times New Roman"/>
                <w:color w:val="auto"/>
                <w:lang w:val="en-US" w:eastAsia="zh-CN"/>
              </w:rPr>
              <w:t>、NO</w:t>
            </w:r>
            <w:r>
              <w:rPr>
                <w:rFonts w:hint="eastAsia" w:cs="Times New Roman"/>
                <w:color w:val="auto"/>
                <w:vertAlign w:val="subscript"/>
                <w:lang w:val="en-US" w:eastAsia="zh-CN"/>
              </w:rPr>
              <w:t>x</w:t>
            </w:r>
            <w:r>
              <w:rPr>
                <w:rFonts w:hint="eastAsia" w:cs="Times New Roman"/>
                <w:color w:val="auto"/>
                <w:vertAlign w:val="baseline"/>
                <w:lang w:val="en-US" w:eastAsia="zh-CN"/>
              </w:rPr>
              <w:t>实际排放量根据</w:t>
            </w:r>
            <w:r>
              <w:rPr>
                <w:rFonts w:hint="default" w:ascii="Times New Roman" w:hAnsi="Times New Roman" w:cs="Times New Roman"/>
                <w:color w:val="auto"/>
                <w:lang w:val="en-US" w:eastAsia="zh-CN"/>
              </w:rPr>
              <w:t>企业</w:t>
            </w:r>
            <w:r>
              <w:rPr>
                <w:rFonts w:hint="eastAsia" w:ascii="Times New Roman" w:hAnsi="Times New Roman" w:cs="Times New Roman"/>
                <w:color w:val="auto"/>
                <w:lang w:val="en-US" w:eastAsia="zh-CN"/>
              </w:rPr>
              <w:t>排污许可执行报告2024年年报，其他废气污染物</w:t>
            </w:r>
            <w:r>
              <w:rPr>
                <w:rFonts w:hint="eastAsia" w:cs="Times New Roman"/>
                <w:color w:val="auto"/>
                <w:vertAlign w:val="baseline"/>
                <w:lang w:val="en-US" w:eastAsia="zh-CN"/>
              </w:rPr>
              <w:t>实际排放量根据2024年自行监测数据进行核算，同时根据2024年生产负荷折算排放量，2024年</w:t>
            </w:r>
            <w:r>
              <w:rPr>
                <w:rFonts w:hint="default" w:ascii="Times New Roman" w:hAnsi="Times New Roman" w:cs="Times New Roman"/>
                <w:color w:val="auto"/>
                <w:lang w:val="en-US" w:eastAsia="zh-CN"/>
              </w:rPr>
              <w:t>企业生产负荷</w:t>
            </w:r>
            <w:r>
              <w:rPr>
                <w:rFonts w:hint="eastAsia" w:cs="Times New Roman"/>
                <w:color w:val="auto"/>
                <w:lang w:val="en-US" w:eastAsia="zh-CN"/>
              </w:rPr>
              <w:t>约</w:t>
            </w:r>
            <w:r>
              <w:rPr>
                <w:rFonts w:hint="eastAsia" w:ascii="Times New Roman" w:hAnsi="Times New Roman" w:cs="Times New Roman"/>
                <w:color w:val="auto"/>
                <w:lang w:val="en-US" w:eastAsia="zh-CN"/>
              </w:rPr>
              <w:t>为</w:t>
            </w:r>
            <w:r>
              <w:rPr>
                <w:rFonts w:hint="eastAsia" w:cs="Times New Roman"/>
                <w:color w:val="auto"/>
                <w:lang w:val="en-US" w:eastAsia="zh-CN"/>
              </w:rPr>
              <w:t>77.3%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具体见表2-23</w:t>
            </w:r>
            <w:r>
              <w:rPr>
                <w:rFonts w:hint="default" w:ascii="Times New Roman" w:hAnsi="Times New Roman" w:cs="Times New Roman"/>
                <w:color w:val="auto"/>
                <w:lang w:val="en-US" w:eastAsia="zh-CN"/>
              </w:rPr>
              <w:t>。</w:t>
            </w:r>
          </w:p>
          <w:p w14:paraId="24F0ED70">
            <w:pPr>
              <w:pStyle w:val="45"/>
              <w:bidi w:val="0"/>
              <w:spacing w:line="240" w:lineRule="auto"/>
              <w:jc w:val="center"/>
              <w:rPr>
                <w:rFonts w:hint="default" w:ascii="Times New Roman" w:hAnsi="Times New Roman" w:eastAsia="宋体" w:cs="Times New Roman"/>
                <w:b/>
                <w:bCs w:val="0"/>
                <w:color w:val="auto"/>
                <w:lang w:eastAsia="zh-CN"/>
              </w:rPr>
            </w:pPr>
            <w:r>
              <w:rPr>
                <w:rFonts w:hint="default" w:ascii="Times New Roman" w:hAnsi="Times New Roman" w:eastAsia="宋体" w:cs="Times New Roman"/>
                <w:b/>
                <w:bCs w:val="0"/>
                <w:color w:val="auto"/>
              </w:rPr>
              <w:t>表2-</w:t>
            </w:r>
            <w:r>
              <w:rPr>
                <w:rFonts w:hint="default" w:ascii="Times New Roman" w:hAnsi="Times New Roman" w:eastAsia="宋体" w:cs="Times New Roman"/>
                <w:b/>
                <w:bCs w:val="0"/>
                <w:color w:val="auto"/>
                <w:lang w:val="en-US" w:eastAsia="zh-CN"/>
              </w:rPr>
              <w:t>2</w:t>
            </w:r>
            <w:r>
              <w:rPr>
                <w:rFonts w:hint="eastAsia" w:eastAsia="宋体" w:cs="Times New Roman"/>
                <w:b/>
                <w:bCs w:val="0"/>
                <w:color w:val="auto"/>
                <w:lang w:val="en-US" w:eastAsia="zh-CN"/>
              </w:rPr>
              <w:t>9</w:t>
            </w:r>
            <w:r>
              <w:rPr>
                <w:rFonts w:hint="default" w:ascii="Times New Roman" w:hAnsi="Times New Roman" w:eastAsia="宋体" w:cs="Times New Roman"/>
                <w:b/>
                <w:bCs w:val="0"/>
                <w:color w:val="auto"/>
              </w:rPr>
              <w:t xml:space="preserve"> 现有项目</w:t>
            </w:r>
            <w:r>
              <w:rPr>
                <w:rFonts w:hint="default" w:ascii="Times New Roman" w:hAnsi="Times New Roman" w:eastAsia="宋体" w:cs="Times New Roman"/>
                <w:b/>
                <w:bCs w:val="0"/>
                <w:color w:val="auto"/>
                <w:lang w:val="en-US" w:eastAsia="zh-CN"/>
              </w:rPr>
              <w:t>废气污染物实际排放总量核算一览表 （</w:t>
            </w:r>
            <w:r>
              <w:rPr>
                <w:rFonts w:hint="default" w:ascii="Times New Roman" w:hAnsi="Times New Roman" w:eastAsia="宋体" w:cs="Times New Roman"/>
                <w:b/>
                <w:bCs w:val="0"/>
                <w:color w:val="auto"/>
              </w:rPr>
              <w:t>单位</w:t>
            </w:r>
            <w:r>
              <w:rPr>
                <w:rFonts w:hint="default" w:ascii="Times New Roman" w:hAnsi="Times New Roman" w:eastAsia="宋体" w:cs="Times New Roman"/>
                <w:b/>
                <w:bCs w:val="0"/>
                <w:color w:val="auto"/>
                <w:lang w:val="en-US" w:eastAsia="zh-CN"/>
              </w:rPr>
              <w:t>:</w:t>
            </w:r>
            <w:r>
              <w:rPr>
                <w:rFonts w:hint="default" w:ascii="Times New Roman" w:hAnsi="Times New Roman" w:eastAsia="宋体" w:cs="Times New Roman"/>
                <w:b/>
                <w:bCs w:val="0"/>
                <w:color w:val="auto"/>
              </w:rPr>
              <w:t>t/a</w:t>
            </w:r>
            <w:r>
              <w:rPr>
                <w:rFonts w:hint="default" w:ascii="Times New Roman" w:hAnsi="Times New Roman" w:eastAsia="宋体" w:cs="Times New Roman"/>
                <w:b/>
                <w:bCs w:val="0"/>
                <w:color w:val="auto"/>
                <w:lang w:val="en-US" w:eastAsia="zh-CN"/>
              </w:rPr>
              <w:t>）</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
            <w:tblGrid>
              <w:gridCol w:w="2985"/>
              <w:gridCol w:w="1609"/>
              <w:gridCol w:w="1236"/>
              <w:gridCol w:w="1261"/>
              <w:gridCol w:w="992"/>
            </w:tblGrid>
            <w:tr w14:paraId="7E716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1103C837">
                  <w:pPr>
                    <w:pStyle w:val="46"/>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污染物</w:t>
                  </w:r>
                </w:p>
              </w:tc>
              <w:tc>
                <w:tcPr>
                  <w:tcW w:w="995" w:type="pct"/>
                  <w:tcBorders>
                    <w:tl2br w:val="nil"/>
                    <w:tr2bl w:val="nil"/>
                  </w:tcBorders>
                  <w:noWrap w:val="0"/>
                  <w:tcMar>
                    <w:left w:w="28" w:type="dxa"/>
                    <w:right w:w="28" w:type="dxa"/>
                  </w:tcMar>
                  <w:vAlign w:val="center"/>
                </w:tcPr>
                <w:p w14:paraId="30CF9A98">
                  <w:pPr>
                    <w:pStyle w:val="46"/>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许可排放量</w:t>
                  </w:r>
                </w:p>
              </w:tc>
              <w:tc>
                <w:tcPr>
                  <w:tcW w:w="764" w:type="pct"/>
                  <w:tcBorders>
                    <w:tl2br w:val="nil"/>
                    <w:tr2bl w:val="nil"/>
                  </w:tcBorders>
                  <w:noWrap w:val="0"/>
                  <w:tcMar>
                    <w:left w:w="28" w:type="dxa"/>
                    <w:right w:w="28" w:type="dxa"/>
                  </w:tcMar>
                  <w:vAlign w:val="center"/>
                </w:tcPr>
                <w:p w14:paraId="73CDCCE1">
                  <w:pPr>
                    <w:pStyle w:val="46"/>
                    <w:bidi w:val="0"/>
                    <w:jc w:val="center"/>
                    <w:rPr>
                      <w:rFonts w:hint="default" w:ascii="Times New Roman" w:hAnsi="Times New Roman" w:cs="Times New Roman"/>
                      <w:b/>
                      <w:bCs/>
                      <w:color w:val="auto"/>
                      <w:lang w:val="en-US" w:eastAsia="zh-CN"/>
                    </w:rPr>
                  </w:pPr>
                  <w:r>
                    <w:rPr>
                      <w:rFonts w:hint="eastAsia" w:cs="Times New Roman"/>
                      <w:b/>
                      <w:bCs/>
                      <w:color w:val="auto"/>
                      <w:lang w:val="en-US" w:eastAsia="zh-CN"/>
                    </w:rPr>
                    <w:t>实际</w:t>
                  </w:r>
                  <w:r>
                    <w:rPr>
                      <w:rFonts w:hint="default" w:ascii="Times New Roman" w:hAnsi="Times New Roman" w:cs="Times New Roman"/>
                      <w:b/>
                      <w:bCs/>
                      <w:color w:val="auto"/>
                      <w:lang w:val="en-US" w:eastAsia="zh-CN"/>
                    </w:rPr>
                    <w:t>排放量</w:t>
                  </w:r>
                </w:p>
              </w:tc>
              <w:tc>
                <w:tcPr>
                  <w:tcW w:w="780" w:type="pct"/>
                  <w:tcBorders>
                    <w:tl2br w:val="nil"/>
                    <w:tr2bl w:val="nil"/>
                  </w:tcBorders>
                  <w:noWrap w:val="0"/>
                  <w:tcMar>
                    <w:left w:w="28" w:type="dxa"/>
                    <w:right w:w="28" w:type="dxa"/>
                  </w:tcMar>
                  <w:vAlign w:val="center"/>
                </w:tcPr>
                <w:p w14:paraId="1B1C4050">
                  <w:pPr>
                    <w:pStyle w:val="46"/>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折算满负荷排放量</w:t>
                  </w:r>
                </w:p>
              </w:tc>
              <w:tc>
                <w:tcPr>
                  <w:tcW w:w="613" w:type="pct"/>
                  <w:tcBorders>
                    <w:tl2br w:val="nil"/>
                    <w:tr2bl w:val="nil"/>
                  </w:tcBorders>
                  <w:noWrap w:val="0"/>
                  <w:tcMar>
                    <w:left w:w="28" w:type="dxa"/>
                    <w:right w:w="28" w:type="dxa"/>
                  </w:tcMar>
                  <w:vAlign w:val="center"/>
                </w:tcPr>
                <w:p w14:paraId="0A4FF1E3">
                  <w:pPr>
                    <w:pStyle w:val="46"/>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是否满足总量指标</w:t>
                  </w:r>
                </w:p>
              </w:tc>
            </w:tr>
            <w:tr w14:paraId="06173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5000" w:type="pct"/>
                  <w:gridSpan w:val="5"/>
                  <w:tcBorders>
                    <w:tl2br w:val="nil"/>
                    <w:tr2bl w:val="nil"/>
                  </w:tcBorders>
                  <w:noWrap w:val="0"/>
                  <w:tcMar>
                    <w:left w:w="28" w:type="dxa"/>
                    <w:right w:w="28" w:type="dxa"/>
                  </w:tcMar>
                  <w:vAlign w:val="center"/>
                </w:tcPr>
                <w:p w14:paraId="3A14D23D">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窑尾排气筒DA027</w:t>
                  </w:r>
                </w:p>
              </w:tc>
            </w:tr>
            <w:tr w14:paraId="3C2C5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90" w:hRule="atLeast"/>
                <w:jc w:val="center"/>
              </w:trPr>
              <w:tc>
                <w:tcPr>
                  <w:tcW w:w="1846" w:type="pct"/>
                  <w:tcBorders>
                    <w:tl2br w:val="nil"/>
                    <w:tr2bl w:val="nil"/>
                  </w:tcBorders>
                  <w:noWrap w:val="0"/>
                  <w:tcMar>
                    <w:left w:w="28" w:type="dxa"/>
                    <w:right w:w="28" w:type="dxa"/>
                  </w:tcMar>
                  <w:vAlign w:val="center"/>
                </w:tcPr>
                <w:p w14:paraId="0304D276">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颗粒物</w:t>
                  </w:r>
                </w:p>
              </w:tc>
              <w:tc>
                <w:tcPr>
                  <w:tcW w:w="995" w:type="pct"/>
                  <w:tcBorders>
                    <w:tl2br w:val="nil"/>
                    <w:tr2bl w:val="nil"/>
                  </w:tcBorders>
                  <w:noWrap w:val="0"/>
                  <w:tcMar>
                    <w:left w:w="28" w:type="dxa"/>
                    <w:right w:w="28" w:type="dxa"/>
                  </w:tcMar>
                  <w:vAlign w:val="center"/>
                </w:tcPr>
                <w:p w14:paraId="0AEF951A">
                  <w:pPr>
                    <w:pStyle w:val="46"/>
                    <w:bidi w:val="0"/>
                    <w:jc w:val="center"/>
                    <w:rPr>
                      <w:rFonts w:hint="default" w:ascii="Times New Roman" w:hAnsi="Times New Roman" w:cs="Times New Roman"/>
                      <w:b w:val="0"/>
                      <w:bCs w:val="0"/>
                      <w:color w:val="auto"/>
                      <w:lang w:val="en-US" w:eastAsia="zh-CN"/>
                    </w:rPr>
                  </w:pPr>
                  <w:r>
                    <w:rPr>
                      <w:rFonts w:hint="eastAsia"/>
                      <w:sz w:val="21"/>
                      <w:szCs w:val="21"/>
                      <w:lang w:eastAsia="zh-CN"/>
                    </w:rPr>
                    <w:t>60.14</w:t>
                  </w:r>
                </w:p>
              </w:tc>
              <w:tc>
                <w:tcPr>
                  <w:tcW w:w="764" w:type="pct"/>
                  <w:tcBorders>
                    <w:tl2br w:val="nil"/>
                    <w:tr2bl w:val="nil"/>
                  </w:tcBorders>
                  <w:noWrap w:val="0"/>
                  <w:tcMar>
                    <w:left w:w="28" w:type="dxa"/>
                    <w:right w:w="28" w:type="dxa"/>
                  </w:tcMar>
                  <w:vAlign w:val="center"/>
                </w:tcPr>
                <w:p w14:paraId="25605A47">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sz w:val="21"/>
                      <w:szCs w:val="21"/>
                      <w:lang w:eastAsia="zh-CN"/>
                    </w:rPr>
                    <w:t>2.318</w:t>
                  </w:r>
                </w:p>
              </w:tc>
              <w:tc>
                <w:tcPr>
                  <w:tcW w:w="780" w:type="pct"/>
                  <w:tcBorders>
                    <w:tl2br w:val="nil"/>
                    <w:tr2bl w:val="nil"/>
                  </w:tcBorders>
                  <w:shd w:val="clear" w:color="auto" w:fill="auto"/>
                  <w:noWrap w:val="0"/>
                  <w:tcMar>
                    <w:left w:w="28" w:type="dxa"/>
                    <w:right w:w="28" w:type="dxa"/>
                  </w:tcMar>
                  <w:vAlign w:val="center"/>
                </w:tcPr>
                <w:p w14:paraId="0DF489B9">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2.999 </w:t>
                  </w:r>
                </w:p>
              </w:tc>
              <w:tc>
                <w:tcPr>
                  <w:tcW w:w="613" w:type="pct"/>
                  <w:tcBorders>
                    <w:tl2br w:val="nil"/>
                    <w:tr2bl w:val="nil"/>
                  </w:tcBorders>
                  <w:noWrap w:val="0"/>
                  <w:tcMar>
                    <w:left w:w="28" w:type="dxa"/>
                    <w:right w:w="28" w:type="dxa"/>
                  </w:tcMar>
                  <w:vAlign w:val="center"/>
                </w:tcPr>
                <w:p w14:paraId="38F038AD">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是</w:t>
                  </w:r>
                </w:p>
              </w:tc>
            </w:tr>
            <w:tr w14:paraId="592A6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7E9C8543">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995" w:type="pct"/>
                  <w:tcBorders>
                    <w:tl2br w:val="nil"/>
                    <w:tr2bl w:val="nil"/>
                  </w:tcBorders>
                  <w:noWrap w:val="0"/>
                  <w:tcMar>
                    <w:left w:w="28" w:type="dxa"/>
                    <w:right w:w="28" w:type="dxa"/>
                  </w:tcMar>
                  <w:vAlign w:val="center"/>
                </w:tcPr>
                <w:p w14:paraId="2457A09D">
                  <w:pPr>
                    <w:pStyle w:val="46"/>
                    <w:bidi w:val="0"/>
                    <w:jc w:val="center"/>
                    <w:rPr>
                      <w:rFonts w:hint="default" w:ascii="Times New Roman" w:hAnsi="Times New Roman" w:cs="Times New Roman"/>
                      <w:b w:val="0"/>
                      <w:bCs w:val="0"/>
                      <w:color w:val="auto"/>
                      <w:lang w:val="en-US" w:eastAsia="zh-CN"/>
                    </w:rPr>
                  </w:pPr>
                  <w:r>
                    <w:rPr>
                      <w:rFonts w:hint="eastAsia"/>
                      <w:sz w:val="21"/>
                      <w:szCs w:val="21"/>
                      <w:lang w:eastAsia="zh-CN"/>
                    </w:rPr>
                    <w:t>281.3</w:t>
                  </w:r>
                </w:p>
              </w:tc>
              <w:tc>
                <w:tcPr>
                  <w:tcW w:w="764" w:type="pct"/>
                  <w:tcBorders>
                    <w:tl2br w:val="nil"/>
                    <w:tr2bl w:val="nil"/>
                  </w:tcBorders>
                  <w:noWrap w:val="0"/>
                  <w:tcMar>
                    <w:left w:w="28" w:type="dxa"/>
                    <w:right w:w="28" w:type="dxa"/>
                  </w:tcMar>
                  <w:vAlign w:val="center"/>
                </w:tcPr>
                <w:p w14:paraId="44A99AB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sz w:val="21"/>
                      <w:szCs w:val="21"/>
                      <w:lang w:eastAsia="zh-CN"/>
                    </w:rPr>
                    <w:t>21.561</w:t>
                  </w:r>
                </w:p>
              </w:tc>
              <w:tc>
                <w:tcPr>
                  <w:tcW w:w="780" w:type="pct"/>
                  <w:tcBorders>
                    <w:tl2br w:val="nil"/>
                    <w:tr2bl w:val="nil"/>
                  </w:tcBorders>
                  <w:shd w:val="clear" w:color="auto" w:fill="auto"/>
                  <w:noWrap w:val="0"/>
                  <w:tcMar>
                    <w:left w:w="28" w:type="dxa"/>
                    <w:right w:w="28" w:type="dxa"/>
                  </w:tcMar>
                  <w:vAlign w:val="center"/>
                </w:tcPr>
                <w:p w14:paraId="202DA1FE">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27.893 </w:t>
                  </w:r>
                </w:p>
              </w:tc>
              <w:tc>
                <w:tcPr>
                  <w:tcW w:w="613" w:type="pct"/>
                  <w:tcBorders>
                    <w:tl2br w:val="nil"/>
                    <w:tr2bl w:val="nil"/>
                  </w:tcBorders>
                  <w:noWrap w:val="0"/>
                  <w:tcMar>
                    <w:left w:w="28" w:type="dxa"/>
                    <w:right w:w="28" w:type="dxa"/>
                  </w:tcMar>
                  <w:vAlign w:val="center"/>
                </w:tcPr>
                <w:p w14:paraId="20A816ED">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是</w:t>
                  </w:r>
                </w:p>
              </w:tc>
            </w:tr>
            <w:tr w14:paraId="1D697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3D94BEDF">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color w:val="auto"/>
                    </w:rPr>
                    <w:t>NOx</w:t>
                  </w:r>
                </w:p>
              </w:tc>
              <w:tc>
                <w:tcPr>
                  <w:tcW w:w="995" w:type="pct"/>
                  <w:tcBorders>
                    <w:tl2br w:val="nil"/>
                    <w:tr2bl w:val="nil"/>
                  </w:tcBorders>
                  <w:noWrap w:val="0"/>
                  <w:tcMar>
                    <w:left w:w="28" w:type="dxa"/>
                    <w:right w:w="28" w:type="dxa"/>
                  </w:tcMar>
                  <w:vAlign w:val="center"/>
                </w:tcPr>
                <w:p w14:paraId="70064B3B">
                  <w:pPr>
                    <w:pStyle w:val="46"/>
                    <w:bidi w:val="0"/>
                    <w:jc w:val="center"/>
                    <w:rPr>
                      <w:rFonts w:hint="default" w:ascii="Times New Roman" w:hAnsi="Times New Roman" w:cs="Times New Roman"/>
                      <w:b w:val="0"/>
                      <w:bCs w:val="0"/>
                      <w:color w:val="auto"/>
                      <w:lang w:val="en-US" w:eastAsia="zh-CN"/>
                    </w:rPr>
                  </w:pPr>
                  <w:r>
                    <w:rPr>
                      <w:rFonts w:hint="eastAsia"/>
                      <w:sz w:val="21"/>
                      <w:szCs w:val="21"/>
                      <w:lang w:eastAsia="zh-CN"/>
                    </w:rPr>
                    <w:t>601.43</w:t>
                  </w:r>
                </w:p>
              </w:tc>
              <w:tc>
                <w:tcPr>
                  <w:tcW w:w="764" w:type="pct"/>
                  <w:tcBorders>
                    <w:tl2br w:val="nil"/>
                    <w:tr2bl w:val="nil"/>
                  </w:tcBorders>
                  <w:noWrap w:val="0"/>
                  <w:tcMar>
                    <w:left w:w="28" w:type="dxa"/>
                    <w:right w:w="28" w:type="dxa"/>
                  </w:tcMar>
                  <w:vAlign w:val="center"/>
                </w:tcPr>
                <w:p w14:paraId="5C4FEF49">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146.94</w:t>
                  </w:r>
                </w:p>
              </w:tc>
              <w:tc>
                <w:tcPr>
                  <w:tcW w:w="780" w:type="pct"/>
                  <w:tcBorders>
                    <w:tl2br w:val="nil"/>
                    <w:tr2bl w:val="nil"/>
                  </w:tcBorders>
                  <w:shd w:val="clear" w:color="auto" w:fill="auto"/>
                  <w:noWrap w:val="0"/>
                  <w:tcMar>
                    <w:left w:w="28" w:type="dxa"/>
                    <w:right w:w="28" w:type="dxa"/>
                  </w:tcMar>
                  <w:vAlign w:val="center"/>
                </w:tcPr>
                <w:p w14:paraId="2FFBF546">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190.091 </w:t>
                  </w:r>
                </w:p>
              </w:tc>
              <w:tc>
                <w:tcPr>
                  <w:tcW w:w="613" w:type="pct"/>
                  <w:tcBorders>
                    <w:tl2br w:val="nil"/>
                    <w:tr2bl w:val="nil"/>
                  </w:tcBorders>
                  <w:noWrap w:val="0"/>
                  <w:tcMar>
                    <w:left w:w="28" w:type="dxa"/>
                    <w:right w:w="28" w:type="dxa"/>
                  </w:tcMar>
                  <w:vAlign w:val="center"/>
                </w:tcPr>
                <w:p w14:paraId="4A8903A4">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是</w:t>
                  </w:r>
                </w:p>
              </w:tc>
            </w:tr>
            <w:tr w14:paraId="79F2F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56CB3602">
                  <w:pPr>
                    <w:pStyle w:val="46"/>
                    <w:bidi w:val="0"/>
                    <w:jc w:val="center"/>
                    <w:rPr>
                      <w:rFonts w:hint="default" w:ascii="Times New Roman" w:hAnsi="Times New Roman" w:cs="Times New Roman"/>
                      <w:color w:val="auto"/>
                    </w:rPr>
                  </w:pPr>
                  <w:r>
                    <w:rPr>
                      <w:rFonts w:hint="default" w:ascii="Times New Roman" w:hAnsi="Times New Roman" w:cs="Times New Roman"/>
                      <w:color w:val="auto"/>
                    </w:rPr>
                    <w:t>HF</w:t>
                  </w:r>
                </w:p>
              </w:tc>
              <w:tc>
                <w:tcPr>
                  <w:tcW w:w="995" w:type="pct"/>
                  <w:tcBorders>
                    <w:tl2br w:val="nil"/>
                    <w:tr2bl w:val="nil"/>
                  </w:tcBorders>
                  <w:noWrap w:val="0"/>
                  <w:tcMar>
                    <w:left w:w="28" w:type="dxa"/>
                    <w:right w:w="28" w:type="dxa"/>
                  </w:tcMar>
                  <w:vAlign w:val="center"/>
                </w:tcPr>
                <w:p w14:paraId="0060C584">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3B0F8235">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0.558</w:t>
                  </w:r>
                </w:p>
              </w:tc>
              <w:tc>
                <w:tcPr>
                  <w:tcW w:w="780" w:type="pct"/>
                  <w:tcBorders>
                    <w:tl2br w:val="nil"/>
                    <w:tr2bl w:val="nil"/>
                  </w:tcBorders>
                  <w:shd w:val="clear" w:color="auto" w:fill="auto"/>
                  <w:noWrap w:val="0"/>
                  <w:tcMar>
                    <w:left w:w="28" w:type="dxa"/>
                    <w:right w:w="28" w:type="dxa"/>
                  </w:tcMar>
                  <w:vAlign w:val="center"/>
                </w:tcPr>
                <w:p w14:paraId="0E00A954">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0.722 </w:t>
                  </w:r>
                </w:p>
              </w:tc>
              <w:tc>
                <w:tcPr>
                  <w:tcW w:w="613" w:type="pct"/>
                  <w:tcBorders>
                    <w:tl2br w:val="nil"/>
                    <w:tr2bl w:val="nil"/>
                  </w:tcBorders>
                  <w:noWrap w:val="0"/>
                  <w:tcMar>
                    <w:left w:w="28" w:type="dxa"/>
                    <w:right w:w="28" w:type="dxa"/>
                  </w:tcMar>
                  <w:vAlign w:val="center"/>
                </w:tcPr>
                <w:p w14:paraId="1FAE678A">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65BE8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07F7FAD6">
                  <w:pPr>
                    <w:pStyle w:val="46"/>
                    <w:bidi w:val="0"/>
                    <w:jc w:val="center"/>
                    <w:rPr>
                      <w:rFonts w:hint="default" w:ascii="Times New Roman" w:hAnsi="Times New Roman" w:cs="Times New Roman"/>
                      <w:color w:val="auto"/>
                    </w:rPr>
                  </w:pPr>
                  <w:r>
                    <w:rPr>
                      <w:rFonts w:hint="default" w:ascii="Times New Roman" w:hAnsi="Times New Roman" w:eastAsia="Times New Roman" w:cs="Times New Roman"/>
                      <w:color w:val="auto"/>
                      <w:szCs w:val="21"/>
                    </w:rPr>
                    <w:t>HCl</w:t>
                  </w:r>
                </w:p>
              </w:tc>
              <w:tc>
                <w:tcPr>
                  <w:tcW w:w="995" w:type="pct"/>
                  <w:tcBorders>
                    <w:tl2br w:val="nil"/>
                    <w:tr2bl w:val="nil"/>
                  </w:tcBorders>
                  <w:noWrap w:val="0"/>
                  <w:tcMar>
                    <w:left w:w="28" w:type="dxa"/>
                    <w:right w:w="28" w:type="dxa"/>
                  </w:tcMar>
                  <w:vAlign w:val="center"/>
                </w:tcPr>
                <w:p w14:paraId="5597D6B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3C888E9E">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7.516</w:t>
                  </w:r>
                </w:p>
              </w:tc>
              <w:tc>
                <w:tcPr>
                  <w:tcW w:w="780" w:type="pct"/>
                  <w:tcBorders>
                    <w:tl2br w:val="nil"/>
                    <w:tr2bl w:val="nil"/>
                  </w:tcBorders>
                  <w:shd w:val="clear" w:color="auto" w:fill="auto"/>
                  <w:noWrap w:val="0"/>
                  <w:tcMar>
                    <w:left w:w="28" w:type="dxa"/>
                    <w:right w:w="28" w:type="dxa"/>
                  </w:tcMar>
                  <w:vAlign w:val="center"/>
                </w:tcPr>
                <w:p w14:paraId="42BF54E2">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9.723 </w:t>
                  </w:r>
                </w:p>
              </w:tc>
              <w:tc>
                <w:tcPr>
                  <w:tcW w:w="613" w:type="pct"/>
                  <w:tcBorders>
                    <w:tl2br w:val="nil"/>
                    <w:tr2bl w:val="nil"/>
                  </w:tcBorders>
                  <w:noWrap w:val="0"/>
                  <w:tcMar>
                    <w:left w:w="28" w:type="dxa"/>
                    <w:right w:w="28" w:type="dxa"/>
                  </w:tcMar>
                  <w:vAlign w:val="center"/>
                </w:tcPr>
                <w:p w14:paraId="23FB0D88">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0B118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140D10C3">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rPr>
                    <w:t>Hg及其化合物</w:t>
                  </w:r>
                </w:p>
              </w:tc>
              <w:tc>
                <w:tcPr>
                  <w:tcW w:w="995" w:type="pct"/>
                  <w:tcBorders>
                    <w:tl2br w:val="nil"/>
                    <w:tr2bl w:val="nil"/>
                  </w:tcBorders>
                  <w:noWrap w:val="0"/>
                  <w:tcMar>
                    <w:left w:w="28" w:type="dxa"/>
                    <w:right w:w="28" w:type="dxa"/>
                  </w:tcMar>
                  <w:vAlign w:val="center"/>
                </w:tcPr>
                <w:p w14:paraId="78EA23C1">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0951776D">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0.00438</w:t>
                  </w:r>
                </w:p>
              </w:tc>
              <w:tc>
                <w:tcPr>
                  <w:tcW w:w="780" w:type="pct"/>
                  <w:tcBorders>
                    <w:tl2br w:val="nil"/>
                    <w:tr2bl w:val="nil"/>
                  </w:tcBorders>
                  <w:shd w:val="clear" w:color="auto" w:fill="auto"/>
                  <w:noWrap w:val="0"/>
                  <w:tcMar>
                    <w:left w:w="28" w:type="dxa"/>
                    <w:right w:w="28" w:type="dxa"/>
                  </w:tcMar>
                  <w:vAlign w:val="center"/>
                </w:tcPr>
                <w:p w14:paraId="0322B9E3">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0.006 </w:t>
                  </w:r>
                </w:p>
              </w:tc>
              <w:tc>
                <w:tcPr>
                  <w:tcW w:w="613" w:type="pct"/>
                  <w:tcBorders>
                    <w:tl2br w:val="nil"/>
                    <w:tr2bl w:val="nil"/>
                  </w:tcBorders>
                  <w:noWrap w:val="0"/>
                  <w:tcMar>
                    <w:left w:w="28" w:type="dxa"/>
                    <w:right w:w="28" w:type="dxa"/>
                  </w:tcMar>
                  <w:vAlign w:val="center"/>
                </w:tcPr>
                <w:p w14:paraId="574288EE">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7FA74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60E6ABB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1"/>
                      <w:lang w:eastAsia="zh-CN"/>
                    </w:rPr>
                    <w:t>铊、镉、铅、砷及其化合物</w:t>
                  </w:r>
                </w:p>
              </w:tc>
              <w:tc>
                <w:tcPr>
                  <w:tcW w:w="995" w:type="pct"/>
                  <w:tcBorders>
                    <w:tl2br w:val="nil"/>
                    <w:tr2bl w:val="nil"/>
                  </w:tcBorders>
                  <w:noWrap w:val="0"/>
                  <w:tcMar>
                    <w:left w:w="28" w:type="dxa"/>
                    <w:right w:w="28" w:type="dxa"/>
                  </w:tcMar>
                  <w:vAlign w:val="center"/>
                </w:tcPr>
                <w:p w14:paraId="0CB7D001">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435B0826">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0.0246</w:t>
                  </w:r>
                </w:p>
              </w:tc>
              <w:tc>
                <w:tcPr>
                  <w:tcW w:w="780" w:type="pct"/>
                  <w:tcBorders>
                    <w:tl2br w:val="nil"/>
                    <w:tr2bl w:val="nil"/>
                  </w:tcBorders>
                  <w:shd w:val="clear" w:color="auto" w:fill="auto"/>
                  <w:noWrap w:val="0"/>
                  <w:tcMar>
                    <w:left w:w="28" w:type="dxa"/>
                    <w:right w:w="28" w:type="dxa"/>
                  </w:tcMar>
                  <w:vAlign w:val="center"/>
                </w:tcPr>
                <w:p w14:paraId="5B655C17">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0.032 </w:t>
                  </w:r>
                </w:p>
              </w:tc>
              <w:tc>
                <w:tcPr>
                  <w:tcW w:w="613" w:type="pct"/>
                  <w:tcBorders>
                    <w:tl2br w:val="nil"/>
                    <w:tr2bl w:val="nil"/>
                  </w:tcBorders>
                  <w:noWrap w:val="0"/>
                  <w:tcMar>
                    <w:left w:w="28" w:type="dxa"/>
                    <w:right w:w="28" w:type="dxa"/>
                  </w:tcMar>
                  <w:vAlign w:val="center"/>
                </w:tcPr>
                <w:p w14:paraId="64A5BA9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399A0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282B9CD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1"/>
                      <w:lang w:eastAsia="zh-CN"/>
                    </w:rPr>
                    <w:t>铍、铬、锡、锑、铜、钴、锰、镍、钒及其化合物</w:t>
                  </w:r>
                </w:p>
              </w:tc>
              <w:tc>
                <w:tcPr>
                  <w:tcW w:w="995" w:type="pct"/>
                  <w:tcBorders>
                    <w:tl2br w:val="nil"/>
                    <w:tr2bl w:val="nil"/>
                  </w:tcBorders>
                  <w:noWrap w:val="0"/>
                  <w:tcMar>
                    <w:left w:w="28" w:type="dxa"/>
                    <w:right w:w="28" w:type="dxa"/>
                  </w:tcMar>
                  <w:vAlign w:val="center"/>
                </w:tcPr>
                <w:p w14:paraId="0E87B1A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2C6C52B2">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0.1144</w:t>
                  </w:r>
                </w:p>
              </w:tc>
              <w:tc>
                <w:tcPr>
                  <w:tcW w:w="780" w:type="pct"/>
                  <w:tcBorders>
                    <w:tl2br w:val="nil"/>
                    <w:tr2bl w:val="nil"/>
                  </w:tcBorders>
                  <w:shd w:val="clear" w:color="auto" w:fill="auto"/>
                  <w:noWrap w:val="0"/>
                  <w:tcMar>
                    <w:left w:w="28" w:type="dxa"/>
                    <w:right w:w="28" w:type="dxa"/>
                  </w:tcMar>
                  <w:vAlign w:val="center"/>
                </w:tcPr>
                <w:p w14:paraId="21EFF701">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0.148 </w:t>
                  </w:r>
                </w:p>
              </w:tc>
              <w:tc>
                <w:tcPr>
                  <w:tcW w:w="613" w:type="pct"/>
                  <w:tcBorders>
                    <w:tl2br w:val="nil"/>
                    <w:tr2bl w:val="nil"/>
                  </w:tcBorders>
                  <w:noWrap w:val="0"/>
                  <w:tcMar>
                    <w:left w:w="28" w:type="dxa"/>
                    <w:right w:w="28" w:type="dxa"/>
                  </w:tcMar>
                  <w:vAlign w:val="center"/>
                </w:tcPr>
                <w:p w14:paraId="2FC7F8D6">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67D1C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46D2A5CE">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rPr>
                    <w:t>二噁英</w:t>
                  </w:r>
                </w:p>
              </w:tc>
              <w:tc>
                <w:tcPr>
                  <w:tcW w:w="995" w:type="pct"/>
                  <w:tcBorders>
                    <w:tl2br w:val="nil"/>
                    <w:tr2bl w:val="nil"/>
                  </w:tcBorders>
                  <w:noWrap w:val="0"/>
                  <w:tcMar>
                    <w:left w:w="28" w:type="dxa"/>
                    <w:right w:w="28" w:type="dxa"/>
                  </w:tcMar>
                  <w:vAlign w:val="center"/>
                </w:tcPr>
                <w:p w14:paraId="54ED9D67">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3B68B3D7">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0.0144g</w:t>
                  </w:r>
                </w:p>
              </w:tc>
              <w:tc>
                <w:tcPr>
                  <w:tcW w:w="780" w:type="pct"/>
                  <w:tcBorders>
                    <w:tl2br w:val="nil"/>
                    <w:tr2bl w:val="nil"/>
                  </w:tcBorders>
                  <w:shd w:val="clear" w:color="auto" w:fill="auto"/>
                  <w:noWrap w:val="0"/>
                  <w:tcMar>
                    <w:left w:w="28" w:type="dxa"/>
                    <w:right w:w="28" w:type="dxa"/>
                  </w:tcMar>
                  <w:vAlign w:val="center"/>
                </w:tcPr>
                <w:p w14:paraId="1EBEC5A8">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0.019</w:t>
                  </w:r>
                  <w:r>
                    <w:rPr>
                      <w:rFonts w:hint="eastAsia" w:cs="Times New Roman"/>
                      <w:b w:val="0"/>
                      <w:bCs w:val="0"/>
                      <w:color w:val="auto"/>
                      <w:lang w:val="en-US" w:eastAsia="zh-CN"/>
                    </w:rPr>
                    <w:t>g</w:t>
                  </w:r>
                </w:p>
              </w:tc>
              <w:tc>
                <w:tcPr>
                  <w:tcW w:w="613" w:type="pct"/>
                  <w:tcBorders>
                    <w:tl2br w:val="nil"/>
                    <w:tr2bl w:val="nil"/>
                  </w:tcBorders>
                  <w:noWrap w:val="0"/>
                  <w:tcMar>
                    <w:left w:w="28" w:type="dxa"/>
                    <w:right w:w="28" w:type="dxa"/>
                  </w:tcMar>
                  <w:vAlign w:val="center"/>
                </w:tcPr>
                <w:p w14:paraId="5E85AF3D">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2DF17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0642B067">
                  <w:pPr>
                    <w:pStyle w:val="46"/>
                    <w:bidi w:val="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总有机碳</w:t>
                  </w:r>
                </w:p>
              </w:tc>
              <w:tc>
                <w:tcPr>
                  <w:tcW w:w="995" w:type="pct"/>
                  <w:tcBorders>
                    <w:tl2br w:val="nil"/>
                    <w:tr2bl w:val="nil"/>
                  </w:tcBorders>
                  <w:noWrap w:val="0"/>
                  <w:tcMar>
                    <w:left w:w="28" w:type="dxa"/>
                    <w:right w:w="28" w:type="dxa"/>
                  </w:tcMar>
                  <w:vAlign w:val="center"/>
                </w:tcPr>
                <w:p w14:paraId="67369D7E">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4E95BF38">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15.505</w:t>
                  </w:r>
                </w:p>
              </w:tc>
              <w:tc>
                <w:tcPr>
                  <w:tcW w:w="780" w:type="pct"/>
                  <w:tcBorders>
                    <w:tl2br w:val="nil"/>
                    <w:tr2bl w:val="nil"/>
                  </w:tcBorders>
                  <w:shd w:val="clear" w:color="auto" w:fill="auto"/>
                  <w:noWrap w:val="0"/>
                  <w:tcMar>
                    <w:left w:w="28" w:type="dxa"/>
                    <w:right w:w="28" w:type="dxa"/>
                  </w:tcMar>
                  <w:vAlign w:val="center"/>
                </w:tcPr>
                <w:p w14:paraId="6EB72324">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20.058 </w:t>
                  </w:r>
                </w:p>
              </w:tc>
              <w:tc>
                <w:tcPr>
                  <w:tcW w:w="613" w:type="pct"/>
                  <w:tcBorders>
                    <w:tl2br w:val="nil"/>
                    <w:tr2bl w:val="nil"/>
                  </w:tcBorders>
                  <w:noWrap w:val="0"/>
                  <w:tcMar>
                    <w:left w:w="28" w:type="dxa"/>
                    <w:right w:w="28" w:type="dxa"/>
                  </w:tcMar>
                  <w:vAlign w:val="center"/>
                </w:tcPr>
                <w:p w14:paraId="5E18CDC7">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682C6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0545FB85">
                  <w:pPr>
                    <w:pStyle w:val="46"/>
                    <w:bidi w:val="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氨</w:t>
                  </w:r>
                </w:p>
              </w:tc>
              <w:tc>
                <w:tcPr>
                  <w:tcW w:w="995" w:type="pct"/>
                  <w:tcBorders>
                    <w:tl2br w:val="nil"/>
                    <w:tr2bl w:val="nil"/>
                  </w:tcBorders>
                  <w:noWrap w:val="0"/>
                  <w:tcMar>
                    <w:left w:w="28" w:type="dxa"/>
                    <w:right w:w="28" w:type="dxa"/>
                  </w:tcMar>
                  <w:vAlign w:val="center"/>
                </w:tcPr>
                <w:p w14:paraId="7613BC1F">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noWrap w:val="0"/>
                  <w:tcMar>
                    <w:left w:w="28" w:type="dxa"/>
                    <w:right w:w="28" w:type="dxa"/>
                  </w:tcMar>
                  <w:vAlign w:val="center"/>
                </w:tcPr>
                <w:p w14:paraId="761F938E">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3.819</w:t>
                  </w:r>
                </w:p>
              </w:tc>
              <w:tc>
                <w:tcPr>
                  <w:tcW w:w="780" w:type="pct"/>
                  <w:tcBorders>
                    <w:tl2br w:val="nil"/>
                    <w:tr2bl w:val="nil"/>
                  </w:tcBorders>
                  <w:shd w:val="clear" w:color="auto" w:fill="auto"/>
                  <w:noWrap w:val="0"/>
                  <w:tcMar>
                    <w:left w:w="28" w:type="dxa"/>
                    <w:right w:w="28" w:type="dxa"/>
                  </w:tcMar>
                  <w:vAlign w:val="center"/>
                </w:tcPr>
                <w:p w14:paraId="139251A3">
                  <w:pPr>
                    <w:pStyle w:val="46"/>
                    <w:bidi w:val="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 xml:space="preserve">4.940 </w:t>
                  </w:r>
                </w:p>
              </w:tc>
              <w:tc>
                <w:tcPr>
                  <w:tcW w:w="613" w:type="pct"/>
                  <w:tcBorders>
                    <w:tl2br w:val="nil"/>
                    <w:tr2bl w:val="nil"/>
                  </w:tcBorders>
                  <w:noWrap w:val="0"/>
                  <w:tcMar>
                    <w:left w:w="28" w:type="dxa"/>
                    <w:right w:w="28" w:type="dxa"/>
                  </w:tcMar>
                  <w:vAlign w:val="center"/>
                </w:tcPr>
                <w:p w14:paraId="7E7CC8E6">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r>
            <w:tr w14:paraId="6613D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5000" w:type="pct"/>
                  <w:gridSpan w:val="5"/>
                  <w:tcBorders>
                    <w:tl2br w:val="nil"/>
                    <w:tr2bl w:val="nil"/>
                  </w:tcBorders>
                  <w:noWrap w:val="0"/>
                  <w:tcMar>
                    <w:left w:w="28" w:type="dxa"/>
                    <w:right w:w="28" w:type="dxa"/>
                  </w:tcMar>
                  <w:vAlign w:val="center"/>
                </w:tcPr>
                <w:p w14:paraId="6D004ABC">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窑头排放口DA028</w:t>
                  </w:r>
                </w:p>
              </w:tc>
            </w:tr>
            <w:tr w14:paraId="2AC55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69C77AA4">
                  <w:pPr>
                    <w:pStyle w:val="46"/>
                    <w:bidi w:val="0"/>
                    <w:jc w:val="center"/>
                    <w:rPr>
                      <w:rFonts w:hint="default" w:ascii="Times New Roman" w:hAnsi="Times New Roman" w:cs="Times New Roman"/>
                      <w:color w:val="auto"/>
                      <w:lang w:val="en-US" w:eastAsia="zh-CN"/>
                    </w:rPr>
                  </w:pPr>
                  <w:r>
                    <w:rPr>
                      <w:rFonts w:hint="eastAsia" w:cs="Times New Roman"/>
                      <w:color w:val="auto"/>
                      <w:lang w:val="en-US" w:eastAsia="zh-CN"/>
                    </w:rPr>
                    <w:t>颗粒物</w:t>
                  </w:r>
                </w:p>
              </w:tc>
              <w:tc>
                <w:tcPr>
                  <w:tcW w:w="995" w:type="pct"/>
                  <w:tcBorders>
                    <w:tl2br w:val="nil"/>
                    <w:tr2bl w:val="nil"/>
                  </w:tcBorders>
                  <w:noWrap w:val="0"/>
                  <w:tcMar>
                    <w:left w:w="28" w:type="dxa"/>
                    <w:right w:w="28" w:type="dxa"/>
                  </w:tcMar>
                  <w:vAlign w:val="center"/>
                </w:tcPr>
                <w:p w14:paraId="05F4FBC7">
                  <w:pPr>
                    <w:pStyle w:val="46"/>
                    <w:bidi w:val="0"/>
                    <w:jc w:val="center"/>
                    <w:rPr>
                      <w:rFonts w:hint="default" w:ascii="Times New Roman" w:hAnsi="Times New Roman" w:cs="Times New Roman"/>
                      <w:b w:val="0"/>
                      <w:bCs w:val="0"/>
                      <w:color w:val="auto"/>
                      <w:lang w:val="en-US" w:eastAsia="zh-CN"/>
                    </w:rPr>
                  </w:pPr>
                  <w:r>
                    <w:rPr>
                      <w:rFonts w:hint="eastAsia"/>
                      <w:sz w:val="21"/>
                      <w:szCs w:val="21"/>
                      <w:lang w:eastAsia="zh-CN"/>
                    </w:rPr>
                    <w:t>39.37</w:t>
                  </w:r>
                </w:p>
              </w:tc>
              <w:tc>
                <w:tcPr>
                  <w:tcW w:w="764" w:type="pct"/>
                  <w:tcBorders>
                    <w:tl2br w:val="nil"/>
                    <w:tr2bl w:val="nil"/>
                  </w:tcBorders>
                  <w:noWrap w:val="0"/>
                  <w:tcMar>
                    <w:left w:w="28" w:type="dxa"/>
                    <w:right w:w="28" w:type="dxa"/>
                  </w:tcMar>
                  <w:vAlign w:val="center"/>
                </w:tcPr>
                <w:p w14:paraId="45243B1C">
                  <w:pPr>
                    <w:pStyle w:val="46"/>
                    <w:bidi w:val="0"/>
                    <w:jc w:val="center"/>
                    <w:rPr>
                      <w:rFonts w:hint="default" w:ascii="Times New Roman" w:hAnsi="Times New Roman" w:cs="Times New Roman"/>
                      <w:b w:val="0"/>
                      <w:bCs w:val="0"/>
                      <w:color w:val="auto"/>
                      <w:lang w:val="en-US" w:eastAsia="zh-CN"/>
                    </w:rPr>
                  </w:pPr>
                  <w:r>
                    <w:rPr>
                      <w:rFonts w:hint="eastAsia"/>
                      <w:sz w:val="21"/>
                      <w:szCs w:val="21"/>
                      <w:lang w:eastAsia="zh-CN"/>
                    </w:rPr>
                    <w:t>1.0507</w:t>
                  </w:r>
                </w:p>
              </w:tc>
              <w:tc>
                <w:tcPr>
                  <w:tcW w:w="780" w:type="pct"/>
                  <w:tcBorders>
                    <w:tl2br w:val="nil"/>
                    <w:tr2bl w:val="nil"/>
                  </w:tcBorders>
                  <w:noWrap w:val="0"/>
                  <w:tcMar>
                    <w:left w:w="28" w:type="dxa"/>
                    <w:right w:w="28" w:type="dxa"/>
                  </w:tcMar>
                  <w:vAlign w:val="center"/>
                </w:tcPr>
                <w:p w14:paraId="6D78BB59">
                  <w:pPr>
                    <w:pStyle w:val="46"/>
                    <w:bidi w:val="0"/>
                    <w:rPr>
                      <w:rFonts w:hint="default" w:ascii="Times New Roman" w:hAnsi="Times New Roman" w:cs="Times New Roman"/>
                      <w:color w:val="auto"/>
                      <w:lang w:val="en-US" w:eastAsia="zh-CN"/>
                    </w:rPr>
                  </w:pPr>
                  <w:r>
                    <w:rPr>
                      <w:rFonts w:hint="eastAsia" w:cs="Times New Roman"/>
                      <w:color w:val="auto"/>
                      <w:lang w:val="en-US" w:eastAsia="zh-CN"/>
                    </w:rPr>
                    <w:t>1.359</w:t>
                  </w:r>
                </w:p>
              </w:tc>
              <w:tc>
                <w:tcPr>
                  <w:tcW w:w="613" w:type="pct"/>
                  <w:tcBorders>
                    <w:tl2br w:val="nil"/>
                    <w:tr2bl w:val="nil"/>
                  </w:tcBorders>
                  <w:noWrap w:val="0"/>
                  <w:tcMar>
                    <w:left w:w="28" w:type="dxa"/>
                    <w:right w:w="28" w:type="dxa"/>
                  </w:tcMar>
                  <w:vAlign w:val="center"/>
                </w:tcPr>
                <w:p w14:paraId="43CE22B7">
                  <w:pPr>
                    <w:pStyle w:val="46"/>
                    <w:bidi w:val="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是</w:t>
                  </w:r>
                </w:p>
              </w:tc>
            </w:tr>
            <w:tr w14:paraId="12B3E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5000" w:type="pct"/>
                  <w:gridSpan w:val="5"/>
                  <w:tcBorders>
                    <w:tl2br w:val="nil"/>
                    <w:tr2bl w:val="nil"/>
                  </w:tcBorders>
                  <w:noWrap w:val="0"/>
                  <w:tcMar>
                    <w:left w:w="28" w:type="dxa"/>
                    <w:right w:w="28" w:type="dxa"/>
                  </w:tcMar>
                  <w:vAlign w:val="center"/>
                </w:tcPr>
                <w:p w14:paraId="0777CBD6">
                  <w:pPr>
                    <w:pStyle w:val="46"/>
                    <w:bidi w:val="0"/>
                    <w:jc w:val="cente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气化炉排气筒DA171</w:t>
                  </w:r>
                </w:p>
              </w:tc>
            </w:tr>
            <w:tr w14:paraId="044E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5C28C268">
                  <w:pPr>
                    <w:pStyle w:val="46"/>
                    <w:bidi w:val="0"/>
                    <w:jc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颗粒物</w:t>
                  </w:r>
                </w:p>
              </w:tc>
              <w:tc>
                <w:tcPr>
                  <w:tcW w:w="995" w:type="pct"/>
                  <w:tcBorders>
                    <w:tl2br w:val="nil"/>
                    <w:tr2bl w:val="nil"/>
                  </w:tcBorders>
                  <w:noWrap w:val="0"/>
                  <w:tcMar>
                    <w:left w:w="28" w:type="dxa"/>
                    <w:right w:w="28" w:type="dxa"/>
                  </w:tcMar>
                  <w:vAlign w:val="center"/>
                </w:tcPr>
                <w:p w14:paraId="2AC6C20A">
                  <w:pPr>
                    <w:pStyle w:val="46"/>
                    <w:bidi w:val="0"/>
                    <w:jc w:val="center"/>
                    <w:rPr>
                      <w:rFonts w:hint="eastAsia"/>
                      <w:sz w:val="21"/>
                      <w:szCs w:val="21"/>
                      <w:lang w:eastAsia="zh-CN"/>
                    </w:rPr>
                  </w:pPr>
                  <w:r>
                    <w:rPr>
                      <w:rFonts w:hint="eastAsia"/>
                      <w:sz w:val="21"/>
                      <w:szCs w:val="21"/>
                      <w:lang w:eastAsia="zh-CN"/>
                    </w:rPr>
                    <w:t>4.695</w:t>
                  </w:r>
                </w:p>
              </w:tc>
              <w:tc>
                <w:tcPr>
                  <w:tcW w:w="764" w:type="pct"/>
                  <w:tcBorders>
                    <w:tl2br w:val="nil"/>
                    <w:tr2bl w:val="nil"/>
                  </w:tcBorders>
                  <w:noWrap w:val="0"/>
                  <w:tcMar>
                    <w:left w:w="28" w:type="dxa"/>
                    <w:right w:w="28" w:type="dxa"/>
                  </w:tcMar>
                  <w:vAlign w:val="center"/>
                </w:tcPr>
                <w:p w14:paraId="2D1F4F00">
                  <w:pPr>
                    <w:pStyle w:val="46"/>
                    <w:bidi w:val="0"/>
                    <w:jc w:val="center"/>
                    <w:rPr>
                      <w:rFonts w:hint="default"/>
                      <w:sz w:val="21"/>
                      <w:szCs w:val="21"/>
                      <w:lang w:val="en-US" w:eastAsia="zh-CN"/>
                    </w:rPr>
                  </w:pPr>
                  <w:r>
                    <w:rPr>
                      <w:rFonts w:hint="eastAsia"/>
                      <w:sz w:val="21"/>
                      <w:szCs w:val="21"/>
                      <w:lang w:val="en-US" w:eastAsia="zh-CN"/>
                    </w:rPr>
                    <w:t>0</w:t>
                  </w:r>
                </w:p>
              </w:tc>
              <w:tc>
                <w:tcPr>
                  <w:tcW w:w="780" w:type="pct"/>
                  <w:tcBorders>
                    <w:tl2br w:val="nil"/>
                    <w:tr2bl w:val="nil"/>
                  </w:tcBorders>
                  <w:noWrap w:val="0"/>
                  <w:tcMar>
                    <w:left w:w="28" w:type="dxa"/>
                    <w:right w:w="28" w:type="dxa"/>
                  </w:tcMar>
                  <w:vAlign w:val="center"/>
                </w:tcPr>
                <w:p w14:paraId="7B52FA6F">
                  <w:pPr>
                    <w:pStyle w:val="46"/>
                    <w:bidi w:val="0"/>
                    <w:rPr>
                      <w:rFonts w:hint="default" w:ascii="Times New Roman" w:hAnsi="Times New Roman" w:cs="Times New Roman"/>
                      <w:color w:val="auto"/>
                      <w:lang w:val="en-US" w:eastAsia="zh-CN"/>
                    </w:rPr>
                  </w:pPr>
                  <w:r>
                    <w:rPr>
                      <w:rFonts w:hint="eastAsia" w:cs="Times New Roman"/>
                      <w:color w:val="auto"/>
                      <w:lang w:val="en-US" w:eastAsia="zh-CN"/>
                    </w:rPr>
                    <w:t>0</w:t>
                  </w:r>
                </w:p>
              </w:tc>
              <w:tc>
                <w:tcPr>
                  <w:tcW w:w="613" w:type="pct"/>
                  <w:tcBorders>
                    <w:tl2br w:val="nil"/>
                    <w:tr2bl w:val="nil"/>
                  </w:tcBorders>
                  <w:noWrap w:val="0"/>
                  <w:tcMar>
                    <w:left w:w="28" w:type="dxa"/>
                    <w:right w:w="28" w:type="dxa"/>
                  </w:tcMar>
                  <w:vAlign w:val="center"/>
                </w:tcPr>
                <w:p w14:paraId="65AE86AF">
                  <w:pPr>
                    <w:pStyle w:val="46"/>
                    <w:bidi w:val="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是</w:t>
                  </w:r>
                </w:p>
              </w:tc>
            </w:tr>
            <w:tr w14:paraId="56327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6DC6647C">
                  <w:pPr>
                    <w:pStyle w:val="46"/>
                    <w:bidi w:val="0"/>
                    <w:jc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995" w:type="pct"/>
                  <w:tcBorders>
                    <w:tl2br w:val="nil"/>
                    <w:tr2bl w:val="nil"/>
                  </w:tcBorders>
                  <w:noWrap w:val="0"/>
                  <w:tcMar>
                    <w:left w:w="28" w:type="dxa"/>
                    <w:right w:w="28" w:type="dxa"/>
                  </w:tcMar>
                  <w:vAlign w:val="center"/>
                </w:tcPr>
                <w:p w14:paraId="42B88C55">
                  <w:pPr>
                    <w:pStyle w:val="46"/>
                    <w:bidi w:val="0"/>
                    <w:jc w:val="center"/>
                    <w:rPr>
                      <w:rFonts w:hint="eastAsia"/>
                      <w:sz w:val="21"/>
                      <w:szCs w:val="21"/>
                      <w:lang w:eastAsia="zh-CN"/>
                    </w:rPr>
                  </w:pPr>
                  <w:r>
                    <w:rPr>
                      <w:rFonts w:hint="eastAsia"/>
                      <w:sz w:val="21"/>
                      <w:szCs w:val="21"/>
                      <w:lang w:eastAsia="zh-CN"/>
                    </w:rPr>
                    <w:t>18.228</w:t>
                  </w:r>
                </w:p>
              </w:tc>
              <w:tc>
                <w:tcPr>
                  <w:tcW w:w="764" w:type="pct"/>
                  <w:tcBorders>
                    <w:tl2br w:val="nil"/>
                    <w:tr2bl w:val="nil"/>
                  </w:tcBorders>
                  <w:noWrap w:val="0"/>
                  <w:tcMar>
                    <w:left w:w="28" w:type="dxa"/>
                    <w:right w:w="28" w:type="dxa"/>
                  </w:tcMar>
                  <w:vAlign w:val="center"/>
                </w:tcPr>
                <w:p w14:paraId="3D73B562">
                  <w:pPr>
                    <w:pStyle w:val="46"/>
                    <w:bidi w:val="0"/>
                    <w:jc w:val="center"/>
                    <w:rPr>
                      <w:rFonts w:hint="default"/>
                      <w:sz w:val="21"/>
                      <w:szCs w:val="21"/>
                      <w:lang w:val="en-US" w:eastAsia="zh-CN"/>
                    </w:rPr>
                  </w:pPr>
                  <w:r>
                    <w:rPr>
                      <w:rFonts w:hint="eastAsia"/>
                      <w:sz w:val="21"/>
                      <w:szCs w:val="21"/>
                      <w:lang w:val="en-US" w:eastAsia="zh-CN"/>
                    </w:rPr>
                    <w:t>0</w:t>
                  </w:r>
                </w:p>
              </w:tc>
              <w:tc>
                <w:tcPr>
                  <w:tcW w:w="780" w:type="pct"/>
                  <w:tcBorders>
                    <w:tl2br w:val="nil"/>
                    <w:tr2bl w:val="nil"/>
                  </w:tcBorders>
                  <w:noWrap w:val="0"/>
                  <w:tcMar>
                    <w:left w:w="28" w:type="dxa"/>
                    <w:right w:w="28" w:type="dxa"/>
                  </w:tcMar>
                  <w:vAlign w:val="center"/>
                </w:tcPr>
                <w:p w14:paraId="2C66D350">
                  <w:pPr>
                    <w:pStyle w:val="46"/>
                    <w:bidi w:val="0"/>
                    <w:rPr>
                      <w:rFonts w:hint="default" w:ascii="Times New Roman" w:hAnsi="Times New Roman" w:cs="Times New Roman"/>
                      <w:color w:val="auto"/>
                      <w:lang w:val="en-US" w:eastAsia="zh-CN"/>
                    </w:rPr>
                  </w:pPr>
                  <w:r>
                    <w:rPr>
                      <w:rFonts w:hint="eastAsia" w:cs="Times New Roman"/>
                      <w:color w:val="auto"/>
                      <w:lang w:val="en-US" w:eastAsia="zh-CN"/>
                    </w:rPr>
                    <w:t>0</w:t>
                  </w:r>
                </w:p>
              </w:tc>
              <w:tc>
                <w:tcPr>
                  <w:tcW w:w="613" w:type="pct"/>
                  <w:tcBorders>
                    <w:tl2br w:val="nil"/>
                    <w:tr2bl w:val="nil"/>
                  </w:tcBorders>
                  <w:noWrap w:val="0"/>
                  <w:tcMar>
                    <w:left w:w="28" w:type="dxa"/>
                    <w:right w:w="28" w:type="dxa"/>
                  </w:tcMar>
                  <w:vAlign w:val="center"/>
                </w:tcPr>
                <w:p w14:paraId="7100C60A">
                  <w:pPr>
                    <w:pStyle w:val="46"/>
                    <w:bidi w:val="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是</w:t>
                  </w:r>
                </w:p>
              </w:tc>
            </w:tr>
            <w:tr w14:paraId="52EEE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1ADA9B29">
                  <w:pPr>
                    <w:pStyle w:val="46"/>
                    <w:bidi w:val="0"/>
                    <w:jc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color w:val="auto"/>
                    </w:rPr>
                    <w:t>NOx</w:t>
                  </w:r>
                </w:p>
              </w:tc>
              <w:tc>
                <w:tcPr>
                  <w:tcW w:w="995" w:type="pct"/>
                  <w:tcBorders>
                    <w:tl2br w:val="nil"/>
                    <w:tr2bl w:val="nil"/>
                  </w:tcBorders>
                  <w:noWrap w:val="0"/>
                  <w:tcMar>
                    <w:left w:w="28" w:type="dxa"/>
                    <w:right w:w="28" w:type="dxa"/>
                  </w:tcMar>
                  <w:vAlign w:val="center"/>
                </w:tcPr>
                <w:p w14:paraId="61C296C2">
                  <w:pPr>
                    <w:pStyle w:val="46"/>
                    <w:bidi w:val="0"/>
                    <w:jc w:val="center"/>
                    <w:rPr>
                      <w:rFonts w:hint="eastAsia"/>
                      <w:sz w:val="21"/>
                      <w:szCs w:val="21"/>
                      <w:lang w:eastAsia="zh-CN"/>
                    </w:rPr>
                  </w:pPr>
                  <w:r>
                    <w:rPr>
                      <w:rFonts w:hint="eastAsia"/>
                      <w:sz w:val="21"/>
                      <w:szCs w:val="21"/>
                      <w:lang w:eastAsia="zh-CN"/>
                    </w:rPr>
                    <w:t>18.179</w:t>
                  </w:r>
                </w:p>
              </w:tc>
              <w:tc>
                <w:tcPr>
                  <w:tcW w:w="764" w:type="pct"/>
                  <w:tcBorders>
                    <w:tl2br w:val="nil"/>
                    <w:tr2bl w:val="nil"/>
                  </w:tcBorders>
                  <w:noWrap w:val="0"/>
                  <w:tcMar>
                    <w:left w:w="28" w:type="dxa"/>
                    <w:right w:w="28" w:type="dxa"/>
                  </w:tcMar>
                  <w:vAlign w:val="center"/>
                </w:tcPr>
                <w:p w14:paraId="1A75F559">
                  <w:pPr>
                    <w:pStyle w:val="46"/>
                    <w:bidi w:val="0"/>
                    <w:jc w:val="center"/>
                    <w:rPr>
                      <w:rFonts w:hint="default"/>
                      <w:sz w:val="21"/>
                      <w:szCs w:val="21"/>
                      <w:lang w:val="en-US" w:eastAsia="zh-CN"/>
                    </w:rPr>
                  </w:pPr>
                  <w:r>
                    <w:rPr>
                      <w:rFonts w:hint="eastAsia"/>
                      <w:sz w:val="21"/>
                      <w:szCs w:val="21"/>
                      <w:lang w:val="en-US" w:eastAsia="zh-CN"/>
                    </w:rPr>
                    <w:t>0</w:t>
                  </w:r>
                </w:p>
              </w:tc>
              <w:tc>
                <w:tcPr>
                  <w:tcW w:w="780" w:type="pct"/>
                  <w:tcBorders>
                    <w:tl2br w:val="nil"/>
                    <w:tr2bl w:val="nil"/>
                  </w:tcBorders>
                  <w:noWrap w:val="0"/>
                  <w:tcMar>
                    <w:left w:w="28" w:type="dxa"/>
                    <w:right w:w="28" w:type="dxa"/>
                  </w:tcMar>
                  <w:vAlign w:val="center"/>
                </w:tcPr>
                <w:p w14:paraId="480E1C1B">
                  <w:pPr>
                    <w:pStyle w:val="46"/>
                    <w:bidi w:val="0"/>
                    <w:rPr>
                      <w:rFonts w:hint="default" w:ascii="Times New Roman" w:hAnsi="Times New Roman" w:cs="Times New Roman"/>
                      <w:color w:val="auto"/>
                      <w:lang w:val="en-US" w:eastAsia="zh-CN"/>
                    </w:rPr>
                  </w:pPr>
                  <w:r>
                    <w:rPr>
                      <w:rFonts w:hint="eastAsia" w:cs="Times New Roman"/>
                      <w:color w:val="auto"/>
                      <w:lang w:val="en-US" w:eastAsia="zh-CN"/>
                    </w:rPr>
                    <w:t>0</w:t>
                  </w:r>
                </w:p>
              </w:tc>
              <w:tc>
                <w:tcPr>
                  <w:tcW w:w="613" w:type="pct"/>
                  <w:tcBorders>
                    <w:tl2br w:val="nil"/>
                    <w:tr2bl w:val="nil"/>
                  </w:tcBorders>
                  <w:noWrap w:val="0"/>
                  <w:tcMar>
                    <w:left w:w="28" w:type="dxa"/>
                    <w:right w:w="28" w:type="dxa"/>
                  </w:tcMar>
                  <w:vAlign w:val="center"/>
                </w:tcPr>
                <w:p w14:paraId="04368C62">
                  <w:pPr>
                    <w:pStyle w:val="46"/>
                    <w:bidi w:val="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是</w:t>
                  </w:r>
                </w:p>
              </w:tc>
            </w:tr>
            <w:tr w14:paraId="4434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5000" w:type="pct"/>
                  <w:gridSpan w:val="5"/>
                  <w:tcBorders>
                    <w:tl2br w:val="nil"/>
                    <w:tr2bl w:val="nil"/>
                  </w:tcBorders>
                  <w:noWrap w:val="0"/>
                  <w:tcMar>
                    <w:left w:w="28" w:type="dxa"/>
                    <w:right w:w="28" w:type="dxa"/>
                  </w:tcMar>
                  <w:vAlign w:val="center"/>
                </w:tcPr>
                <w:p w14:paraId="600C7E8F">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其他排气筒合计排放量</w:t>
                  </w:r>
                </w:p>
              </w:tc>
            </w:tr>
            <w:tr w14:paraId="09E4E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049C6F51">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颗粒物</w:t>
                  </w:r>
                </w:p>
              </w:tc>
              <w:tc>
                <w:tcPr>
                  <w:tcW w:w="995" w:type="pct"/>
                  <w:tcBorders>
                    <w:tl2br w:val="nil"/>
                    <w:tr2bl w:val="nil"/>
                  </w:tcBorders>
                  <w:noWrap w:val="0"/>
                  <w:tcMar>
                    <w:left w:w="28" w:type="dxa"/>
                    <w:right w:w="28" w:type="dxa"/>
                  </w:tcMar>
                  <w:vAlign w:val="center"/>
                </w:tcPr>
                <w:p w14:paraId="6EE3857E">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kern w:val="0"/>
                      <w:sz w:val="21"/>
                      <w:szCs w:val="21"/>
                      <w:lang w:val="en-US" w:eastAsia="zh-CN" w:bidi="ar-SA"/>
                    </w:rPr>
                    <w:t>65.45</w:t>
                  </w:r>
                </w:p>
              </w:tc>
              <w:tc>
                <w:tcPr>
                  <w:tcW w:w="764" w:type="pct"/>
                  <w:tcBorders>
                    <w:tl2br w:val="nil"/>
                    <w:tr2bl w:val="nil"/>
                  </w:tcBorders>
                  <w:noWrap w:val="0"/>
                  <w:tcMar>
                    <w:left w:w="28" w:type="dxa"/>
                    <w:right w:w="28" w:type="dxa"/>
                  </w:tcMar>
                  <w:vAlign w:val="center"/>
                </w:tcPr>
                <w:p w14:paraId="79F1773E">
                  <w:pPr>
                    <w:pStyle w:val="46"/>
                    <w:bidi w:val="0"/>
                    <w:jc w:val="center"/>
                    <w:rPr>
                      <w:rFonts w:hint="default" w:ascii="Times New Roman" w:hAnsi="Times New Roman" w:cs="Times New Roman"/>
                      <w:b w:val="0"/>
                      <w:bCs w:val="0"/>
                      <w:color w:val="auto"/>
                      <w:lang w:val="en-US" w:eastAsia="zh-CN"/>
                    </w:rPr>
                  </w:pPr>
                  <w:r>
                    <w:rPr>
                      <w:rFonts w:hint="eastAsia"/>
                      <w:sz w:val="21"/>
                      <w:szCs w:val="21"/>
                      <w:lang w:eastAsia="zh-CN"/>
                    </w:rPr>
                    <w:t>10.552</w:t>
                  </w:r>
                </w:p>
              </w:tc>
              <w:tc>
                <w:tcPr>
                  <w:tcW w:w="780" w:type="pct"/>
                  <w:tcBorders>
                    <w:tl2br w:val="nil"/>
                    <w:tr2bl w:val="nil"/>
                  </w:tcBorders>
                  <w:noWrap w:val="0"/>
                  <w:tcMar>
                    <w:left w:w="28" w:type="dxa"/>
                    <w:right w:w="28" w:type="dxa"/>
                  </w:tcMar>
                  <w:vAlign w:val="center"/>
                </w:tcPr>
                <w:p w14:paraId="608CA6F2">
                  <w:pPr>
                    <w:pStyle w:val="46"/>
                    <w:bidi w:val="0"/>
                    <w:jc w:val="center"/>
                    <w:rPr>
                      <w:rFonts w:hint="default" w:ascii="Times New Roman" w:hAnsi="Times New Roman" w:cs="Times New Roman"/>
                      <w:b w:val="0"/>
                      <w:bCs w:val="0"/>
                      <w:color w:val="auto"/>
                      <w:lang w:val="en-US" w:eastAsia="zh-CN"/>
                    </w:rPr>
                  </w:pPr>
                  <w:r>
                    <w:rPr>
                      <w:rFonts w:hint="eastAsia" w:cs="Times New Roman"/>
                      <w:b w:val="0"/>
                      <w:bCs w:val="0"/>
                      <w:color w:val="auto"/>
                      <w:lang w:val="en-US" w:eastAsia="zh-CN"/>
                    </w:rPr>
                    <w:t>13.651</w:t>
                  </w:r>
                </w:p>
              </w:tc>
              <w:tc>
                <w:tcPr>
                  <w:tcW w:w="613" w:type="pct"/>
                  <w:tcBorders>
                    <w:tl2br w:val="nil"/>
                    <w:tr2bl w:val="nil"/>
                  </w:tcBorders>
                  <w:noWrap w:val="0"/>
                  <w:tcMar>
                    <w:left w:w="28" w:type="dxa"/>
                    <w:right w:w="28" w:type="dxa"/>
                  </w:tcMar>
                  <w:vAlign w:val="center"/>
                </w:tcPr>
                <w:p w14:paraId="52717B93">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是</w:t>
                  </w:r>
                </w:p>
              </w:tc>
            </w:tr>
            <w:tr w14:paraId="1641B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5000" w:type="pct"/>
                  <w:gridSpan w:val="5"/>
                  <w:tcBorders>
                    <w:tl2br w:val="nil"/>
                    <w:tr2bl w:val="nil"/>
                  </w:tcBorders>
                  <w:noWrap w:val="0"/>
                  <w:tcMar>
                    <w:left w:w="28" w:type="dxa"/>
                    <w:right w:w="28" w:type="dxa"/>
                  </w:tcMar>
                  <w:vAlign w:val="center"/>
                </w:tcPr>
                <w:p w14:paraId="7DF9B915">
                  <w:pPr>
                    <w:pStyle w:val="46"/>
                    <w:bidi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全厂排放合计</w:t>
                  </w:r>
                </w:p>
              </w:tc>
            </w:tr>
            <w:tr w14:paraId="12351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38FF7C8A">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颗粒物</w:t>
                  </w:r>
                </w:p>
              </w:tc>
              <w:tc>
                <w:tcPr>
                  <w:tcW w:w="995" w:type="pct"/>
                  <w:tcBorders>
                    <w:tl2br w:val="nil"/>
                    <w:tr2bl w:val="nil"/>
                  </w:tcBorders>
                  <w:noWrap w:val="0"/>
                  <w:tcMar>
                    <w:left w:w="28" w:type="dxa"/>
                    <w:right w:w="28" w:type="dxa"/>
                  </w:tcMar>
                  <w:vAlign w:val="center"/>
                </w:tcPr>
                <w:p w14:paraId="0DF11E36">
                  <w:pPr>
                    <w:pStyle w:val="46"/>
                    <w:bidi w:val="0"/>
                    <w:jc w:val="center"/>
                    <w:rPr>
                      <w:rFonts w:hint="default" w:ascii="Times New Roman" w:hAnsi="Times New Roman" w:cs="Times New Roman"/>
                      <w:color w:val="auto"/>
                      <w:lang w:val="en-US" w:eastAsia="zh-CN"/>
                    </w:rPr>
                  </w:pPr>
                  <w:r>
                    <w:rPr>
                      <w:rFonts w:hint="eastAsia" w:cs="Times New Roman"/>
                      <w:color w:val="auto"/>
                      <w:lang w:val="en-US" w:eastAsia="zh-CN"/>
                    </w:rPr>
                    <w:t>469.655</w:t>
                  </w:r>
                </w:p>
              </w:tc>
              <w:tc>
                <w:tcPr>
                  <w:tcW w:w="764" w:type="pct"/>
                  <w:tcBorders>
                    <w:tl2br w:val="nil"/>
                    <w:tr2bl w:val="nil"/>
                  </w:tcBorders>
                  <w:noWrap w:val="0"/>
                  <w:tcMar>
                    <w:left w:w="28" w:type="dxa"/>
                    <w:right w:w="28" w:type="dxa"/>
                  </w:tcMar>
                  <w:vAlign w:val="center"/>
                </w:tcPr>
                <w:p w14:paraId="0B151CB1">
                  <w:pPr>
                    <w:pStyle w:val="46"/>
                    <w:bidi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13.9207</w:t>
                  </w:r>
                </w:p>
              </w:tc>
              <w:tc>
                <w:tcPr>
                  <w:tcW w:w="780" w:type="pct"/>
                  <w:tcBorders>
                    <w:tl2br w:val="nil"/>
                    <w:tr2bl w:val="nil"/>
                  </w:tcBorders>
                  <w:noWrap w:val="0"/>
                  <w:tcMar>
                    <w:left w:w="28" w:type="dxa"/>
                    <w:right w:w="28" w:type="dxa"/>
                  </w:tcMar>
                  <w:vAlign w:val="center"/>
                </w:tcPr>
                <w:p w14:paraId="49649D50">
                  <w:pPr>
                    <w:pStyle w:val="46"/>
                    <w:bidi w:val="0"/>
                    <w:jc w:val="center"/>
                    <w:rPr>
                      <w:rFonts w:hint="default" w:ascii="Times New Roman" w:hAnsi="Times New Roman" w:cs="Times New Roman"/>
                      <w:color w:val="auto"/>
                      <w:lang w:val="en-US" w:eastAsia="zh-CN"/>
                    </w:rPr>
                  </w:pPr>
                  <w:r>
                    <w:rPr>
                      <w:rFonts w:hint="eastAsia" w:cs="Times New Roman"/>
                      <w:color w:val="auto"/>
                      <w:lang w:val="en-US" w:eastAsia="zh-CN"/>
                    </w:rPr>
                    <w:t>18.009</w:t>
                  </w:r>
                </w:p>
              </w:tc>
              <w:tc>
                <w:tcPr>
                  <w:tcW w:w="613" w:type="pct"/>
                  <w:tcBorders>
                    <w:tl2br w:val="nil"/>
                    <w:tr2bl w:val="nil"/>
                  </w:tcBorders>
                  <w:noWrap w:val="0"/>
                  <w:tcMar>
                    <w:left w:w="28" w:type="dxa"/>
                    <w:right w:w="28" w:type="dxa"/>
                  </w:tcMar>
                  <w:vAlign w:val="center"/>
                </w:tcPr>
                <w:p w14:paraId="01C527C1">
                  <w:pPr>
                    <w:pStyle w:val="46"/>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557A2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1CA7F795">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995" w:type="pct"/>
                  <w:tcBorders>
                    <w:tl2br w:val="nil"/>
                    <w:tr2bl w:val="nil"/>
                  </w:tcBorders>
                  <w:noWrap w:val="0"/>
                  <w:tcMar>
                    <w:left w:w="28" w:type="dxa"/>
                    <w:right w:w="28" w:type="dxa"/>
                  </w:tcMar>
                  <w:vAlign w:val="center"/>
                </w:tcPr>
                <w:p w14:paraId="4B10B655">
                  <w:pPr>
                    <w:pStyle w:val="46"/>
                    <w:bidi w:val="0"/>
                    <w:jc w:val="center"/>
                    <w:rPr>
                      <w:rFonts w:hint="default" w:ascii="Times New Roman" w:hAnsi="Times New Roman" w:cs="Times New Roman"/>
                      <w:color w:val="auto"/>
                      <w:lang w:val="en-US" w:eastAsia="zh-CN"/>
                    </w:rPr>
                  </w:pPr>
                  <w:r>
                    <w:rPr>
                      <w:rFonts w:hint="eastAsia" w:cs="Times New Roman"/>
                      <w:color w:val="auto"/>
                      <w:lang w:val="en-US" w:eastAsia="zh-CN"/>
                    </w:rPr>
                    <w:t>299.528</w:t>
                  </w:r>
                </w:p>
              </w:tc>
              <w:tc>
                <w:tcPr>
                  <w:tcW w:w="764" w:type="pct"/>
                  <w:tcBorders>
                    <w:tl2br w:val="nil"/>
                    <w:tr2bl w:val="nil"/>
                  </w:tcBorders>
                  <w:noWrap w:val="0"/>
                  <w:tcMar>
                    <w:left w:w="28" w:type="dxa"/>
                    <w:right w:w="28" w:type="dxa"/>
                  </w:tcMar>
                  <w:vAlign w:val="center"/>
                </w:tcPr>
                <w:p w14:paraId="273D7FD4">
                  <w:pPr>
                    <w:pStyle w:val="46"/>
                    <w:bidi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21.561</w:t>
                  </w:r>
                </w:p>
              </w:tc>
              <w:tc>
                <w:tcPr>
                  <w:tcW w:w="780" w:type="pct"/>
                  <w:tcBorders>
                    <w:tl2br w:val="nil"/>
                    <w:tr2bl w:val="nil"/>
                  </w:tcBorders>
                  <w:shd w:val="clear" w:color="auto" w:fill="auto"/>
                  <w:noWrap w:val="0"/>
                  <w:tcMar>
                    <w:left w:w="28" w:type="dxa"/>
                    <w:right w:w="28" w:type="dxa"/>
                  </w:tcMar>
                  <w:vAlign w:val="center"/>
                </w:tcPr>
                <w:p w14:paraId="71D5DB3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27.893</w:t>
                  </w:r>
                </w:p>
              </w:tc>
              <w:tc>
                <w:tcPr>
                  <w:tcW w:w="613" w:type="pct"/>
                  <w:tcBorders>
                    <w:tl2br w:val="nil"/>
                    <w:tr2bl w:val="nil"/>
                  </w:tcBorders>
                  <w:noWrap w:val="0"/>
                  <w:tcMar>
                    <w:left w:w="28" w:type="dxa"/>
                    <w:right w:w="28" w:type="dxa"/>
                  </w:tcMar>
                  <w:vAlign w:val="center"/>
                </w:tcPr>
                <w:p w14:paraId="325FDAF4">
                  <w:pPr>
                    <w:pStyle w:val="46"/>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377F1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noWrap w:val="0"/>
                  <w:tcMar>
                    <w:left w:w="28" w:type="dxa"/>
                    <w:right w:w="28" w:type="dxa"/>
                  </w:tcMar>
                  <w:vAlign w:val="center"/>
                </w:tcPr>
                <w:p w14:paraId="17406577">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color w:val="auto"/>
                    </w:rPr>
                    <w:t>NOx</w:t>
                  </w:r>
                </w:p>
              </w:tc>
              <w:tc>
                <w:tcPr>
                  <w:tcW w:w="995" w:type="pct"/>
                  <w:tcBorders>
                    <w:tl2br w:val="nil"/>
                    <w:tr2bl w:val="nil"/>
                  </w:tcBorders>
                  <w:noWrap w:val="0"/>
                  <w:tcMar>
                    <w:left w:w="28" w:type="dxa"/>
                    <w:right w:w="28" w:type="dxa"/>
                  </w:tcMar>
                  <w:vAlign w:val="center"/>
                </w:tcPr>
                <w:p w14:paraId="58A124D7">
                  <w:pPr>
                    <w:pStyle w:val="46"/>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619.609</w:t>
                  </w:r>
                </w:p>
              </w:tc>
              <w:tc>
                <w:tcPr>
                  <w:tcW w:w="764" w:type="pct"/>
                  <w:tcBorders>
                    <w:tl2br w:val="nil"/>
                    <w:tr2bl w:val="nil"/>
                  </w:tcBorders>
                  <w:noWrap w:val="0"/>
                  <w:tcMar>
                    <w:left w:w="28" w:type="dxa"/>
                    <w:right w:w="28" w:type="dxa"/>
                  </w:tcMar>
                  <w:vAlign w:val="center"/>
                </w:tcPr>
                <w:p w14:paraId="68A8170F">
                  <w:pPr>
                    <w:pStyle w:val="46"/>
                    <w:bidi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146.94</w:t>
                  </w:r>
                </w:p>
              </w:tc>
              <w:tc>
                <w:tcPr>
                  <w:tcW w:w="780" w:type="pct"/>
                  <w:tcBorders>
                    <w:tl2br w:val="nil"/>
                    <w:tr2bl w:val="nil"/>
                  </w:tcBorders>
                  <w:shd w:val="clear" w:color="auto" w:fill="auto"/>
                  <w:noWrap w:val="0"/>
                  <w:tcMar>
                    <w:left w:w="28" w:type="dxa"/>
                    <w:right w:w="28" w:type="dxa"/>
                  </w:tcMar>
                  <w:vAlign w:val="center"/>
                </w:tcPr>
                <w:p w14:paraId="04F503D2">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190.091 </w:t>
                  </w:r>
                </w:p>
              </w:tc>
              <w:tc>
                <w:tcPr>
                  <w:tcW w:w="613" w:type="pct"/>
                  <w:tcBorders>
                    <w:tl2br w:val="nil"/>
                    <w:tr2bl w:val="nil"/>
                  </w:tcBorders>
                  <w:noWrap w:val="0"/>
                  <w:tcMar>
                    <w:left w:w="28" w:type="dxa"/>
                    <w:right w:w="28" w:type="dxa"/>
                  </w:tcMar>
                  <w:vAlign w:val="center"/>
                </w:tcPr>
                <w:p w14:paraId="658F8FD1">
                  <w:pPr>
                    <w:pStyle w:val="46"/>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7D4B7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63" w:hRule="atLeast"/>
                <w:jc w:val="center"/>
              </w:trPr>
              <w:tc>
                <w:tcPr>
                  <w:tcW w:w="1846" w:type="pct"/>
                  <w:tcBorders>
                    <w:tl2br w:val="nil"/>
                    <w:tr2bl w:val="nil"/>
                  </w:tcBorders>
                  <w:shd w:val="clear" w:color="auto" w:fill="auto"/>
                  <w:noWrap w:val="0"/>
                  <w:tcMar>
                    <w:left w:w="28" w:type="dxa"/>
                    <w:right w:w="28" w:type="dxa"/>
                  </w:tcMar>
                  <w:vAlign w:val="center"/>
                </w:tcPr>
                <w:p w14:paraId="12B0D6C7">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HF</w:t>
                  </w:r>
                </w:p>
              </w:tc>
              <w:tc>
                <w:tcPr>
                  <w:tcW w:w="995" w:type="pct"/>
                  <w:tcBorders>
                    <w:tl2br w:val="nil"/>
                    <w:tr2bl w:val="nil"/>
                  </w:tcBorders>
                  <w:shd w:val="clear" w:color="auto" w:fill="auto"/>
                  <w:noWrap w:val="0"/>
                  <w:tcMar>
                    <w:left w:w="28" w:type="dxa"/>
                    <w:right w:w="28" w:type="dxa"/>
                  </w:tcMar>
                  <w:vAlign w:val="center"/>
                </w:tcPr>
                <w:p w14:paraId="469BE434">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2A1044F3">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0.558</w:t>
                  </w:r>
                </w:p>
              </w:tc>
              <w:tc>
                <w:tcPr>
                  <w:tcW w:w="780" w:type="pct"/>
                  <w:tcBorders>
                    <w:tl2br w:val="nil"/>
                    <w:tr2bl w:val="nil"/>
                  </w:tcBorders>
                  <w:shd w:val="clear" w:color="auto" w:fill="auto"/>
                  <w:noWrap w:val="0"/>
                  <w:tcMar>
                    <w:left w:w="28" w:type="dxa"/>
                    <w:right w:w="28" w:type="dxa"/>
                  </w:tcMar>
                  <w:vAlign w:val="center"/>
                </w:tcPr>
                <w:p w14:paraId="7ADADFB3">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0.722 </w:t>
                  </w:r>
                </w:p>
              </w:tc>
              <w:tc>
                <w:tcPr>
                  <w:tcW w:w="613" w:type="pct"/>
                  <w:tcBorders>
                    <w:tl2br w:val="nil"/>
                    <w:tr2bl w:val="nil"/>
                  </w:tcBorders>
                  <w:noWrap w:val="0"/>
                  <w:tcMar>
                    <w:left w:w="28" w:type="dxa"/>
                    <w:right w:w="28" w:type="dxa"/>
                  </w:tcMar>
                  <w:vAlign w:val="center"/>
                </w:tcPr>
                <w:p w14:paraId="504E72A6">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26767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0179F1FA">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Times New Roman" w:cs="Times New Roman"/>
                      <w:color w:val="auto"/>
                      <w:szCs w:val="21"/>
                    </w:rPr>
                    <w:t>HCl</w:t>
                  </w:r>
                </w:p>
              </w:tc>
              <w:tc>
                <w:tcPr>
                  <w:tcW w:w="995" w:type="pct"/>
                  <w:tcBorders>
                    <w:tl2br w:val="nil"/>
                    <w:tr2bl w:val="nil"/>
                  </w:tcBorders>
                  <w:shd w:val="clear" w:color="auto" w:fill="auto"/>
                  <w:noWrap w:val="0"/>
                  <w:tcMar>
                    <w:left w:w="28" w:type="dxa"/>
                    <w:right w:w="28" w:type="dxa"/>
                  </w:tcMar>
                  <w:vAlign w:val="center"/>
                </w:tcPr>
                <w:p w14:paraId="3AABD610">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40D27AFD">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7.516</w:t>
                  </w:r>
                </w:p>
              </w:tc>
              <w:tc>
                <w:tcPr>
                  <w:tcW w:w="780" w:type="pct"/>
                  <w:tcBorders>
                    <w:tl2br w:val="nil"/>
                    <w:tr2bl w:val="nil"/>
                  </w:tcBorders>
                  <w:shd w:val="clear" w:color="auto" w:fill="auto"/>
                  <w:noWrap w:val="0"/>
                  <w:tcMar>
                    <w:left w:w="28" w:type="dxa"/>
                    <w:right w:w="28" w:type="dxa"/>
                  </w:tcMar>
                  <w:vAlign w:val="center"/>
                </w:tcPr>
                <w:p w14:paraId="1FD27AA5">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9.723</w:t>
                  </w:r>
                </w:p>
              </w:tc>
              <w:tc>
                <w:tcPr>
                  <w:tcW w:w="613" w:type="pct"/>
                  <w:tcBorders>
                    <w:tl2br w:val="nil"/>
                    <w:tr2bl w:val="nil"/>
                  </w:tcBorders>
                  <w:noWrap w:val="0"/>
                  <w:tcMar>
                    <w:left w:w="28" w:type="dxa"/>
                    <w:right w:w="28" w:type="dxa"/>
                  </w:tcMar>
                  <w:vAlign w:val="center"/>
                </w:tcPr>
                <w:p w14:paraId="3F1B982D">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5356D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2B06F770">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氨</w:t>
                  </w:r>
                </w:p>
              </w:tc>
              <w:tc>
                <w:tcPr>
                  <w:tcW w:w="995" w:type="pct"/>
                  <w:tcBorders>
                    <w:tl2br w:val="nil"/>
                    <w:tr2bl w:val="nil"/>
                  </w:tcBorders>
                  <w:shd w:val="clear" w:color="auto" w:fill="auto"/>
                  <w:noWrap w:val="0"/>
                  <w:tcMar>
                    <w:left w:w="28" w:type="dxa"/>
                    <w:right w:w="28" w:type="dxa"/>
                  </w:tcMar>
                  <w:vAlign w:val="center"/>
                </w:tcPr>
                <w:p w14:paraId="23E3CA2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5633776A">
                  <w:pPr>
                    <w:pStyle w:val="46"/>
                    <w:bidi w:val="0"/>
                    <w:jc w:val="center"/>
                    <w:rPr>
                      <w:rFonts w:hint="eastAsia"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3.819</w:t>
                  </w:r>
                </w:p>
              </w:tc>
              <w:tc>
                <w:tcPr>
                  <w:tcW w:w="780" w:type="pct"/>
                  <w:tcBorders>
                    <w:tl2br w:val="nil"/>
                    <w:tr2bl w:val="nil"/>
                  </w:tcBorders>
                  <w:shd w:val="clear" w:color="auto" w:fill="auto"/>
                  <w:noWrap w:val="0"/>
                  <w:tcMar>
                    <w:left w:w="28" w:type="dxa"/>
                    <w:right w:w="28" w:type="dxa"/>
                  </w:tcMar>
                  <w:vAlign w:val="center"/>
                </w:tcPr>
                <w:p w14:paraId="1D996124">
                  <w:pPr>
                    <w:pStyle w:val="46"/>
                    <w:bidi w:val="0"/>
                    <w:jc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4.940</w:t>
                  </w:r>
                </w:p>
              </w:tc>
              <w:tc>
                <w:tcPr>
                  <w:tcW w:w="613" w:type="pct"/>
                  <w:tcBorders>
                    <w:tl2br w:val="nil"/>
                    <w:tr2bl w:val="nil"/>
                  </w:tcBorders>
                  <w:shd w:val="clear" w:color="auto" w:fill="auto"/>
                  <w:noWrap w:val="0"/>
                  <w:tcMar>
                    <w:left w:w="28" w:type="dxa"/>
                    <w:right w:w="28" w:type="dxa"/>
                  </w:tcMar>
                  <w:vAlign w:val="center"/>
                </w:tcPr>
                <w:p w14:paraId="1B8B79DA">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50AC2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19545F65">
                  <w:pPr>
                    <w:pStyle w:val="46"/>
                    <w:bidi w:val="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Hg及其化合物</w:t>
                  </w:r>
                </w:p>
              </w:tc>
              <w:tc>
                <w:tcPr>
                  <w:tcW w:w="995" w:type="pct"/>
                  <w:tcBorders>
                    <w:tl2br w:val="nil"/>
                    <w:tr2bl w:val="nil"/>
                  </w:tcBorders>
                  <w:shd w:val="clear" w:color="auto" w:fill="auto"/>
                  <w:noWrap w:val="0"/>
                  <w:tcMar>
                    <w:left w:w="28" w:type="dxa"/>
                    <w:right w:w="28" w:type="dxa"/>
                  </w:tcMar>
                  <w:vAlign w:val="center"/>
                </w:tcPr>
                <w:p w14:paraId="1B76C201">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1D96C7E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0.00438</w:t>
                  </w:r>
                </w:p>
              </w:tc>
              <w:tc>
                <w:tcPr>
                  <w:tcW w:w="780" w:type="pct"/>
                  <w:tcBorders>
                    <w:tl2br w:val="nil"/>
                    <w:tr2bl w:val="nil"/>
                  </w:tcBorders>
                  <w:shd w:val="clear" w:color="auto" w:fill="auto"/>
                  <w:noWrap w:val="0"/>
                  <w:tcMar>
                    <w:left w:w="28" w:type="dxa"/>
                    <w:right w:w="28" w:type="dxa"/>
                  </w:tcMar>
                  <w:vAlign w:val="center"/>
                </w:tcPr>
                <w:p w14:paraId="57E7B3E5">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0.006</w:t>
                  </w:r>
                </w:p>
              </w:tc>
              <w:tc>
                <w:tcPr>
                  <w:tcW w:w="613" w:type="pct"/>
                  <w:tcBorders>
                    <w:tl2br w:val="nil"/>
                    <w:tr2bl w:val="nil"/>
                  </w:tcBorders>
                  <w:noWrap w:val="0"/>
                  <w:tcMar>
                    <w:left w:w="28" w:type="dxa"/>
                    <w:right w:w="28" w:type="dxa"/>
                  </w:tcMar>
                  <w:vAlign w:val="center"/>
                </w:tcPr>
                <w:p w14:paraId="07FEB12E">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73973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25160CF6">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sz w:val="21"/>
                      <w:szCs w:val="21"/>
                      <w:lang w:eastAsia="zh-CN"/>
                    </w:rPr>
                    <w:t>铊、镉、铅、砷及其化合物</w:t>
                  </w:r>
                </w:p>
              </w:tc>
              <w:tc>
                <w:tcPr>
                  <w:tcW w:w="995" w:type="pct"/>
                  <w:tcBorders>
                    <w:tl2br w:val="nil"/>
                    <w:tr2bl w:val="nil"/>
                  </w:tcBorders>
                  <w:shd w:val="clear" w:color="auto" w:fill="auto"/>
                  <w:noWrap w:val="0"/>
                  <w:tcMar>
                    <w:left w:w="28" w:type="dxa"/>
                    <w:right w:w="28" w:type="dxa"/>
                  </w:tcMar>
                  <w:vAlign w:val="center"/>
                </w:tcPr>
                <w:p w14:paraId="7B07D16D">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7037AFE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0.0246</w:t>
                  </w:r>
                </w:p>
              </w:tc>
              <w:tc>
                <w:tcPr>
                  <w:tcW w:w="780" w:type="pct"/>
                  <w:tcBorders>
                    <w:tl2br w:val="nil"/>
                    <w:tr2bl w:val="nil"/>
                  </w:tcBorders>
                  <w:shd w:val="clear" w:color="auto" w:fill="auto"/>
                  <w:noWrap w:val="0"/>
                  <w:tcMar>
                    <w:left w:w="28" w:type="dxa"/>
                    <w:right w:w="28" w:type="dxa"/>
                  </w:tcMar>
                  <w:vAlign w:val="center"/>
                </w:tcPr>
                <w:p w14:paraId="409ED87A">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0.032</w:t>
                  </w:r>
                </w:p>
              </w:tc>
              <w:tc>
                <w:tcPr>
                  <w:tcW w:w="613" w:type="pct"/>
                  <w:tcBorders>
                    <w:tl2br w:val="nil"/>
                    <w:tr2bl w:val="nil"/>
                  </w:tcBorders>
                  <w:noWrap w:val="0"/>
                  <w:tcMar>
                    <w:left w:w="28" w:type="dxa"/>
                    <w:right w:w="28" w:type="dxa"/>
                  </w:tcMar>
                  <w:vAlign w:val="center"/>
                </w:tcPr>
                <w:p w14:paraId="33763581">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09664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64EC2F6F">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sz w:val="21"/>
                      <w:szCs w:val="21"/>
                      <w:lang w:eastAsia="zh-CN"/>
                    </w:rPr>
                    <w:t>铍、铬、锡、锑、铜、钴、锰、镍、钒及其化合物</w:t>
                  </w:r>
                </w:p>
              </w:tc>
              <w:tc>
                <w:tcPr>
                  <w:tcW w:w="995" w:type="pct"/>
                  <w:tcBorders>
                    <w:tl2br w:val="nil"/>
                    <w:tr2bl w:val="nil"/>
                  </w:tcBorders>
                  <w:shd w:val="clear" w:color="auto" w:fill="auto"/>
                  <w:noWrap w:val="0"/>
                  <w:tcMar>
                    <w:left w:w="28" w:type="dxa"/>
                    <w:right w:w="28" w:type="dxa"/>
                  </w:tcMar>
                  <w:vAlign w:val="center"/>
                </w:tcPr>
                <w:p w14:paraId="1A8F65A8">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7090FE19">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0.1144</w:t>
                  </w:r>
                </w:p>
              </w:tc>
              <w:tc>
                <w:tcPr>
                  <w:tcW w:w="780" w:type="pct"/>
                  <w:tcBorders>
                    <w:tl2br w:val="nil"/>
                    <w:tr2bl w:val="nil"/>
                  </w:tcBorders>
                  <w:shd w:val="clear" w:color="auto" w:fill="auto"/>
                  <w:noWrap w:val="0"/>
                  <w:tcMar>
                    <w:left w:w="28" w:type="dxa"/>
                    <w:right w:w="28" w:type="dxa"/>
                  </w:tcMar>
                  <w:vAlign w:val="center"/>
                </w:tcPr>
                <w:p w14:paraId="6D070390">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0.148</w:t>
                  </w:r>
                </w:p>
              </w:tc>
              <w:tc>
                <w:tcPr>
                  <w:tcW w:w="613" w:type="pct"/>
                  <w:tcBorders>
                    <w:tl2br w:val="nil"/>
                    <w:tr2bl w:val="nil"/>
                  </w:tcBorders>
                  <w:noWrap w:val="0"/>
                  <w:tcMar>
                    <w:left w:w="28" w:type="dxa"/>
                    <w:right w:w="28" w:type="dxa"/>
                  </w:tcMar>
                  <w:vAlign w:val="center"/>
                </w:tcPr>
                <w:p w14:paraId="65F25ACD">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08E9B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1B28A29F">
                  <w:pPr>
                    <w:pStyle w:val="46"/>
                    <w:bidi w:val="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二噁英</w:t>
                  </w:r>
                </w:p>
              </w:tc>
              <w:tc>
                <w:tcPr>
                  <w:tcW w:w="995" w:type="pct"/>
                  <w:tcBorders>
                    <w:tl2br w:val="nil"/>
                    <w:tr2bl w:val="nil"/>
                  </w:tcBorders>
                  <w:shd w:val="clear" w:color="auto" w:fill="auto"/>
                  <w:noWrap w:val="0"/>
                  <w:tcMar>
                    <w:left w:w="28" w:type="dxa"/>
                    <w:right w:w="28" w:type="dxa"/>
                  </w:tcMar>
                  <w:vAlign w:val="center"/>
                </w:tcPr>
                <w:p w14:paraId="30BA5967">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23B021BC">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0.0144g</w:t>
                  </w:r>
                </w:p>
              </w:tc>
              <w:tc>
                <w:tcPr>
                  <w:tcW w:w="780" w:type="pct"/>
                  <w:tcBorders>
                    <w:tl2br w:val="nil"/>
                    <w:tr2bl w:val="nil"/>
                  </w:tcBorders>
                  <w:shd w:val="clear" w:color="auto" w:fill="auto"/>
                  <w:noWrap w:val="0"/>
                  <w:tcMar>
                    <w:left w:w="28" w:type="dxa"/>
                    <w:right w:w="28" w:type="dxa"/>
                  </w:tcMar>
                  <w:vAlign w:val="center"/>
                </w:tcPr>
                <w:p w14:paraId="6B75682B">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0.019</w:t>
                  </w:r>
                  <w:r>
                    <w:rPr>
                      <w:rFonts w:hint="eastAsia" w:cs="Times New Roman"/>
                      <w:b w:val="0"/>
                      <w:bCs w:val="0"/>
                      <w:color w:val="auto"/>
                      <w:lang w:val="en-US" w:eastAsia="zh-CN"/>
                    </w:rPr>
                    <w:t>g</w:t>
                  </w:r>
                </w:p>
              </w:tc>
              <w:tc>
                <w:tcPr>
                  <w:tcW w:w="613" w:type="pct"/>
                  <w:tcBorders>
                    <w:tl2br w:val="nil"/>
                    <w:tr2bl w:val="nil"/>
                  </w:tcBorders>
                  <w:noWrap w:val="0"/>
                  <w:tcMar>
                    <w:left w:w="28" w:type="dxa"/>
                    <w:right w:w="28" w:type="dxa"/>
                  </w:tcMar>
                  <w:vAlign w:val="center"/>
                </w:tcPr>
                <w:p w14:paraId="424E97F4">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r w14:paraId="49EC7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283" w:hRule="atLeast"/>
                <w:jc w:val="center"/>
              </w:trPr>
              <w:tc>
                <w:tcPr>
                  <w:tcW w:w="1846" w:type="pct"/>
                  <w:tcBorders>
                    <w:tl2br w:val="nil"/>
                    <w:tr2bl w:val="nil"/>
                  </w:tcBorders>
                  <w:shd w:val="clear" w:color="auto" w:fill="auto"/>
                  <w:noWrap w:val="0"/>
                  <w:tcMar>
                    <w:left w:w="28" w:type="dxa"/>
                    <w:right w:w="28" w:type="dxa"/>
                  </w:tcMar>
                  <w:vAlign w:val="center"/>
                </w:tcPr>
                <w:p w14:paraId="4DC1391C">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总有机碳</w:t>
                  </w:r>
                </w:p>
              </w:tc>
              <w:tc>
                <w:tcPr>
                  <w:tcW w:w="995" w:type="pct"/>
                  <w:tcBorders>
                    <w:tl2br w:val="nil"/>
                    <w:tr2bl w:val="nil"/>
                  </w:tcBorders>
                  <w:shd w:val="clear" w:color="auto" w:fill="auto"/>
                  <w:noWrap w:val="0"/>
                  <w:tcMar>
                    <w:left w:w="28" w:type="dxa"/>
                    <w:right w:w="28" w:type="dxa"/>
                  </w:tcMar>
                  <w:vAlign w:val="center"/>
                </w:tcPr>
                <w:p w14:paraId="1C0EB7E4">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lang w:val="en-US" w:eastAsia="zh-CN"/>
                    </w:rPr>
                    <w:t>/</w:t>
                  </w:r>
                </w:p>
              </w:tc>
              <w:tc>
                <w:tcPr>
                  <w:tcW w:w="764" w:type="pct"/>
                  <w:tcBorders>
                    <w:tl2br w:val="nil"/>
                    <w:tr2bl w:val="nil"/>
                  </w:tcBorders>
                  <w:shd w:val="clear" w:color="auto" w:fill="auto"/>
                  <w:noWrap w:val="0"/>
                  <w:tcMar>
                    <w:left w:w="28" w:type="dxa"/>
                    <w:right w:w="28" w:type="dxa"/>
                  </w:tcMar>
                  <w:vAlign w:val="center"/>
                </w:tcPr>
                <w:p w14:paraId="3D6E2B6D">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lang w:val="en-US" w:eastAsia="zh-CN"/>
                    </w:rPr>
                    <w:t>15.505</w:t>
                  </w:r>
                </w:p>
              </w:tc>
              <w:tc>
                <w:tcPr>
                  <w:tcW w:w="780" w:type="pct"/>
                  <w:tcBorders>
                    <w:tl2br w:val="nil"/>
                    <w:tr2bl w:val="nil"/>
                  </w:tcBorders>
                  <w:shd w:val="clear" w:color="auto" w:fill="auto"/>
                  <w:noWrap w:val="0"/>
                  <w:tcMar>
                    <w:left w:w="28" w:type="dxa"/>
                    <w:right w:w="28" w:type="dxa"/>
                  </w:tcMar>
                  <w:vAlign w:val="center"/>
                </w:tcPr>
                <w:p w14:paraId="039E476E">
                  <w:pPr>
                    <w:pStyle w:val="46"/>
                    <w:bidi w:val="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20.058 </w:t>
                  </w:r>
                </w:p>
              </w:tc>
              <w:tc>
                <w:tcPr>
                  <w:tcW w:w="613" w:type="pct"/>
                  <w:tcBorders>
                    <w:tl2br w:val="nil"/>
                    <w:tr2bl w:val="nil"/>
                  </w:tcBorders>
                  <w:noWrap w:val="0"/>
                  <w:tcMar>
                    <w:left w:w="28" w:type="dxa"/>
                    <w:right w:w="28" w:type="dxa"/>
                  </w:tcMar>
                  <w:vAlign w:val="center"/>
                </w:tcPr>
                <w:p w14:paraId="10ECB64A">
                  <w:pPr>
                    <w:pStyle w:val="46"/>
                    <w:bidi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p>
              </w:tc>
            </w:tr>
          </w:tbl>
          <w:p w14:paraId="149E9E02">
            <w:pPr>
              <w:pStyle w:val="4"/>
              <w:numPr>
                <w:ilvl w:val="0"/>
                <w:numId w:val="0"/>
              </w:numPr>
              <w:bidi w:val="0"/>
              <w:ind w:leftChars="0" w:firstLine="482" w:firstLineChars="200"/>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val="en-US" w:eastAsia="zh-CN"/>
              </w:rPr>
              <w:t>五、现有项目存在的主要环境问题</w:t>
            </w:r>
          </w:p>
          <w:p w14:paraId="6C8268B3">
            <w:pPr>
              <w:pStyle w:val="87"/>
              <w:ind w:left="0" w:leftChars="0" w:firstLine="480" w:firstLineChars="200"/>
              <w:rPr>
                <w:rFonts w:hint="default" w:ascii="Times New Roman" w:hAnsi="Times New Roman" w:cs="Times New Roman"/>
                <w:bCs/>
                <w:color w:val="auto"/>
                <w:lang w:val="en-US" w:eastAsia="zh-CN"/>
              </w:rPr>
            </w:pPr>
            <w:r>
              <w:rPr>
                <w:rFonts w:hint="default" w:ascii="Times New Roman" w:hAnsi="Times New Roman" w:cs="Times New Roman"/>
                <w:color w:val="auto"/>
                <w:lang w:val="en-US" w:eastAsia="zh-CN"/>
              </w:rPr>
              <w:t>企业现有工程</w:t>
            </w:r>
            <w:r>
              <w:rPr>
                <w:rFonts w:hint="eastAsia" w:ascii="Times New Roman" w:hAnsi="Times New Roman" w:cs="Times New Roman"/>
                <w:color w:val="auto"/>
                <w:lang w:val="en-US" w:eastAsia="zh-CN"/>
              </w:rPr>
              <w:t>均严格履行了环保手续，</w:t>
            </w:r>
            <w:r>
              <w:rPr>
                <w:rFonts w:hint="default" w:ascii="Times New Roman" w:hAnsi="Times New Roman" w:cs="Times New Roman"/>
                <w:color w:val="auto"/>
                <w:lang w:val="en-US" w:eastAsia="zh-CN"/>
              </w:rPr>
              <w:t>环保设施正常</w:t>
            </w:r>
            <w:r>
              <w:rPr>
                <w:rFonts w:hint="eastAsia" w:ascii="Times New Roman" w:hAnsi="Times New Roman" w:cs="Times New Roman"/>
                <w:color w:val="auto"/>
                <w:lang w:val="en-US" w:eastAsia="zh-CN"/>
              </w:rPr>
              <w:t>投产</w:t>
            </w:r>
            <w:r>
              <w:rPr>
                <w:rFonts w:hint="default" w:ascii="Times New Roman" w:hAnsi="Times New Roman" w:cs="Times New Roman"/>
                <w:color w:val="auto"/>
                <w:lang w:val="en-US" w:eastAsia="zh-CN"/>
              </w:rPr>
              <w:t>运行，污染物</w:t>
            </w:r>
            <w:r>
              <w:rPr>
                <w:rFonts w:hint="eastAsia" w:ascii="Times New Roman" w:hAnsi="Times New Roman" w:cs="Times New Roman"/>
                <w:color w:val="auto"/>
                <w:lang w:val="en-US" w:eastAsia="zh-CN"/>
              </w:rPr>
              <w:t>能够</w:t>
            </w:r>
            <w:r>
              <w:rPr>
                <w:rFonts w:hint="default" w:ascii="Times New Roman" w:hAnsi="Times New Roman" w:cs="Times New Roman"/>
                <w:color w:val="auto"/>
                <w:lang w:val="en-US" w:eastAsia="zh-CN"/>
              </w:rPr>
              <w:t>达标排放</w:t>
            </w:r>
            <w:r>
              <w:rPr>
                <w:rFonts w:hint="eastAsia" w:ascii="Times New Roman" w:hAnsi="Times New Roman" w:cs="Times New Roman"/>
                <w:color w:val="auto"/>
                <w:lang w:val="en-US" w:eastAsia="zh-CN"/>
              </w:rPr>
              <w:t>，不存在现有环境问题</w:t>
            </w:r>
            <w:r>
              <w:rPr>
                <w:rFonts w:hint="default" w:ascii="Times New Roman" w:hAnsi="Times New Roman" w:cs="Times New Roman"/>
                <w:bCs/>
                <w:color w:val="auto"/>
                <w:lang w:val="en-US" w:eastAsia="zh-CN"/>
              </w:rPr>
              <w:t>。</w:t>
            </w:r>
          </w:p>
          <w:p w14:paraId="3E5C3ED7">
            <w:pPr>
              <w:pStyle w:val="87"/>
              <w:ind w:left="0" w:leftChars="0" w:firstLine="480" w:firstLineChars="200"/>
              <w:rPr>
                <w:rFonts w:hint="default" w:ascii="Times New Roman" w:hAnsi="Times New Roman" w:cs="Times New Roman"/>
                <w:bCs/>
                <w:color w:val="auto"/>
                <w:lang w:val="en-US" w:eastAsia="zh-CN"/>
              </w:rPr>
            </w:pPr>
          </w:p>
          <w:p w14:paraId="047B3C83">
            <w:pPr>
              <w:pStyle w:val="87"/>
              <w:ind w:left="0" w:leftChars="0" w:firstLine="480" w:firstLineChars="200"/>
              <w:rPr>
                <w:rFonts w:hint="default" w:ascii="Times New Roman" w:hAnsi="Times New Roman" w:cs="Times New Roman"/>
                <w:bCs/>
                <w:color w:val="auto"/>
                <w:lang w:val="en-US" w:eastAsia="zh-CN"/>
              </w:rPr>
            </w:pPr>
          </w:p>
          <w:p w14:paraId="5B2A2E4E">
            <w:pPr>
              <w:pStyle w:val="87"/>
              <w:ind w:left="0" w:leftChars="0" w:firstLine="480" w:firstLineChars="200"/>
              <w:rPr>
                <w:rFonts w:hint="default" w:ascii="Times New Roman" w:hAnsi="Times New Roman" w:cs="Times New Roman"/>
                <w:bCs/>
                <w:color w:val="auto"/>
                <w:lang w:val="en-US" w:eastAsia="zh-CN"/>
              </w:rPr>
            </w:pPr>
          </w:p>
          <w:p w14:paraId="35425FB9">
            <w:pPr>
              <w:pStyle w:val="87"/>
              <w:ind w:left="0" w:leftChars="0" w:firstLine="480" w:firstLineChars="200"/>
              <w:rPr>
                <w:rFonts w:hint="default" w:ascii="Times New Roman" w:hAnsi="Times New Roman" w:cs="Times New Roman"/>
                <w:bCs/>
                <w:color w:val="auto"/>
                <w:lang w:val="en-US" w:eastAsia="zh-CN"/>
              </w:rPr>
            </w:pPr>
          </w:p>
          <w:p w14:paraId="6B5BD488">
            <w:pPr>
              <w:pStyle w:val="87"/>
              <w:ind w:left="0" w:leftChars="0" w:firstLine="480" w:firstLineChars="200"/>
              <w:rPr>
                <w:rFonts w:hint="default" w:ascii="Times New Roman" w:hAnsi="Times New Roman" w:cs="Times New Roman"/>
                <w:bCs/>
                <w:color w:val="auto"/>
                <w:lang w:val="en-US" w:eastAsia="zh-CN"/>
              </w:rPr>
            </w:pPr>
          </w:p>
        </w:tc>
      </w:tr>
    </w:tbl>
    <w:p w14:paraId="039E25EF">
      <w:pPr>
        <w:rPr>
          <w:rFonts w:hint="default"/>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9B48470">
      <w:pPr>
        <w:pStyle w:val="3"/>
        <w:bidi w:val="0"/>
        <w:rPr>
          <w:rFonts w:hint="default" w:ascii="Times New Roman" w:hAnsi="Times New Roman" w:cs="Times New Roman"/>
          <w:color w:val="auto"/>
        </w:rPr>
      </w:pPr>
      <w:r>
        <w:rPr>
          <w:rFonts w:hint="default" w:ascii="Times New Roman" w:hAnsi="Times New Roman" w:cs="Times New Roman"/>
          <w:color w:val="auto"/>
        </w:rPr>
        <w:t>三、区域环境质量现状、环境保护目标及评价标准</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435"/>
      </w:tblGrid>
      <w:tr w14:paraId="48D19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26" w:type="dxa"/>
            <w:noWrap w:val="0"/>
            <w:vAlign w:val="center"/>
          </w:tcPr>
          <w:p w14:paraId="2940FC35">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区域</w:t>
            </w:r>
          </w:p>
          <w:p w14:paraId="5C59BAC4">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环境</w:t>
            </w:r>
          </w:p>
          <w:p w14:paraId="438EF709">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质量</w:t>
            </w:r>
          </w:p>
          <w:p w14:paraId="32DAC143">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现状</w:t>
            </w:r>
          </w:p>
        </w:tc>
        <w:tc>
          <w:tcPr>
            <w:tcW w:w="8435" w:type="dxa"/>
            <w:noWrap w:val="0"/>
            <w:vAlign w:val="center"/>
          </w:tcPr>
          <w:p w14:paraId="749ACC1F">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一、环境空气</w:t>
            </w:r>
          </w:p>
          <w:p w14:paraId="2BB62F06">
            <w:pPr>
              <w:snapToGrid w:val="0"/>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本项目所在区域属于环境空气二类功能区，执行《环境空气质量标准》（GB3095-2012）中二级标准。</w:t>
            </w:r>
          </w:p>
          <w:p w14:paraId="0077C28E">
            <w:pPr>
              <w:pStyle w:val="4"/>
              <w:numPr>
                <w:ilvl w:val="0"/>
                <w:numId w:val="0"/>
              </w:numPr>
              <w:bidi w:val="0"/>
              <w:ind w:leftChars="0" w:firstLine="480" w:firstLineChars="200"/>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1、区域环境空气质量达标情况</w:t>
            </w:r>
          </w:p>
          <w:p w14:paraId="43A6AB5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rPr>
            </w:pPr>
            <w:r>
              <w:rPr>
                <w:rFonts w:hint="eastAsia" w:ascii="Times New Roman" w:hAnsi="宋体"/>
                <w:color w:val="auto"/>
                <w:sz w:val="24"/>
              </w:rPr>
              <w:t>根据济宁市生态环境局</w:t>
            </w:r>
            <w:r>
              <w:rPr>
                <w:rFonts w:hint="eastAsia" w:hAnsi="宋体"/>
                <w:color w:val="auto"/>
                <w:sz w:val="24"/>
                <w:lang w:val="en-US" w:eastAsia="zh-CN"/>
              </w:rPr>
              <w:t>官方网站</w:t>
            </w:r>
            <w:r>
              <w:rPr>
                <w:rFonts w:hint="eastAsia" w:ascii="Times New Roman" w:hAnsi="宋体"/>
                <w:color w:val="auto"/>
                <w:sz w:val="24"/>
              </w:rPr>
              <w:t>公示的大气环境质量状况，</w:t>
            </w:r>
            <w:r>
              <w:rPr>
                <w:rFonts w:hint="eastAsia" w:ascii="Times New Roman" w:hAnsi="宋体"/>
                <w:color w:val="auto"/>
                <w:sz w:val="24"/>
                <w:lang w:val="en-US" w:eastAsia="zh-CN"/>
              </w:rPr>
              <w:t>泗水</w:t>
            </w:r>
            <w:r>
              <w:rPr>
                <w:rFonts w:hint="eastAsia" w:ascii="Times New Roman" w:hAnsi="宋体"/>
                <w:color w:val="auto"/>
                <w:sz w:val="24"/>
              </w:rPr>
              <w:t>县202</w:t>
            </w:r>
            <w:r>
              <w:rPr>
                <w:rFonts w:hint="eastAsia" w:hAnsi="宋体"/>
                <w:color w:val="auto"/>
                <w:sz w:val="24"/>
                <w:lang w:val="en-US" w:eastAsia="zh-CN"/>
              </w:rPr>
              <w:t>4</w:t>
            </w:r>
            <w:r>
              <w:rPr>
                <w:rFonts w:hint="eastAsia" w:ascii="Times New Roman" w:hAnsi="宋体"/>
                <w:color w:val="auto"/>
                <w:sz w:val="24"/>
              </w:rPr>
              <w:t>年1月~202</w:t>
            </w:r>
            <w:r>
              <w:rPr>
                <w:rFonts w:hint="eastAsia" w:hAnsi="宋体"/>
                <w:color w:val="auto"/>
                <w:sz w:val="24"/>
                <w:lang w:val="en-US" w:eastAsia="zh-CN"/>
              </w:rPr>
              <w:t>4</w:t>
            </w:r>
            <w:r>
              <w:rPr>
                <w:rFonts w:hint="eastAsia" w:ascii="Times New Roman" w:hAnsi="宋体"/>
                <w:color w:val="auto"/>
                <w:sz w:val="24"/>
              </w:rPr>
              <w:t>年12月连续1年的大气环境质量状况监测结果统计见下表</w:t>
            </w:r>
            <w:r>
              <w:rPr>
                <w:rFonts w:hint="eastAsia"/>
                <w:color w:val="auto"/>
                <w:sz w:val="24"/>
              </w:rPr>
              <w:t>。</w:t>
            </w:r>
          </w:p>
          <w:p w14:paraId="6AE715EB">
            <w:pPr>
              <w:adjustRightInd w:val="0"/>
              <w:snapToGrid w:val="0"/>
              <w:spacing w:line="240" w:lineRule="auto"/>
              <w:jc w:val="center"/>
              <w:rPr>
                <w:b/>
                <w:color w:val="auto"/>
                <w:kern w:val="0"/>
              </w:rPr>
            </w:pPr>
            <w:r>
              <w:rPr>
                <w:rFonts w:ascii="Times New Roman" w:hAnsi="Times New Roman" w:eastAsia="新宋体"/>
                <w:b/>
                <w:color w:val="auto"/>
                <w:sz w:val="24"/>
                <w:szCs w:val="24"/>
              </w:rPr>
              <w:t>表3-</w:t>
            </w:r>
            <w:r>
              <w:rPr>
                <w:rFonts w:hint="eastAsia" w:ascii="Times New Roman" w:hAnsi="Times New Roman" w:eastAsia="新宋体"/>
                <w:b/>
                <w:color w:val="auto"/>
                <w:sz w:val="24"/>
                <w:szCs w:val="24"/>
                <w:lang w:val="en-US" w:eastAsia="zh-CN"/>
              </w:rPr>
              <w:t>1</w:t>
            </w:r>
            <w:r>
              <w:rPr>
                <w:rFonts w:ascii="Times New Roman" w:hAnsi="Times New Roman" w:eastAsia="新宋体"/>
                <w:b/>
                <w:color w:val="auto"/>
                <w:sz w:val="24"/>
                <w:szCs w:val="24"/>
              </w:rPr>
              <w:t xml:space="preserve">  </w:t>
            </w:r>
            <w:r>
              <w:rPr>
                <w:rFonts w:hint="eastAsia" w:ascii="Times New Roman" w:hAnsi="Times New Roman" w:eastAsia="新宋体"/>
                <w:b/>
                <w:color w:val="auto"/>
                <w:sz w:val="24"/>
                <w:szCs w:val="24"/>
                <w:lang w:val="en-US" w:eastAsia="zh-CN"/>
              </w:rPr>
              <w:t>泗水</w:t>
            </w:r>
            <w:r>
              <w:rPr>
                <w:rFonts w:hint="eastAsia" w:ascii="Times New Roman" w:hAnsi="Times New Roman" w:eastAsia="新宋体"/>
                <w:b/>
                <w:color w:val="auto"/>
                <w:sz w:val="24"/>
                <w:szCs w:val="24"/>
              </w:rPr>
              <w:t>县202</w:t>
            </w:r>
            <w:r>
              <w:rPr>
                <w:rFonts w:hint="eastAsia" w:eastAsia="新宋体"/>
                <w:b/>
                <w:color w:val="auto"/>
                <w:sz w:val="24"/>
                <w:szCs w:val="24"/>
                <w:lang w:val="en-US" w:eastAsia="zh-CN"/>
              </w:rPr>
              <w:t>4</w:t>
            </w:r>
            <w:r>
              <w:rPr>
                <w:rFonts w:hint="eastAsia" w:ascii="Times New Roman" w:hAnsi="Times New Roman" w:eastAsia="新宋体"/>
                <w:b/>
                <w:color w:val="auto"/>
                <w:sz w:val="24"/>
                <w:szCs w:val="24"/>
              </w:rPr>
              <w:t>年</w:t>
            </w:r>
            <w:r>
              <w:rPr>
                <w:rFonts w:hint="eastAsia" w:ascii="Times New Roman" w:hAnsi="Times New Roman" w:eastAsia="新宋体"/>
                <w:b/>
                <w:color w:val="auto"/>
                <w:sz w:val="24"/>
                <w:szCs w:val="24"/>
                <w:lang w:val="en-US" w:eastAsia="zh-CN"/>
              </w:rPr>
              <w:t>全</w:t>
            </w:r>
            <w:r>
              <w:rPr>
                <w:rFonts w:hint="eastAsia" w:ascii="Times New Roman" w:hAnsi="Times New Roman" w:eastAsia="新宋体"/>
                <w:b/>
                <w:color w:val="auto"/>
                <w:sz w:val="24"/>
                <w:szCs w:val="24"/>
              </w:rPr>
              <w:t>年空气质量现状</w:t>
            </w:r>
            <w:r>
              <w:rPr>
                <w:rFonts w:hint="eastAsia" w:ascii="Times New Roman" w:hAnsi="Times New Roman" w:eastAsia="新宋体"/>
                <w:b/>
                <w:color w:val="auto"/>
                <w:sz w:val="24"/>
                <w:szCs w:val="24"/>
                <w:lang w:val="en-US" w:eastAsia="zh-CN"/>
              </w:rPr>
              <w:t>一览</w:t>
            </w:r>
            <w:r>
              <w:rPr>
                <w:rFonts w:hint="eastAsia" w:ascii="Times New Roman" w:hAnsi="Times New Roman" w:eastAsia="新宋体"/>
                <w:b/>
                <w:color w:val="auto"/>
                <w:sz w:val="24"/>
                <w:szCs w:val="24"/>
              </w:rPr>
              <w:t>表</w:t>
            </w:r>
          </w:p>
          <w:tbl>
            <w:tblPr>
              <w:tblStyle w:val="1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921"/>
              <w:gridCol w:w="1111"/>
              <w:gridCol w:w="1038"/>
              <w:gridCol w:w="1258"/>
              <w:gridCol w:w="1294"/>
              <w:gridCol w:w="1234"/>
            </w:tblGrid>
            <w:tr w14:paraId="657AF7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28314AEA">
                  <w:pPr>
                    <w:pStyle w:val="131"/>
                    <w:keepNext w:val="0"/>
                    <w:keepLines w:val="0"/>
                    <w:pageBreakBefore w:val="0"/>
                    <w:widowControl/>
                    <w:wordWrap/>
                    <w:overflowPunct/>
                    <w:topLinePunct w:val="0"/>
                    <w:bidi w:val="0"/>
                    <w:snapToGrid w:val="0"/>
                    <w:spacing w:line="240" w:lineRule="auto"/>
                    <w:ind w:left="0"/>
                    <w:jc w:val="center"/>
                    <w:rPr>
                      <w:rFonts w:hint="eastAsia" w:eastAsia="宋体"/>
                      <w:b/>
                      <w:bCs/>
                      <w:color w:val="auto"/>
                      <w:sz w:val="21"/>
                      <w:szCs w:val="21"/>
                      <w:lang w:eastAsia="zh-CN"/>
                    </w:rPr>
                  </w:pPr>
                  <w:r>
                    <w:rPr>
                      <w:rFonts w:hint="eastAsia"/>
                      <w:b/>
                      <w:bCs/>
                      <w:color w:val="auto"/>
                      <w:spacing w:val="6"/>
                      <w:sz w:val="21"/>
                      <w:szCs w:val="21"/>
                      <w:lang w:val="en-US" w:eastAsia="zh-CN"/>
                    </w:rPr>
                    <w:t>月份</w:t>
                  </w:r>
                </w:p>
              </w:tc>
              <w:tc>
                <w:tcPr>
                  <w:tcW w:w="562" w:type="pct"/>
                  <w:tcBorders>
                    <w:tl2br w:val="nil"/>
                    <w:tr2bl w:val="nil"/>
                  </w:tcBorders>
                  <w:noWrap w:val="0"/>
                  <w:vAlign w:val="center"/>
                </w:tcPr>
                <w:p w14:paraId="7EB2BA62">
                  <w:pPr>
                    <w:pStyle w:val="13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6"/>
                      <w:position w:val="-1"/>
                      <w:sz w:val="21"/>
                      <w:szCs w:val="21"/>
                      <w:vertAlign w:val="subscript"/>
                    </w:rPr>
                  </w:pPr>
                  <w:r>
                    <w:rPr>
                      <w:rFonts w:ascii="Times New Roman" w:hAnsi="Times New Roman" w:eastAsia="Times New Roman" w:cs="Times New Roman"/>
                      <w:b/>
                      <w:bCs/>
                      <w:color w:val="auto"/>
                      <w:sz w:val="21"/>
                      <w:szCs w:val="21"/>
                    </w:rPr>
                    <w:t>SO</w:t>
                  </w:r>
                  <w:r>
                    <w:rPr>
                      <w:rFonts w:ascii="Times New Roman" w:hAnsi="Times New Roman" w:eastAsia="Times New Roman" w:cs="Times New Roman"/>
                      <w:b/>
                      <w:bCs/>
                      <w:color w:val="auto"/>
                      <w:spacing w:val="6"/>
                      <w:position w:val="-1"/>
                      <w:sz w:val="21"/>
                      <w:szCs w:val="21"/>
                      <w:vertAlign w:val="subscript"/>
                    </w:rPr>
                    <w:t>2</w:t>
                  </w:r>
                </w:p>
                <w:p w14:paraId="276DB5BE">
                  <w:pPr>
                    <w:pStyle w:val="13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2"/>
                      <w:sz w:val="21"/>
                      <w:szCs w:val="21"/>
                    </w:rPr>
                    <w:t>(</w:t>
                  </w:r>
                  <w:r>
                    <w:rPr>
                      <w:rFonts w:ascii="Times New Roman" w:hAnsi="Times New Roman" w:eastAsia="Times New Roman" w:cs="Times New Roman"/>
                      <w:b/>
                      <w:bCs/>
                      <w:color w:val="auto"/>
                      <w:spacing w:val="2"/>
                      <w:sz w:val="21"/>
                      <w:szCs w:val="21"/>
                    </w:rPr>
                    <w:t>μg/m</w:t>
                  </w:r>
                  <w:r>
                    <w:rPr>
                      <w:rFonts w:hint="eastAsia" w:ascii="Times New Roman" w:hAnsi="Times New Roman" w:eastAsia="宋体" w:cs="Times New Roman"/>
                      <w:b/>
                      <w:bCs/>
                      <w:color w:val="auto"/>
                      <w:spacing w:val="2"/>
                      <w:sz w:val="21"/>
                      <w:szCs w:val="21"/>
                      <w:vertAlign w:val="superscript"/>
                      <w:lang w:val="en-US" w:eastAsia="zh-CN"/>
                    </w:rPr>
                    <w:t>3</w:t>
                  </w:r>
                  <w:r>
                    <w:rPr>
                      <w:b/>
                      <w:bCs/>
                      <w:color w:val="auto"/>
                      <w:spacing w:val="2"/>
                      <w:sz w:val="21"/>
                      <w:szCs w:val="21"/>
                    </w:rPr>
                    <w:t>）</w:t>
                  </w:r>
                </w:p>
              </w:tc>
              <w:tc>
                <w:tcPr>
                  <w:tcW w:w="678" w:type="pct"/>
                  <w:tcBorders>
                    <w:tl2br w:val="nil"/>
                    <w:tr2bl w:val="nil"/>
                  </w:tcBorders>
                  <w:noWrap w:val="0"/>
                  <w:vAlign w:val="center"/>
                </w:tcPr>
                <w:p w14:paraId="753069CD">
                  <w:pPr>
                    <w:pStyle w:val="13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14"/>
                      <w:position w:val="-1"/>
                      <w:sz w:val="21"/>
                      <w:szCs w:val="21"/>
                      <w:vertAlign w:val="subscript"/>
                    </w:rPr>
                  </w:pPr>
                  <w:r>
                    <w:rPr>
                      <w:rFonts w:ascii="Times New Roman" w:hAnsi="Times New Roman" w:eastAsia="Times New Roman" w:cs="Times New Roman"/>
                      <w:b/>
                      <w:bCs/>
                      <w:color w:val="auto"/>
                      <w:sz w:val="21"/>
                      <w:szCs w:val="21"/>
                    </w:rPr>
                    <w:t>NO</w:t>
                  </w:r>
                  <w:r>
                    <w:rPr>
                      <w:rFonts w:ascii="Times New Roman" w:hAnsi="Times New Roman" w:eastAsia="Times New Roman" w:cs="Times New Roman"/>
                      <w:b/>
                      <w:bCs/>
                      <w:color w:val="auto"/>
                      <w:spacing w:val="14"/>
                      <w:position w:val="-1"/>
                      <w:sz w:val="21"/>
                      <w:szCs w:val="21"/>
                      <w:vertAlign w:val="subscript"/>
                    </w:rPr>
                    <w:t>2</w:t>
                  </w:r>
                </w:p>
                <w:p w14:paraId="4A85E3AC">
                  <w:pPr>
                    <w:pStyle w:val="13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2"/>
                      <w:sz w:val="21"/>
                      <w:szCs w:val="21"/>
                    </w:rPr>
                    <w:t>(</w:t>
                  </w:r>
                  <w:r>
                    <w:rPr>
                      <w:rFonts w:ascii="Times New Roman" w:hAnsi="Times New Roman" w:eastAsia="Times New Roman" w:cs="Times New Roman"/>
                      <w:b/>
                      <w:bCs/>
                      <w:color w:val="auto"/>
                      <w:spacing w:val="2"/>
                      <w:sz w:val="21"/>
                      <w:szCs w:val="21"/>
                    </w:rPr>
                    <w:t>μg/m</w:t>
                  </w:r>
                  <w:r>
                    <w:rPr>
                      <w:rFonts w:hint="eastAsia" w:ascii="Times New Roman" w:hAnsi="Times New Roman" w:eastAsia="宋体" w:cs="Times New Roman"/>
                      <w:b/>
                      <w:bCs/>
                      <w:color w:val="auto"/>
                      <w:spacing w:val="2"/>
                      <w:sz w:val="21"/>
                      <w:szCs w:val="21"/>
                      <w:vertAlign w:val="superscript"/>
                      <w:lang w:val="en-US" w:eastAsia="zh-CN"/>
                    </w:rPr>
                    <w:t>3</w:t>
                  </w:r>
                  <w:r>
                    <w:rPr>
                      <w:b/>
                      <w:bCs/>
                      <w:color w:val="auto"/>
                      <w:spacing w:val="2"/>
                      <w:sz w:val="21"/>
                      <w:szCs w:val="21"/>
                    </w:rPr>
                    <w:t>）</w:t>
                  </w:r>
                </w:p>
              </w:tc>
              <w:tc>
                <w:tcPr>
                  <w:tcW w:w="634" w:type="pct"/>
                  <w:tcBorders>
                    <w:tl2br w:val="nil"/>
                    <w:tr2bl w:val="nil"/>
                  </w:tcBorders>
                  <w:noWrap w:val="0"/>
                  <w:vAlign w:val="center"/>
                </w:tcPr>
                <w:p w14:paraId="174B7DED">
                  <w:pPr>
                    <w:pStyle w:val="13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4"/>
                      <w:position w:val="-1"/>
                      <w:sz w:val="21"/>
                      <w:szCs w:val="21"/>
                    </w:rPr>
                  </w:pPr>
                  <w:r>
                    <w:rPr>
                      <w:rFonts w:ascii="Times New Roman" w:hAnsi="Times New Roman" w:eastAsia="Times New Roman" w:cs="Times New Roman"/>
                      <w:b/>
                      <w:bCs/>
                      <w:color w:val="auto"/>
                      <w:sz w:val="21"/>
                      <w:szCs w:val="21"/>
                    </w:rPr>
                    <w:t>PM</w:t>
                  </w:r>
                  <w:r>
                    <w:rPr>
                      <w:rFonts w:ascii="Times New Roman" w:hAnsi="Times New Roman" w:eastAsia="Times New Roman" w:cs="Times New Roman"/>
                      <w:b/>
                      <w:bCs/>
                      <w:color w:val="auto"/>
                      <w:spacing w:val="4"/>
                      <w:position w:val="-1"/>
                      <w:sz w:val="21"/>
                      <w:szCs w:val="21"/>
                      <w:vertAlign w:val="subscript"/>
                    </w:rPr>
                    <w:t>10</w:t>
                  </w:r>
                </w:p>
                <w:p w14:paraId="4C0217DB">
                  <w:pPr>
                    <w:pStyle w:val="13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4"/>
                      <w:sz w:val="21"/>
                      <w:szCs w:val="21"/>
                    </w:rPr>
                    <w:t>(</w:t>
                  </w:r>
                  <w:r>
                    <w:rPr>
                      <w:rFonts w:ascii="Times New Roman" w:hAnsi="Times New Roman" w:eastAsia="Times New Roman" w:cs="Times New Roman"/>
                      <w:b/>
                      <w:bCs/>
                      <w:color w:val="auto"/>
                      <w:spacing w:val="4"/>
                      <w:sz w:val="21"/>
                      <w:szCs w:val="21"/>
                    </w:rPr>
                    <w:t>μg/m</w:t>
                  </w:r>
                  <w:r>
                    <w:rPr>
                      <w:rFonts w:hint="eastAsia" w:ascii="Times New Roman" w:hAnsi="Times New Roman" w:eastAsia="宋体" w:cs="Times New Roman"/>
                      <w:b/>
                      <w:bCs/>
                      <w:color w:val="auto"/>
                      <w:spacing w:val="4"/>
                      <w:sz w:val="21"/>
                      <w:szCs w:val="21"/>
                      <w:vertAlign w:val="superscript"/>
                      <w:lang w:val="en-US" w:eastAsia="zh-CN"/>
                    </w:rPr>
                    <w:t>3</w:t>
                  </w:r>
                  <w:r>
                    <w:rPr>
                      <w:b/>
                      <w:bCs/>
                      <w:color w:val="auto"/>
                      <w:spacing w:val="4"/>
                      <w:sz w:val="21"/>
                      <w:szCs w:val="21"/>
                    </w:rPr>
                    <w:t>）</w:t>
                  </w:r>
                </w:p>
              </w:tc>
              <w:tc>
                <w:tcPr>
                  <w:tcW w:w="768" w:type="pct"/>
                  <w:tcBorders>
                    <w:tl2br w:val="nil"/>
                    <w:tr2bl w:val="nil"/>
                  </w:tcBorders>
                  <w:noWrap w:val="0"/>
                  <w:vAlign w:val="center"/>
                </w:tcPr>
                <w:p w14:paraId="5FB9EDC2">
                  <w:pPr>
                    <w:pStyle w:val="13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3"/>
                      <w:position w:val="-1"/>
                      <w:sz w:val="21"/>
                      <w:szCs w:val="21"/>
                    </w:rPr>
                  </w:pPr>
                  <w:r>
                    <w:rPr>
                      <w:rFonts w:ascii="Times New Roman" w:hAnsi="Times New Roman" w:eastAsia="Times New Roman" w:cs="Times New Roman"/>
                      <w:b/>
                      <w:bCs/>
                      <w:color w:val="auto"/>
                      <w:sz w:val="21"/>
                      <w:szCs w:val="21"/>
                    </w:rPr>
                    <w:t>PM</w:t>
                  </w:r>
                  <w:r>
                    <w:rPr>
                      <w:rFonts w:ascii="Times New Roman" w:hAnsi="Times New Roman" w:eastAsia="Times New Roman" w:cs="Times New Roman"/>
                      <w:b/>
                      <w:bCs/>
                      <w:color w:val="auto"/>
                      <w:spacing w:val="3"/>
                      <w:position w:val="-1"/>
                      <w:sz w:val="21"/>
                      <w:szCs w:val="21"/>
                      <w:vertAlign w:val="subscript"/>
                    </w:rPr>
                    <w:t>2.5</w:t>
                  </w:r>
                </w:p>
                <w:p w14:paraId="5135A7F9">
                  <w:pPr>
                    <w:pStyle w:val="13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3"/>
                      <w:sz w:val="21"/>
                      <w:szCs w:val="21"/>
                    </w:rPr>
                    <w:t>(</w:t>
                  </w:r>
                  <w:r>
                    <w:rPr>
                      <w:rFonts w:ascii="Times New Roman" w:hAnsi="Times New Roman" w:eastAsia="Times New Roman" w:cs="Times New Roman"/>
                      <w:b/>
                      <w:bCs/>
                      <w:color w:val="auto"/>
                      <w:spacing w:val="3"/>
                      <w:sz w:val="21"/>
                      <w:szCs w:val="21"/>
                    </w:rPr>
                    <w:t>μg/m</w:t>
                  </w:r>
                  <w:r>
                    <w:rPr>
                      <w:rFonts w:hint="eastAsia" w:ascii="Times New Roman" w:hAnsi="Times New Roman" w:eastAsia="宋体" w:cs="Times New Roman"/>
                      <w:b/>
                      <w:bCs/>
                      <w:color w:val="auto"/>
                      <w:spacing w:val="3"/>
                      <w:sz w:val="21"/>
                      <w:szCs w:val="21"/>
                      <w:vertAlign w:val="superscript"/>
                      <w:lang w:val="en-US" w:eastAsia="zh-CN"/>
                    </w:rPr>
                    <w:t>3</w:t>
                  </w:r>
                  <w:r>
                    <w:rPr>
                      <w:b/>
                      <w:bCs/>
                      <w:color w:val="auto"/>
                      <w:spacing w:val="3"/>
                      <w:sz w:val="21"/>
                      <w:szCs w:val="21"/>
                    </w:rPr>
                    <w:t>）</w:t>
                  </w:r>
                </w:p>
              </w:tc>
              <w:tc>
                <w:tcPr>
                  <w:tcW w:w="790" w:type="pct"/>
                  <w:tcBorders>
                    <w:tl2br w:val="nil"/>
                    <w:tr2bl w:val="nil"/>
                  </w:tcBorders>
                  <w:noWrap w:val="0"/>
                  <w:vAlign w:val="center"/>
                </w:tcPr>
                <w:p w14:paraId="2703A422">
                  <w:pPr>
                    <w:keepNext w:val="0"/>
                    <w:keepLines w:val="0"/>
                    <w:pageBreakBefore w:val="0"/>
                    <w:widowControl/>
                    <w:suppressLineNumbers w:val="0"/>
                    <w:wordWrap/>
                    <w:overflowPunct/>
                    <w:topLinePunct w:val="0"/>
                    <w:bidi w:val="0"/>
                    <w:snapToGrid w:val="0"/>
                    <w:spacing w:line="240" w:lineRule="auto"/>
                    <w:ind w:left="0"/>
                    <w:jc w:val="center"/>
                    <w:rPr>
                      <w:rFonts w:ascii="Times New Roman" w:hAnsi="Times New Roman" w:eastAsia="Times New Roman" w:cs="Times New Roman"/>
                      <w:b/>
                      <w:bCs/>
                      <w:snapToGrid w:val="0"/>
                      <w:color w:val="auto"/>
                      <w:kern w:val="0"/>
                      <w:sz w:val="21"/>
                      <w:szCs w:val="21"/>
                      <w:lang w:val="en-US" w:eastAsia="en-US" w:bidi="ar-SA"/>
                    </w:rPr>
                  </w:pPr>
                  <w:r>
                    <w:rPr>
                      <w:rFonts w:hint="default" w:ascii="Times New Roman" w:hAnsi="Times New Roman" w:eastAsia="Times New Roman" w:cs="Times New Roman"/>
                      <w:b/>
                      <w:bCs/>
                      <w:snapToGrid w:val="0"/>
                      <w:color w:val="auto"/>
                      <w:kern w:val="0"/>
                      <w:sz w:val="21"/>
                      <w:szCs w:val="21"/>
                      <w:lang w:val="en-US" w:eastAsia="zh-CN" w:bidi="ar-SA"/>
                    </w:rPr>
                    <w:t>CO95</w:t>
                  </w:r>
                  <w:r>
                    <w:rPr>
                      <w:rFonts w:hint="eastAsia" w:ascii="Times New Roman" w:hAnsi="Times New Roman" w:eastAsia="Times New Roman" w:cs="Times New Roman"/>
                      <w:b/>
                      <w:bCs/>
                      <w:snapToGrid w:val="0"/>
                      <w:color w:val="auto"/>
                      <w:kern w:val="0"/>
                      <w:sz w:val="21"/>
                      <w:szCs w:val="21"/>
                      <w:lang w:val="en-US" w:eastAsia="zh-CN" w:bidi="ar-SA"/>
                    </w:rPr>
                    <w:t>百分数浓度值</w:t>
                  </w:r>
                  <w:r>
                    <w:rPr>
                      <w:rFonts w:hint="default" w:ascii="Times New Roman" w:hAnsi="Times New Roman" w:eastAsia="Times New Roman" w:cs="Times New Roman"/>
                      <w:b/>
                      <w:bCs/>
                      <w:snapToGrid w:val="0"/>
                      <w:color w:val="auto"/>
                      <w:kern w:val="0"/>
                      <w:sz w:val="21"/>
                      <w:szCs w:val="21"/>
                      <w:lang w:val="en-US" w:eastAsia="zh-CN" w:bidi="ar-SA"/>
                    </w:rPr>
                    <w:t>(mg/m</w:t>
                  </w:r>
                  <w:r>
                    <w:rPr>
                      <w:rFonts w:hint="default" w:ascii="Times New Roman" w:hAnsi="Times New Roman" w:eastAsia="Times New Roman" w:cs="Times New Roman"/>
                      <w:b/>
                      <w:bCs/>
                      <w:snapToGrid w:val="0"/>
                      <w:color w:val="auto"/>
                      <w:kern w:val="0"/>
                      <w:sz w:val="21"/>
                      <w:szCs w:val="21"/>
                      <w:vertAlign w:val="superscript"/>
                      <w:lang w:val="en-US" w:eastAsia="zh-CN" w:bidi="ar-SA"/>
                    </w:rPr>
                    <w:t>3</w:t>
                  </w:r>
                  <w:r>
                    <w:rPr>
                      <w:rFonts w:hint="default" w:ascii="Times New Roman" w:hAnsi="Times New Roman" w:eastAsia="Times New Roman" w:cs="Times New Roman"/>
                      <w:b/>
                      <w:bCs/>
                      <w:snapToGrid w:val="0"/>
                      <w:color w:val="auto"/>
                      <w:kern w:val="0"/>
                      <w:sz w:val="21"/>
                      <w:szCs w:val="21"/>
                      <w:lang w:val="en-US" w:eastAsia="zh-CN" w:bidi="ar-SA"/>
                    </w:rPr>
                    <w:t>)</w:t>
                  </w:r>
                </w:p>
              </w:tc>
              <w:tc>
                <w:tcPr>
                  <w:tcW w:w="753" w:type="pct"/>
                  <w:tcBorders>
                    <w:tl2br w:val="nil"/>
                    <w:tr2bl w:val="nil"/>
                  </w:tcBorders>
                  <w:noWrap w:val="0"/>
                  <w:vAlign w:val="center"/>
                </w:tcPr>
                <w:p w14:paraId="38C9DF2C">
                  <w:pPr>
                    <w:keepNext w:val="0"/>
                    <w:keepLines w:val="0"/>
                    <w:pageBreakBefore w:val="0"/>
                    <w:widowControl/>
                    <w:suppressLineNumbers w:val="0"/>
                    <w:wordWrap/>
                    <w:overflowPunct/>
                    <w:topLinePunct w:val="0"/>
                    <w:bidi w:val="0"/>
                    <w:snapToGrid w:val="0"/>
                    <w:spacing w:line="240" w:lineRule="auto"/>
                    <w:ind w:left="0"/>
                    <w:jc w:val="center"/>
                    <w:rPr>
                      <w:rFonts w:ascii="Times New Roman" w:hAnsi="Times New Roman" w:eastAsia="Times New Roman" w:cs="Times New Roman"/>
                      <w:b/>
                      <w:bCs/>
                      <w:snapToGrid w:val="0"/>
                      <w:color w:val="auto"/>
                      <w:kern w:val="0"/>
                      <w:sz w:val="21"/>
                      <w:szCs w:val="21"/>
                      <w:lang w:val="en-US" w:eastAsia="en-US" w:bidi="ar-SA"/>
                    </w:rPr>
                  </w:pPr>
                  <w:r>
                    <w:rPr>
                      <w:rFonts w:hint="default" w:ascii="Times New Roman" w:hAnsi="Times New Roman" w:eastAsia="Times New Roman" w:cs="Times New Roman"/>
                      <w:b/>
                      <w:bCs/>
                      <w:snapToGrid w:val="0"/>
                      <w:color w:val="auto"/>
                      <w:kern w:val="0"/>
                      <w:sz w:val="21"/>
                      <w:szCs w:val="21"/>
                      <w:lang w:val="en-US" w:eastAsia="zh-CN" w:bidi="ar-SA"/>
                    </w:rPr>
                    <w:t>O</w:t>
                  </w:r>
                  <w:r>
                    <w:rPr>
                      <w:rFonts w:hint="default" w:ascii="Times New Roman" w:hAnsi="Times New Roman" w:eastAsia="Times New Roman" w:cs="Times New Roman"/>
                      <w:b/>
                      <w:bCs/>
                      <w:snapToGrid w:val="0"/>
                      <w:color w:val="auto"/>
                      <w:kern w:val="0"/>
                      <w:sz w:val="21"/>
                      <w:szCs w:val="21"/>
                      <w:vertAlign w:val="subscript"/>
                      <w:lang w:val="en-US" w:eastAsia="zh-CN" w:bidi="ar-SA"/>
                    </w:rPr>
                    <w:t>3</w:t>
                  </w:r>
                  <w:r>
                    <w:rPr>
                      <w:rFonts w:hint="default" w:ascii="Times New Roman" w:hAnsi="Times New Roman" w:eastAsia="Times New Roman" w:cs="Times New Roman"/>
                      <w:b/>
                      <w:bCs/>
                      <w:snapToGrid w:val="0"/>
                      <w:color w:val="auto"/>
                      <w:kern w:val="0"/>
                      <w:sz w:val="21"/>
                      <w:szCs w:val="21"/>
                      <w:lang w:val="en-US" w:eastAsia="zh-CN" w:bidi="ar-SA"/>
                    </w:rPr>
                    <w:t>90</w:t>
                  </w:r>
                  <w:r>
                    <w:rPr>
                      <w:rFonts w:hint="eastAsia" w:ascii="Times New Roman" w:hAnsi="Times New Roman" w:eastAsia="Times New Roman" w:cs="Times New Roman"/>
                      <w:b/>
                      <w:bCs/>
                      <w:snapToGrid w:val="0"/>
                      <w:color w:val="auto"/>
                      <w:kern w:val="0"/>
                      <w:sz w:val="21"/>
                      <w:szCs w:val="21"/>
                      <w:lang w:val="en-US" w:eastAsia="zh-CN" w:bidi="ar-SA"/>
                    </w:rPr>
                    <w:t>百分数浓度值(</w:t>
                  </w:r>
                  <w:r>
                    <w:rPr>
                      <w:rFonts w:hint="default" w:ascii="Times New Roman" w:hAnsi="Times New Roman" w:eastAsia="Times New Roman" w:cs="Times New Roman"/>
                      <w:b/>
                      <w:bCs/>
                      <w:snapToGrid w:val="0"/>
                      <w:color w:val="auto"/>
                      <w:kern w:val="0"/>
                      <w:sz w:val="21"/>
                      <w:szCs w:val="21"/>
                      <w:lang w:val="en-US" w:eastAsia="zh-CN" w:bidi="ar-SA"/>
                    </w:rPr>
                    <w:t>μg/m</w:t>
                  </w:r>
                  <w:r>
                    <w:rPr>
                      <w:rFonts w:hint="eastAsia" w:ascii="Times New Roman" w:hAnsi="Times New Roman" w:eastAsia="Times New Roman" w:cs="Times New Roman"/>
                      <w:b/>
                      <w:bCs/>
                      <w:snapToGrid w:val="0"/>
                      <w:color w:val="auto"/>
                      <w:kern w:val="0"/>
                      <w:sz w:val="21"/>
                      <w:szCs w:val="21"/>
                      <w:vertAlign w:val="superscript"/>
                      <w:lang w:val="en-US" w:eastAsia="zh-CN" w:bidi="ar-SA"/>
                    </w:rPr>
                    <w:t>3</w:t>
                  </w:r>
                  <w:r>
                    <w:rPr>
                      <w:rFonts w:hint="eastAsia" w:ascii="Times New Roman" w:hAnsi="Times New Roman" w:eastAsia="Times New Roman" w:cs="Times New Roman"/>
                      <w:b/>
                      <w:bCs/>
                      <w:snapToGrid w:val="0"/>
                      <w:color w:val="auto"/>
                      <w:kern w:val="0"/>
                      <w:sz w:val="21"/>
                      <w:szCs w:val="21"/>
                      <w:lang w:val="en-US" w:eastAsia="zh-CN" w:bidi="ar-SA"/>
                    </w:rPr>
                    <w:t>)</w:t>
                  </w:r>
                </w:p>
              </w:tc>
            </w:tr>
            <w:tr w14:paraId="20AC80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4817E3A7">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w:t>
                  </w:r>
                  <w:r>
                    <w:rPr>
                      <w:color w:val="auto"/>
                      <w:spacing w:val="-1"/>
                      <w:sz w:val="21"/>
                      <w:szCs w:val="21"/>
                    </w:rPr>
                    <w:t>月</w:t>
                  </w:r>
                </w:p>
              </w:tc>
              <w:tc>
                <w:tcPr>
                  <w:tcW w:w="562" w:type="pct"/>
                  <w:tcBorders>
                    <w:tl2br w:val="nil"/>
                    <w:tr2bl w:val="nil"/>
                  </w:tcBorders>
                  <w:noWrap w:val="0"/>
                  <w:vAlign w:val="center"/>
                </w:tcPr>
                <w:p w14:paraId="672A562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678" w:type="pct"/>
                  <w:tcBorders>
                    <w:tl2br w:val="nil"/>
                    <w:tr2bl w:val="nil"/>
                  </w:tcBorders>
                  <w:noWrap w:val="0"/>
                  <w:vAlign w:val="center"/>
                </w:tcPr>
                <w:p w14:paraId="141BF2A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42</w:t>
                  </w:r>
                </w:p>
              </w:tc>
              <w:tc>
                <w:tcPr>
                  <w:tcW w:w="634" w:type="pct"/>
                  <w:tcBorders>
                    <w:tl2br w:val="nil"/>
                    <w:tr2bl w:val="nil"/>
                  </w:tcBorders>
                  <w:noWrap w:val="0"/>
                  <w:vAlign w:val="center"/>
                </w:tcPr>
                <w:p w14:paraId="2365FF7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126</w:t>
                  </w:r>
                </w:p>
              </w:tc>
              <w:tc>
                <w:tcPr>
                  <w:tcW w:w="768" w:type="pct"/>
                  <w:tcBorders>
                    <w:tl2br w:val="nil"/>
                    <w:tr2bl w:val="nil"/>
                  </w:tcBorders>
                  <w:noWrap w:val="0"/>
                  <w:vAlign w:val="center"/>
                </w:tcPr>
                <w:p w14:paraId="4D327D2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91</w:t>
                  </w:r>
                </w:p>
              </w:tc>
              <w:tc>
                <w:tcPr>
                  <w:tcW w:w="790" w:type="pct"/>
                  <w:tcBorders>
                    <w:tl2br w:val="nil"/>
                    <w:tr2bl w:val="nil"/>
                  </w:tcBorders>
                  <w:noWrap w:val="0"/>
                  <w:vAlign w:val="center"/>
                </w:tcPr>
                <w:p w14:paraId="69ECA83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753" w:type="pct"/>
                  <w:tcBorders>
                    <w:tl2br w:val="nil"/>
                    <w:tr2bl w:val="nil"/>
                  </w:tcBorders>
                  <w:noWrap w:val="0"/>
                  <w:vAlign w:val="center"/>
                </w:tcPr>
                <w:p w14:paraId="3B609AE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78</w:t>
                  </w:r>
                </w:p>
              </w:tc>
            </w:tr>
            <w:tr w14:paraId="1BEBF9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72EB1084">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2"/>
                      <w:sz w:val="21"/>
                      <w:szCs w:val="21"/>
                    </w:rPr>
                    <w:t>2</w:t>
                  </w:r>
                  <w:r>
                    <w:rPr>
                      <w:color w:val="auto"/>
                      <w:spacing w:val="2"/>
                      <w:sz w:val="21"/>
                      <w:szCs w:val="21"/>
                    </w:rPr>
                    <w:t>月</w:t>
                  </w:r>
                </w:p>
              </w:tc>
              <w:tc>
                <w:tcPr>
                  <w:tcW w:w="562" w:type="pct"/>
                  <w:tcBorders>
                    <w:tl2br w:val="nil"/>
                    <w:tr2bl w:val="nil"/>
                  </w:tcBorders>
                  <w:noWrap w:val="0"/>
                  <w:vAlign w:val="center"/>
                </w:tcPr>
                <w:p w14:paraId="6BDB645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678" w:type="pct"/>
                  <w:tcBorders>
                    <w:tl2br w:val="nil"/>
                    <w:tr2bl w:val="nil"/>
                  </w:tcBorders>
                  <w:noWrap w:val="0"/>
                  <w:vAlign w:val="center"/>
                </w:tcPr>
                <w:p w14:paraId="7974965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634" w:type="pct"/>
                  <w:tcBorders>
                    <w:tl2br w:val="nil"/>
                    <w:tr2bl w:val="nil"/>
                  </w:tcBorders>
                  <w:noWrap w:val="0"/>
                  <w:vAlign w:val="center"/>
                </w:tcPr>
                <w:p w14:paraId="40D75E2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101</w:t>
                  </w:r>
                </w:p>
              </w:tc>
              <w:tc>
                <w:tcPr>
                  <w:tcW w:w="768" w:type="pct"/>
                  <w:tcBorders>
                    <w:tl2br w:val="nil"/>
                    <w:tr2bl w:val="nil"/>
                  </w:tcBorders>
                  <w:noWrap w:val="0"/>
                  <w:vAlign w:val="center"/>
                </w:tcPr>
                <w:p w14:paraId="75A2091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74</w:t>
                  </w:r>
                </w:p>
              </w:tc>
              <w:tc>
                <w:tcPr>
                  <w:tcW w:w="790" w:type="pct"/>
                  <w:tcBorders>
                    <w:tl2br w:val="nil"/>
                    <w:tr2bl w:val="nil"/>
                  </w:tcBorders>
                  <w:noWrap w:val="0"/>
                  <w:vAlign w:val="center"/>
                </w:tcPr>
                <w:p w14:paraId="050E353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w:t>
                  </w:r>
                </w:p>
              </w:tc>
              <w:tc>
                <w:tcPr>
                  <w:tcW w:w="753" w:type="pct"/>
                  <w:tcBorders>
                    <w:tl2br w:val="nil"/>
                    <w:tr2bl w:val="nil"/>
                  </w:tcBorders>
                  <w:noWrap w:val="0"/>
                  <w:vAlign w:val="center"/>
                </w:tcPr>
                <w:p w14:paraId="5F901B8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106</w:t>
                  </w:r>
                </w:p>
              </w:tc>
            </w:tr>
            <w:tr w14:paraId="64415E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03B26F45">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3</w:t>
                  </w:r>
                  <w:r>
                    <w:rPr>
                      <w:color w:val="auto"/>
                      <w:spacing w:val="1"/>
                      <w:sz w:val="21"/>
                      <w:szCs w:val="21"/>
                    </w:rPr>
                    <w:t>月</w:t>
                  </w:r>
                </w:p>
              </w:tc>
              <w:tc>
                <w:tcPr>
                  <w:tcW w:w="562" w:type="pct"/>
                  <w:tcBorders>
                    <w:tl2br w:val="nil"/>
                    <w:tr2bl w:val="nil"/>
                  </w:tcBorders>
                  <w:noWrap w:val="0"/>
                  <w:vAlign w:val="center"/>
                </w:tcPr>
                <w:p w14:paraId="12781C6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678" w:type="pct"/>
                  <w:tcBorders>
                    <w:tl2br w:val="nil"/>
                    <w:tr2bl w:val="nil"/>
                  </w:tcBorders>
                  <w:noWrap w:val="0"/>
                  <w:vAlign w:val="center"/>
                </w:tcPr>
                <w:p w14:paraId="364FA9C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29</w:t>
                  </w:r>
                </w:p>
              </w:tc>
              <w:tc>
                <w:tcPr>
                  <w:tcW w:w="634" w:type="pct"/>
                  <w:tcBorders>
                    <w:tl2br w:val="nil"/>
                    <w:tr2bl w:val="nil"/>
                  </w:tcBorders>
                  <w:noWrap w:val="0"/>
                  <w:vAlign w:val="center"/>
                </w:tcPr>
                <w:p w14:paraId="64991DD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85</w:t>
                  </w:r>
                </w:p>
              </w:tc>
              <w:tc>
                <w:tcPr>
                  <w:tcW w:w="768" w:type="pct"/>
                  <w:tcBorders>
                    <w:tl2br w:val="nil"/>
                    <w:tr2bl w:val="nil"/>
                  </w:tcBorders>
                  <w:noWrap w:val="0"/>
                  <w:vAlign w:val="center"/>
                </w:tcPr>
                <w:p w14:paraId="3CFA37B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45</w:t>
                  </w:r>
                </w:p>
              </w:tc>
              <w:tc>
                <w:tcPr>
                  <w:tcW w:w="790" w:type="pct"/>
                  <w:tcBorders>
                    <w:tl2br w:val="nil"/>
                    <w:tr2bl w:val="nil"/>
                  </w:tcBorders>
                  <w:noWrap w:val="0"/>
                  <w:vAlign w:val="center"/>
                </w:tcPr>
                <w:p w14:paraId="2F8A89A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w:t>
                  </w:r>
                </w:p>
              </w:tc>
              <w:tc>
                <w:tcPr>
                  <w:tcW w:w="753" w:type="pct"/>
                  <w:tcBorders>
                    <w:tl2br w:val="nil"/>
                    <w:tr2bl w:val="nil"/>
                  </w:tcBorders>
                  <w:noWrap w:val="0"/>
                  <w:vAlign w:val="center"/>
                </w:tcPr>
                <w:p w14:paraId="45E9CBA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142</w:t>
                  </w:r>
                </w:p>
              </w:tc>
            </w:tr>
            <w:tr w14:paraId="431527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0813451C">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2"/>
                      <w:sz w:val="21"/>
                      <w:szCs w:val="21"/>
                    </w:rPr>
                    <w:t>4</w:t>
                  </w:r>
                  <w:r>
                    <w:rPr>
                      <w:color w:val="auto"/>
                      <w:spacing w:val="2"/>
                      <w:sz w:val="21"/>
                      <w:szCs w:val="21"/>
                    </w:rPr>
                    <w:t>月</w:t>
                  </w:r>
                </w:p>
              </w:tc>
              <w:tc>
                <w:tcPr>
                  <w:tcW w:w="562" w:type="pct"/>
                  <w:tcBorders>
                    <w:tl2br w:val="nil"/>
                    <w:tr2bl w:val="nil"/>
                  </w:tcBorders>
                  <w:noWrap w:val="0"/>
                  <w:vAlign w:val="center"/>
                </w:tcPr>
                <w:p w14:paraId="52F435F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678" w:type="pct"/>
                  <w:tcBorders>
                    <w:tl2br w:val="nil"/>
                    <w:tr2bl w:val="nil"/>
                  </w:tcBorders>
                  <w:noWrap w:val="0"/>
                  <w:vAlign w:val="center"/>
                </w:tcPr>
                <w:p w14:paraId="2D23FD3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30</w:t>
                  </w:r>
                </w:p>
              </w:tc>
              <w:tc>
                <w:tcPr>
                  <w:tcW w:w="634" w:type="pct"/>
                  <w:tcBorders>
                    <w:tl2br w:val="nil"/>
                    <w:tr2bl w:val="nil"/>
                  </w:tcBorders>
                  <w:noWrap w:val="0"/>
                  <w:vAlign w:val="center"/>
                </w:tcPr>
                <w:p w14:paraId="72CCDCC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73</w:t>
                  </w:r>
                </w:p>
              </w:tc>
              <w:tc>
                <w:tcPr>
                  <w:tcW w:w="768" w:type="pct"/>
                  <w:tcBorders>
                    <w:tl2br w:val="nil"/>
                    <w:tr2bl w:val="nil"/>
                  </w:tcBorders>
                  <w:noWrap w:val="0"/>
                  <w:vAlign w:val="center"/>
                </w:tcPr>
                <w:p w14:paraId="6315EFE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34</w:t>
                  </w:r>
                </w:p>
              </w:tc>
              <w:tc>
                <w:tcPr>
                  <w:tcW w:w="790" w:type="pct"/>
                  <w:tcBorders>
                    <w:tl2br w:val="nil"/>
                    <w:tr2bl w:val="nil"/>
                  </w:tcBorders>
                  <w:noWrap w:val="0"/>
                  <w:vAlign w:val="center"/>
                </w:tcPr>
                <w:p w14:paraId="04C1C58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3" w:type="pct"/>
                  <w:tcBorders>
                    <w:tl2br w:val="nil"/>
                    <w:tr2bl w:val="nil"/>
                  </w:tcBorders>
                  <w:noWrap w:val="0"/>
                  <w:vAlign w:val="center"/>
                </w:tcPr>
                <w:p w14:paraId="4A6BCB8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w:t>
                  </w:r>
                </w:p>
              </w:tc>
            </w:tr>
            <w:tr w14:paraId="269238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53A72638">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5</w:t>
                  </w:r>
                  <w:r>
                    <w:rPr>
                      <w:color w:val="auto"/>
                      <w:spacing w:val="1"/>
                      <w:sz w:val="21"/>
                      <w:szCs w:val="21"/>
                    </w:rPr>
                    <w:t>月</w:t>
                  </w:r>
                </w:p>
              </w:tc>
              <w:tc>
                <w:tcPr>
                  <w:tcW w:w="562" w:type="pct"/>
                  <w:tcBorders>
                    <w:tl2br w:val="nil"/>
                    <w:tr2bl w:val="nil"/>
                  </w:tcBorders>
                  <w:noWrap w:val="0"/>
                  <w:vAlign w:val="center"/>
                </w:tcPr>
                <w:p w14:paraId="10ECCD3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678" w:type="pct"/>
                  <w:tcBorders>
                    <w:tl2br w:val="nil"/>
                    <w:tr2bl w:val="nil"/>
                  </w:tcBorders>
                  <w:noWrap w:val="0"/>
                  <w:vAlign w:val="center"/>
                </w:tcPr>
                <w:p w14:paraId="3B31C8D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634" w:type="pct"/>
                  <w:tcBorders>
                    <w:tl2br w:val="nil"/>
                    <w:tr2bl w:val="nil"/>
                  </w:tcBorders>
                  <w:noWrap w:val="0"/>
                  <w:vAlign w:val="center"/>
                </w:tcPr>
                <w:p w14:paraId="42AAD76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52</w:t>
                  </w:r>
                </w:p>
              </w:tc>
              <w:tc>
                <w:tcPr>
                  <w:tcW w:w="768" w:type="pct"/>
                  <w:tcBorders>
                    <w:tl2br w:val="nil"/>
                    <w:tr2bl w:val="nil"/>
                  </w:tcBorders>
                  <w:noWrap w:val="0"/>
                  <w:vAlign w:val="center"/>
                </w:tcPr>
                <w:p w14:paraId="52569A0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27</w:t>
                  </w:r>
                </w:p>
              </w:tc>
              <w:tc>
                <w:tcPr>
                  <w:tcW w:w="790" w:type="pct"/>
                  <w:tcBorders>
                    <w:tl2br w:val="nil"/>
                    <w:tr2bl w:val="nil"/>
                  </w:tcBorders>
                  <w:noWrap w:val="0"/>
                  <w:vAlign w:val="center"/>
                </w:tcPr>
                <w:p w14:paraId="0A91C9D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3" w:type="pct"/>
                  <w:tcBorders>
                    <w:tl2br w:val="nil"/>
                    <w:tr2bl w:val="nil"/>
                  </w:tcBorders>
                  <w:noWrap w:val="0"/>
                  <w:vAlign w:val="center"/>
                </w:tcPr>
                <w:p w14:paraId="07074B9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169</w:t>
                  </w:r>
                </w:p>
              </w:tc>
            </w:tr>
            <w:tr w14:paraId="3A4FD8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4A80AB47">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6</w:t>
                  </w:r>
                  <w:r>
                    <w:rPr>
                      <w:color w:val="auto"/>
                      <w:spacing w:val="1"/>
                      <w:sz w:val="21"/>
                      <w:szCs w:val="21"/>
                    </w:rPr>
                    <w:t>月</w:t>
                  </w:r>
                </w:p>
              </w:tc>
              <w:tc>
                <w:tcPr>
                  <w:tcW w:w="562" w:type="pct"/>
                  <w:tcBorders>
                    <w:tl2br w:val="nil"/>
                    <w:tr2bl w:val="nil"/>
                  </w:tcBorders>
                  <w:noWrap w:val="0"/>
                  <w:vAlign w:val="center"/>
                </w:tcPr>
                <w:p w14:paraId="63C6895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w:t>
                  </w:r>
                </w:p>
              </w:tc>
              <w:tc>
                <w:tcPr>
                  <w:tcW w:w="678" w:type="pct"/>
                  <w:tcBorders>
                    <w:tl2br w:val="nil"/>
                    <w:tr2bl w:val="nil"/>
                  </w:tcBorders>
                  <w:noWrap w:val="0"/>
                  <w:vAlign w:val="center"/>
                </w:tcPr>
                <w:p w14:paraId="59D7AED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634" w:type="pct"/>
                  <w:tcBorders>
                    <w:tl2br w:val="nil"/>
                    <w:tr2bl w:val="nil"/>
                  </w:tcBorders>
                  <w:noWrap w:val="0"/>
                  <w:vAlign w:val="center"/>
                </w:tcPr>
                <w:p w14:paraId="5CDBA1A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53</w:t>
                  </w:r>
                </w:p>
              </w:tc>
              <w:tc>
                <w:tcPr>
                  <w:tcW w:w="768" w:type="pct"/>
                  <w:tcBorders>
                    <w:tl2br w:val="nil"/>
                    <w:tr2bl w:val="nil"/>
                  </w:tcBorders>
                  <w:noWrap w:val="0"/>
                  <w:vAlign w:val="center"/>
                </w:tcPr>
                <w:p w14:paraId="2C38AC5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790" w:type="pct"/>
                  <w:tcBorders>
                    <w:tl2br w:val="nil"/>
                    <w:tr2bl w:val="nil"/>
                  </w:tcBorders>
                  <w:noWrap w:val="0"/>
                  <w:vAlign w:val="center"/>
                </w:tcPr>
                <w:p w14:paraId="556D4BA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w:t>
                  </w:r>
                </w:p>
              </w:tc>
              <w:tc>
                <w:tcPr>
                  <w:tcW w:w="753" w:type="pct"/>
                  <w:tcBorders>
                    <w:tl2br w:val="nil"/>
                    <w:tr2bl w:val="nil"/>
                  </w:tcBorders>
                  <w:noWrap w:val="0"/>
                  <w:vAlign w:val="center"/>
                </w:tcPr>
                <w:p w14:paraId="1FD0A96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216</w:t>
                  </w:r>
                </w:p>
              </w:tc>
            </w:tr>
            <w:tr w14:paraId="115121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7A96041C">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7</w:t>
                  </w:r>
                  <w:r>
                    <w:rPr>
                      <w:color w:val="auto"/>
                      <w:spacing w:val="1"/>
                      <w:sz w:val="21"/>
                      <w:szCs w:val="21"/>
                    </w:rPr>
                    <w:t>月</w:t>
                  </w:r>
                </w:p>
              </w:tc>
              <w:tc>
                <w:tcPr>
                  <w:tcW w:w="562" w:type="pct"/>
                  <w:tcBorders>
                    <w:tl2br w:val="nil"/>
                    <w:tr2bl w:val="nil"/>
                  </w:tcBorders>
                  <w:noWrap w:val="0"/>
                  <w:vAlign w:val="center"/>
                </w:tcPr>
                <w:p w14:paraId="5DBC78D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678" w:type="pct"/>
                  <w:tcBorders>
                    <w:tl2br w:val="nil"/>
                    <w:tr2bl w:val="nil"/>
                  </w:tcBorders>
                  <w:noWrap w:val="0"/>
                  <w:vAlign w:val="center"/>
                </w:tcPr>
                <w:p w14:paraId="39F0475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634" w:type="pct"/>
                  <w:tcBorders>
                    <w:tl2br w:val="nil"/>
                    <w:tr2bl w:val="nil"/>
                  </w:tcBorders>
                  <w:noWrap w:val="0"/>
                  <w:vAlign w:val="center"/>
                </w:tcPr>
                <w:p w14:paraId="0DC0DFF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29</w:t>
                  </w:r>
                </w:p>
              </w:tc>
              <w:tc>
                <w:tcPr>
                  <w:tcW w:w="768" w:type="pct"/>
                  <w:tcBorders>
                    <w:tl2br w:val="nil"/>
                    <w:tr2bl w:val="nil"/>
                  </w:tcBorders>
                  <w:noWrap w:val="0"/>
                  <w:vAlign w:val="center"/>
                </w:tcPr>
                <w:p w14:paraId="1CF7EB8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790" w:type="pct"/>
                  <w:tcBorders>
                    <w:tl2br w:val="nil"/>
                    <w:tr2bl w:val="nil"/>
                  </w:tcBorders>
                  <w:noWrap w:val="0"/>
                  <w:vAlign w:val="center"/>
                </w:tcPr>
                <w:p w14:paraId="073B9D9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3" w:type="pct"/>
                  <w:tcBorders>
                    <w:tl2br w:val="nil"/>
                    <w:tr2bl w:val="nil"/>
                  </w:tcBorders>
                  <w:noWrap w:val="0"/>
                  <w:vAlign w:val="center"/>
                </w:tcPr>
                <w:p w14:paraId="233F563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172</w:t>
                  </w:r>
                </w:p>
              </w:tc>
            </w:tr>
            <w:tr w14:paraId="48B8A1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66E56255">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8</w:t>
                  </w:r>
                  <w:r>
                    <w:rPr>
                      <w:color w:val="auto"/>
                      <w:spacing w:val="1"/>
                      <w:sz w:val="21"/>
                      <w:szCs w:val="21"/>
                    </w:rPr>
                    <w:t>月</w:t>
                  </w:r>
                </w:p>
              </w:tc>
              <w:tc>
                <w:tcPr>
                  <w:tcW w:w="562" w:type="pct"/>
                  <w:tcBorders>
                    <w:tl2br w:val="nil"/>
                    <w:tr2bl w:val="nil"/>
                  </w:tcBorders>
                  <w:noWrap w:val="0"/>
                  <w:vAlign w:val="center"/>
                </w:tcPr>
                <w:p w14:paraId="73225E6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678" w:type="pct"/>
                  <w:tcBorders>
                    <w:tl2br w:val="nil"/>
                    <w:tr2bl w:val="nil"/>
                  </w:tcBorders>
                  <w:noWrap w:val="0"/>
                  <w:vAlign w:val="center"/>
                </w:tcPr>
                <w:p w14:paraId="4F708C9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w:t>
                  </w:r>
                </w:p>
              </w:tc>
              <w:tc>
                <w:tcPr>
                  <w:tcW w:w="634" w:type="pct"/>
                  <w:tcBorders>
                    <w:tl2br w:val="nil"/>
                    <w:tr2bl w:val="nil"/>
                  </w:tcBorders>
                  <w:noWrap w:val="0"/>
                  <w:vAlign w:val="center"/>
                </w:tcPr>
                <w:p w14:paraId="64D828C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33</w:t>
                  </w:r>
                </w:p>
              </w:tc>
              <w:tc>
                <w:tcPr>
                  <w:tcW w:w="768" w:type="pct"/>
                  <w:tcBorders>
                    <w:tl2br w:val="nil"/>
                    <w:tr2bl w:val="nil"/>
                  </w:tcBorders>
                  <w:noWrap w:val="0"/>
                  <w:vAlign w:val="center"/>
                </w:tcPr>
                <w:p w14:paraId="3A1779C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790" w:type="pct"/>
                  <w:tcBorders>
                    <w:tl2br w:val="nil"/>
                    <w:tr2bl w:val="nil"/>
                  </w:tcBorders>
                  <w:noWrap w:val="0"/>
                  <w:vAlign w:val="center"/>
                </w:tcPr>
                <w:p w14:paraId="3C1BA02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3" w:type="pct"/>
                  <w:tcBorders>
                    <w:tl2br w:val="nil"/>
                    <w:tr2bl w:val="nil"/>
                  </w:tcBorders>
                  <w:noWrap w:val="0"/>
                  <w:vAlign w:val="center"/>
                </w:tcPr>
                <w:p w14:paraId="46EB01C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175</w:t>
                  </w:r>
                </w:p>
              </w:tc>
            </w:tr>
            <w:tr w14:paraId="75598C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26E8E3DD">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9</w:t>
                  </w:r>
                  <w:r>
                    <w:rPr>
                      <w:color w:val="auto"/>
                      <w:spacing w:val="1"/>
                      <w:sz w:val="21"/>
                      <w:szCs w:val="21"/>
                    </w:rPr>
                    <w:t>月</w:t>
                  </w:r>
                </w:p>
              </w:tc>
              <w:tc>
                <w:tcPr>
                  <w:tcW w:w="562" w:type="pct"/>
                  <w:tcBorders>
                    <w:tl2br w:val="nil"/>
                    <w:tr2bl w:val="nil"/>
                  </w:tcBorders>
                  <w:noWrap w:val="0"/>
                  <w:vAlign w:val="center"/>
                </w:tcPr>
                <w:p w14:paraId="045B186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w:t>
                  </w:r>
                </w:p>
              </w:tc>
              <w:tc>
                <w:tcPr>
                  <w:tcW w:w="678" w:type="pct"/>
                  <w:tcBorders>
                    <w:tl2br w:val="nil"/>
                    <w:tr2bl w:val="nil"/>
                  </w:tcBorders>
                  <w:noWrap w:val="0"/>
                  <w:vAlign w:val="center"/>
                </w:tcPr>
                <w:p w14:paraId="5EA14A9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w:t>
                  </w:r>
                </w:p>
              </w:tc>
              <w:tc>
                <w:tcPr>
                  <w:tcW w:w="634" w:type="pct"/>
                  <w:tcBorders>
                    <w:tl2br w:val="nil"/>
                    <w:tr2bl w:val="nil"/>
                  </w:tcBorders>
                  <w:noWrap w:val="0"/>
                  <w:vAlign w:val="center"/>
                </w:tcPr>
                <w:p w14:paraId="66F9735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39</w:t>
                  </w:r>
                </w:p>
              </w:tc>
              <w:tc>
                <w:tcPr>
                  <w:tcW w:w="768" w:type="pct"/>
                  <w:tcBorders>
                    <w:tl2br w:val="nil"/>
                    <w:tr2bl w:val="nil"/>
                  </w:tcBorders>
                  <w:noWrap w:val="0"/>
                  <w:vAlign w:val="center"/>
                </w:tcPr>
                <w:p w14:paraId="66A732B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21</w:t>
                  </w:r>
                </w:p>
              </w:tc>
              <w:tc>
                <w:tcPr>
                  <w:tcW w:w="790" w:type="pct"/>
                  <w:tcBorders>
                    <w:tl2br w:val="nil"/>
                    <w:tr2bl w:val="nil"/>
                  </w:tcBorders>
                  <w:noWrap w:val="0"/>
                  <w:vAlign w:val="center"/>
                </w:tcPr>
                <w:p w14:paraId="3D00778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753" w:type="pct"/>
                  <w:tcBorders>
                    <w:tl2br w:val="nil"/>
                    <w:tr2bl w:val="nil"/>
                  </w:tcBorders>
                  <w:noWrap w:val="0"/>
                  <w:vAlign w:val="center"/>
                </w:tcPr>
                <w:p w14:paraId="0DB8BC6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176</w:t>
                  </w:r>
                </w:p>
              </w:tc>
            </w:tr>
            <w:tr w14:paraId="698C06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5A8E71A7">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10</w:t>
                  </w:r>
                  <w:r>
                    <w:rPr>
                      <w:color w:val="auto"/>
                      <w:spacing w:val="1"/>
                      <w:sz w:val="21"/>
                      <w:szCs w:val="21"/>
                    </w:rPr>
                    <w:t>月</w:t>
                  </w:r>
                </w:p>
              </w:tc>
              <w:tc>
                <w:tcPr>
                  <w:tcW w:w="562" w:type="pct"/>
                  <w:tcBorders>
                    <w:tl2br w:val="nil"/>
                    <w:tr2bl w:val="nil"/>
                  </w:tcBorders>
                  <w:noWrap w:val="0"/>
                  <w:vAlign w:val="center"/>
                </w:tcPr>
                <w:p w14:paraId="79E8F92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678" w:type="pct"/>
                  <w:tcBorders>
                    <w:tl2br w:val="nil"/>
                    <w:tr2bl w:val="nil"/>
                  </w:tcBorders>
                  <w:noWrap w:val="0"/>
                  <w:vAlign w:val="center"/>
                </w:tcPr>
                <w:p w14:paraId="1FF5DB0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36</w:t>
                  </w:r>
                </w:p>
              </w:tc>
              <w:tc>
                <w:tcPr>
                  <w:tcW w:w="634" w:type="pct"/>
                  <w:tcBorders>
                    <w:tl2br w:val="nil"/>
                    <w:tr2bl w:val="nil"/>
                  </w:tcBorders>
                  <w:noWrap w:val="0"/>
                  <w:vAlign w:val="center"/>
                </w:tcPr>
                <w:p w14:paraId="5D4956D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w:t>
                  </w:r>
                </w:p>
              </w:tc>
              <w:tc>
                <w:tcPr>
                  <w:tcW w:w="768" w:type="pct"/>
                  <w:tcBorders>
                    <w:tl2br w:val="nil"/>
                    <w:tr2bl w:val="nil"/>
                  </w:tcBorders>
                  <w:noWrap w:val="0"/>
                  <w:vAlign w:val="center"/>
                </w:tcPr>
                <w:p w14:paraId="5B928C1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36</w:t>
                  </w:r>
                </w:p>
              </w:tc>
              <w:tc>
                <w:tcPr>
                  <w:tcW w:w="790" w:type="pct"/>
                  <w:tcBorders>
                    <w:tl2br w:val="nil"/>
                    <w:tr2bl w:val="nil"/>
                  </w:tcBorders>
                  <w:noWrap w:val="0"/>
                  <w:vAlign w:val="center"/>
                </w:tcPr>
                <w:p w14:paraId="09B4041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753" w:type="pct"/>
                  <w:tcBorders>
                    <w:tl2br w:val="nil"/>
                    <w:tr2bl w:val="nil"/>
                  </w:tcBorders>
                  <w:noWrap w:val="0"/>
                  <w:vAlign w:val="center"/>
                </w:tcPr>
                <w:p w14:paraId="28AF5B2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147</w:t>
                  </w:r>
                </w:p>
              </w:tc>
            </w:tr>
            <w:tr w14:paraId="58213B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2FA88034">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11</w:t>
                  </w:r>
                  <w:r>
                    <w:rPr>
                      <w:color w:val="auto"/>
                      <w:spacing w:val="-1"/>
                      <w:sz w:val="21"/>
                      <w:szCs w:val="21"/>
                    </w:rPr>
                    <w:t>月</w:t>
                  </w:r>
                </w:p>
              </w:tc>
              <w:tc>
                <w:tcPr>
                  <w:tcW w:w="562" w:type="pct"/>
                  <w:tcBorders>
                    <w:tl2br w:val="nil"/>
                    <w:tr2bl w:val="nil"/>
                  </w:tcBorders>
                  <w:noWrap w:val="0"/>
                  <w:vAlign w:val="center"/>
                </w:tcPr>
                <w:p w14:paraId="347E40C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678" w:type="pct"/>
                  <w:tcBorders>
                    <w:tl2br w:val="nil"/>
                    <w:tr2bl w:val="nil"/>
                  </w:tcBorders>
                  <w:noWrap w:val="0"/>
                  <w:vAlign w:val="center"/>
                </w:tcPr>
                <w:p w14:paraId="2EF1751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38</w:t>
                  </w:r>
                </w:p>
              </w:tc>
              <w:tc>
                <w:tcPr>
                  <w:tcW w:w="634" w:type="pct"/>
                  <w:tcBorders>
                    <w:tl2br w:val="nil"/>
                    <w:tr2bl w:val="nil"/>
                  </w:tcBorders>
                  <w:noWrap w:val="0"/>
                  <w:vAlign w:val="center"/>
                </w:tcPr>
                <w:p w14:paraId="142C13C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65</w:t>
                  </w:r>
                </w:p>
              </w:tc>
              <w:tc>
                <w:tcPr>
                  <w:tcW w:w="768" w:type="pct"/>
                  <w:tcBorders>
                    <w:tl2br w:val="nil"/>
                    <w:tr2bl w:val="nil"/>
                  </w:tcBorders>
                  <w:noWrap w:val="0"/>
                  <w:vAlign w:val="center"/>
                </w:tcPr>
                <w:p w14:paraId="2F45901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39</w:t>
                  </w:r>
                </w:p>
              </w:tc>
              <w:tc>
                <w:tcPr>
                  <w:tcW w:w="790" w:type="pct"/>
                  <w:tcBorders>
                    <w:tl2br w:val="nil"/>
                    <w:tr2bl w:val="nil"/>
                  </w:tcBorders>
                  <w:noWrap w:val="0"/>
                  <w:vAlign w:val="center"/>
                </w:tcPr>
                <w:p w14:paraId="77AF11A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753" w:type="pct"/>
                  <w:tcBorders>
                    <w:tl2br w:val="nil"/>
                    <w:tr2bl w:val="nil"/>
                  </w:tcBorders>
                  <w:noWrap w:val="0"/>
                  <w:vAlign w:val="center"/>
                </w:tcPr>
                <w:p w14:paraId="3D41661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106</w:t>
                  </w:r>
                </w:p>
              </w:tc>
            </w:tr>
            <w:tr w14:paraId="11D565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33A8B665">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12</w:t>
                  </w:r>
                  <w:r>
                    <w:rPr>
                      <w:color w:val="auto"/>
                      <w:spacing w:val="1"/>
                      <w:sz w:val="21"/>
                      <w:szCs w:val="21"/>
                    </w:rPr>
                    <w:t>月</w:t>
                  </w:r>
                </w:p>
              </w:tc>
              <w:tc>
                <w:tcPr>
                  <w:tcW w:w="562" w:type="pct"/>
                  <w:tcBorders>
                    <w:tl2br w:val="nil"/>
                    <w:tr2bl w:val="nil"/>
                  </w:tcBorders>
                  <w:noWrap w:val="0"/>
                  <w:vAlign w:val="center"/>
                </w:tcPr>
                <w:p w14:paraId="56E152B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18</w:t>
                  </w:r>
                </w:p>
              </w:tc>
              <w:tc>
                <w:tcPr>
                  <w:tcW w:w="678" w:type="pct"/>
                  <w:tcBorders>
                    <w:tl2br w:val="nil"/>
                    <w:tr2bl w:val="nil"/>
                  </w:tcBorders>
                  <w:noWrap w:val="0"/>
                  <w:vAlign w:val="center"/>
                </w:tcPr>
                <w:p w14:paraId="38033AB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47</w:t>
                  </w:r>
                </w:p>
              </w:tc>
              <w:tc>
                <w:tcPr>
                  <w:tcW w:w="634" w:type="pct"/>
                  <w:tcBorders>
                    <w:tl2br w:val="nil"/>
                    <w:tr2bl w:val="nil"/>
                  </w:tcBorders>
                  <w:noWrap w:val="0"/>
                  <w:vAlign w:val="center"/>
                </w:tcPr>
                <w:p w14:paraId="7C598B9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112</w:t>
                  </w:r>
                </w:p>
              </w:tc>
              <w:tc>
                <w:tcPr>
                  <w:tcW w:w="768" w:type="pct"/>
                  <w:tcBorders>
                    <w:tl2br w:val="nil"/>
                    <w:tr2bl w:val="nil"/>
                  </w:tcBorders>
                  <w:noWrap w:val="0"/>
                  <w:vAlign w:val="center"/>
                </w:tcPr>
                <w:p w14:paraId="2CCE8B8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75</w:t>
                  </w:r>
                </w:p>
              </w:tc>
              <w:tc>
                <w:tcPr>
                  <w:tcW w:w="790" w:type="pct"/>
                  <w:tcBorders>
                    <w:tl2br w:val="nil"/>
                    <w:tr2bl w:val="nil"/>
                  </w:tcBorders>
                  <w:noWrap w:val="0"/>
                  <w:vAlign w:val="center"/>
                </w:tcPr>
                <w:p w14:paraId="493BF98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753" w:type="pct"/>
                  <w:tcBorders>
                    <w:tl2br w:val="nil"/>
                    <w:tr2bl w:val="nil"/>
                  </w:tcBorders>
                  <w:noWrap w:val="0"/>
                  <w:vAlign w:val="center"/>
                </w:tcPr>
                <w:p w14:paraId="641192D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70</w:t>
                  </w:r>
                </w:p>
              </w:tc>
            </w:tr>
            <w:tr w14:paraId="6EDDC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6844B695">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5"/>
                      <w:sz w:val="21"/>
                      <w:szCs w:val="21"/>
                    </w:rPr>
                    <w:t>202</w:t>
                  </w:r>
                  <w:r>
                    <w:rPr>
                      <w:rFonts w:hint="eastAsia" w:ascii="Times New Roman" w:hAnsi="Times New Roman" w:cs="Times New Roman"/>
                      <w:color w:val="auto"/>
                      <w:spacing w:val="5"/>
                      <w:sz w:val="21"/>
                      <w:szCs w:val="21"/>
                      <w:lang w:val="en-US" w:eastAsia="zh-CN"/>
                    </w:rPr>
                    <w:t>4</w:t>
                  </w:r>
                  <w:r>
                    <w:rPr>
                      <w:color w:val="auto"/>
                      <w:spacing w:val="5"/>
                      <w:sz w:val="21"/>
                      <w:szCs w:val="21"/>
                    </w:rPr>
                    <w:t>年年均</w:t>
                  </w:r>
                </w:p>
              </w:tc>
              <w:tc>
                <w:tcPr>
                  <w:tcW w:w="562" w:type="pct"/>
                  <w:tcBorders>
                    <w:tl2br w:val="nil"/>
                    <w:tr2bl w:val="nil"/>
                  </w:tcBorders>
                  <w:noWrap w:val="0"/>
                  <w:vAlign w:val="center"/>
                </w:tcPr>
                <w:p w14:paraId="41A7EE05">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11 </w:t>
                  </w:r>
                </w:p>
              </w:tc>
              <w:tc>
                <w:tcPr>
                  <w:tcW w:w="678" w:type="pct"/>
                  <w:tcBorders>
                    <w:tl2br w:val="nil"/>
                    <w:tr2bl w:val="nil"/>
                  </w:tcBorders>
                  <w:noWrap w:val="0"/>
                  <w:vAlign w:val="center"/>
                </w:tcPr>
                <w:p w14:paraId="5D93878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29 </w:t>
                  </w:r>
                </w:p>
              </w:tc>
              <w:tc>
                <w:tcPr>
                  <w:tcW w:w="634" w:type="pct"/>
                  <w:tcBorders>
                    <w:tl2br w:val="nil"/>
                    <w:tr2bl w:val="nil"/>
                  </w:tcBorders>
                  <w:noWrap w:val="0"/>
                  <w:vAlign w:val="center"/>
                </w:tcPr>
                <w:p w14:paraId="647F211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69 </w:t>
                  </w:r>
                </w:p>
              </w:tc>
              <w:tc>
                <w:tcPr>
                  <w:tcW w:w="768" w:type="pct"/>
                  <w:tcBorders>
                    <w:tl2br w:val="nil"/>
                    <w:tr2bl w:val="nil"/>
                  </w:tcBorders>
                  <w:noWrap w:val="0"/>
                  <w:vAlign w:val="center"/>
                </w:tcPr>
                <w:p w14:paraId="1E96088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42 </w:t>
                  </w:r>
                </w:p>
              </w:tc>
              <w:tc>
                <w:tcPr>
                  <w:tcW w:w="790" w:type="pct"/>
                  <w:tcBorders>
                    <w:tl2br w:val="nil"/>
                    <w:tr2bl w:val="nil"/>
                  </w:tcBorders>
                  <w:noWrap w:val="0"/>
                  <w:vAlign w:val="center"/>
                </w:tcPr>
                <w:p w14:paraId="4FE6558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1.1 </w:t>
                  </w:r>
                </w:p>
              </w:tc>
              <w:tc>
                <w:tcPr>
                  <w:tcW w:w="753" w:type="pct"/>
                  <w:tcBorders>
                    <w:tl2br w:val="nil"/>
                    <w:tr2bl w:val="nil"/>
                  </w:tcBorders>
                  <w:noWrap w:val="0"/>
                  <w:vAlign w:val="center"/>
                </w:tcPr>
                <w:p w14:paraId="0194A1C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143 </w:t>
                  </w:r>
                </w:p>
              </w:tc>
            </w:tr>
            <w:tr w14:paraId="42C10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48E1A9FF">
                  <w:pPr>
                    <w:pStyle w:val="131"/>
                    <w:keepNext w:val="0"/>
                    <w:keepLines w:val="0"/>
                    <w:pageBreakBefore w:val="0"/>
                    <w:widowControl/>
                    <w:wordWrap/>
                    <w:overflowPunct/>
                    <w:topLinePunct w:val="0"/>
                    <w:bidi w:val="0"/>
                    <w:snapToGrid w:val="0"/>
                    <w:spacing w:line="240" w:lineRule="auto"/>
                    <w:ind w:left="0"/>
                    <w:jc w:val="center"/>
                    <w:rPr>
                      <w:color w:val="auto"/>
                      <w:sz w:val="21"/>
                      <w:szCs w:val="21"/>
                    </w:rPr>
                  </w:pPr>
                  <w:r>
                    <w:rPr>
                      <w:color w:val="auto"/>
                      <w:spacing w:val="6"/>
                      <w:sz w:val="21"/>
                      <w:szCs w:val="21"/>
                    </w:rPr>
                    <w:t>二级标准</w:t>
                  </w:r>
                </w:p>
              </w:tc>
              <w:tc>
                <w:tcPr>
                  <w:tcW w:w="562" w:type="pct"/>
                  <w:tcBorders>
                    <w:tl2br w:val="nil"/>
                    <w:tr2bl w:val="nil"/>
                  </w:tcBorders>
                  <w:noWrap w:val="0"/>
                  <w:vAlign w:val="center"/>
                </w:tcPr>
                <w:p w14:paraId="20A4987F">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60</w:t>
                  </w:r>
                </w:p>
              </w:tc>
              <w:tc>
                <w:tcPr>
                  <w:tcW w:w="678" w:type="pct"/>
                  <w:tcBorders>
                    <w:tl2br w:val="nil"/>
                    <w:tr2bl w:val="nil"/>
                  </w:tcBorders>
                  <w:noWrap w:val="0"/>
                  <w:vAlign w:val="center"/>
                </w:tcPr>
                <w:p w14:paraId="2FDB581D">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40</w:t>
                  </w:r>
                </w:p>
              </w:tc>
              <w:tc>
                <w:tcPr>
                  <w:tcW w:w="634" w:type="pct"/>
                  <w:tcBorders>
                    <w:tl2br w:val="nil"/>
                    <w:tr2bl w:val="nil"/>
                  </w:tcBorders>
                  <w:noWrap w:val="0"/>
                  <w:vAlign w:val="center"/>
                </w:tcPr>
                <w:p w14:paraId="66E0BF7C">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70</w:t>
                  </w:r>
                </w:p>
              </w:tc>
              <w:tc>
                <w:tcPr>
                  <w:tcW w:w="768" w:type="pct"/>
                  <w:tcBorders>
                    <w:tl2br w:val="nil"/>
                    <w:tr2bl w:val="nil"/>
                  </w:tcBorders>
                  <w:noWrap w:val="0"/>
                  <w:vAlign w:val="center"/>
                </w:tcPr>
                <w:p w14:paraId="76E2303A">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35</w:t>
                  </w:r>
                </w:p>
              </w:tc>
              <w:tc>
                <w:tcPr>
                  <w:tcW w:w="790" w:type="pct"/>
                  <w:tcBorders>
                    <w:tl2br w:val="nil"/>
                    <w:tr2bl w:val="nil"/>
                  </w:tcBorders>
                  <w:noWrap w:val="0"/>
                  <w:vAlign w:val="center"/>
                </w:tcPr>
                <w:p w14:paraId="7B9DE688">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753" w:type="pct"/>
                  <w:tcBorders>
                    <w:tl2br w:val="nil"/>
                    <w:tr2bl w:val="nil"/>
                  </w:tcBorders>
                  <w:noWrap w:val="0"/>
                  <w:vAlign w:val="center"/>
                </w:tcPr>
                <w:p w14:paraId="7CD5123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160</w:t>
                  </w:r>
                </w:p>
              </w:tc>
            </w:tr>
            <w:tr w14:paraId="46B27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pct"/>
                  <w:tcBorders>
                    <w:tl2br w:val="nil"/>
                    <w:tr2bl w:val="nil"/>
                  </w:tcBorders>
                  <w:noWrap w:val="0"/>
                  <w:vAlign w:val="center"/>
                </w:tcPr>
                <w:p w14:paraId="51022AA1">
                  <w:pPr>
                    <w:pStyle w:val="131"/>
                    <w:keepNext w:val="0"/>
                    <w:keepLines w:val="0"/>
                    <w:pageBreakBefore w:val="0"/>
                    <w:widowControl/>
                    <w:wordWrap/>
                    <w:overflowPunct/>
                    <w:topLinePunct w:val="0"/>
                    <w:bidi w:val="0"/>
                    <w:snapToGrid w:val="0"/>
                    <w:spacing w:line="240" w:lineRule="auto"/>
                    <w:ind w:left="0"/>
                    <w:jc w:val="center"/>
                    <w:rPr>
                      <w:rFonts w:hint="default" w:eastAsia="宋体"/>
                      <w:color w:val="auto"/>
                      <w:spacing w:val="6"/>
                      <w:sz w:val="21"/>
                      <w:szCs w:val="21"/>
                      <w:lang w:val="en-US" w:eastAsia="zh-CN"/>
                    </w:rPr>
                  </w:pPr>
                  <w:r>
                    <w:rPr>
                      <w:rFonts w:hint="eastAsia"/>
                      <w:color w:val="auto"/>
                      <w:spacing w:val="6"/>
                      <w:sz w:val="21"/>
                      <w:szCs w:val="21"/>
                      <w:lang w:val="en-US" w:eastAsia="zh-CN"/>
                    </w:rPr>
                    <w:t>达标情况</w:t>
                  </w:r>
                </w:p>
              </w:tc>
              <w:tc>
                <w:tcPr>
                  <w:tcW w:w="562" w:type="pct"/>
                  <w:tcBorders>
                    <w:tl2br w:val="nil"/>
                    <w:tr2bl w:val="nil"/>
                  </w:tcBorders>
                  <w:noWrap w:val="0"/>
                  <w:vAlign w:val="center"/>
                </w:tcPr>
                <w:p w14:paraId="2DEBC48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snapToGrid w:val="0"/>
                      <w:color w:val="auto"/>
                      <w:kern w:val="0"/>
                      <w:sz w:val="21"/>
                      <w:szCs w:val="21"/>
                      <w:lang w:val="en-US" w:eastAsia="zh-CN"/>
                    </w:rPr>
                    <w:t>达标</w:t>
                  </w:r>
                </w:p>
              </w:tc>
              <w:tc>
                <w:tcPr>
                  <w:tcW w:w="678" w:type="pct"/>
                  <w:tcBorders>
                    <w:tl2br w:val="nil"/>
                    <w:tr2bl w:val="nil"/>
                  </w:tcBorders>
                  <w:noWrap w:val="0"/>
                  <w:vAlign w:val="center"/>
                </w:tcPr>
                <w:p w14:paraId="1C2F63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napToGrid w:val="0"/>
                      <w:color w:val="auto"/>
                      <w:spacing w:val="3"/>
                      <w:kern w:val="0"/>
                      <w:sz w:val="21"/>
                      <w:szCs w:val="21"/>
                      <w:lang w:eastAsia="en-US"/>
                    </w:rPr>
                  </w:pPr>
                  <w:r>
                    <w:rPr>
                      <w:rFonts w:hint="eastAsia" w:eastAsia="宋体" w:cs="Times New Roman"/>
                      <w:snapToGrid w:val="0"/>
                      <w:color w:val="auto"/>
                      <w:kern w:val="0"/>
                      <w:sz w:val="21"/>
                      <w:szCs w:val="21"/>
                      <w:lang w:val="en-US" w:eastAsia="zh-CN"/>
                    </w:rPr>
                    <w:t>达标</w:t>
                  </w:r>
                </w:p>
              </w:tc>
              <w:tc>
                <w:tcPr>
                  <w:tcW w:w="634" w:type="pct"/>
                  <w:tcBorders>
                    <w:tl2br w:val="nil"/>
                    <w:tr2bl w:val="nil"/>
                  </w:tcBorders>
                  <w:noWrap w:val="0"/>
                  <w:vAlign w:val="center"/>
                </w:tcPr>
                <w:p w14:paraId="6B885F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spacing w:val="1"/>
                      <w:kern w:val="0"/>
                      <w:sz w:val="21"/>
                      <w:szCs w:val="21"/>
                      <w:lang w:val="en-US" w:eastAsia="zh-CN"/>
                    </w:rPr>
                  </w:pPr>
                  <w:r>
                    <w:rPr>
                      <w:rFonts w:hint="eastAsia" w:eastAsia="宋体" w:cs="Times New Roman"/>
                      <w:snapToGrid w:val="0"/>
                      <w:color w:val="auto"/>
                      <w:kern w:val="0"/>
                      <w:sz w:val="21"/>
                      <w:szCs w:val="21"/>
                      <w:lang w:val="en-US" w:eastAsia="zh-CN"/>
                    </w:rPr>
                    <w:t>达标</w:t>
                  </w:r>
                </w:p>
              </w:tc>
              <w:tc>
                <w:tcPr>
                  <w:tcW w:w="768" w:type="pct"/>
                  <w:tcBorders>
                    <w:tl2br w:val="nil"/>
                    <w:tr2bl w:val="nil"/>
                  </w:tcBorders>
                  <w:noWrap w:val="0"/>
                  <w:vAlign w:val="center"/>
                </w:tcPr>
                <w:p w14:paraId="4805E7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b/>
                      <w:bCs/>
                      <w:snapToGrid w:val="0"/>
                      <w:color w:val="auto"/>
                      <w:kern w:val="0"/>
                      <w:sz w:val="21"/>
                      <w:szCs w:val="21"/>
                      <w:lang w:val="en-US" w:eastAsia="zh-CN"/>
                    </w:rPr>
                    <w:t>超标</w:t>
                  </w:r>
                </w:p>
              </w:tc>
              <w:tc>
                <w:tcPr>
                  <w:tcW w:w="790" w:type="pct"/>
                  <w:tcBorders>
                    <w:tl2br w:val="nil"/>
                    <w:tr2bl w:val="nil"/>
                  </w:tcBorders>
                  <w:noWrap w:val="0"/>
                  <w:vAlign w:val="center"/>
                </w:tcPr>
                <w:p w14:paraId="7699A6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snapToGrid w:val="0"/>
                      <w:color w:val="auto"/>
                      <w:kern w:val="0"/>
                      <w:sz w:val="21"/>
                      <w:szCs w:val="21"/>
                      <w:lang w:val="en-US" w:eastAsia="zh-CN"/>
                    </w:rPr>
                    <w:t>达标</w:t>
                  </w:r>
                </w:p>
              </w:tc>
              <w:tc>
                <w:tcPr>
                  <w:tcW w:w="753" w:type="pct"/>
                  <w:tcBorders>
                    <w:tl2br w:val="nil"/>
                    <w:tr2bl w:val="nil"/>
                  </w:tcBorders>
                  <w:noWrap w:val="0"/>
                  <w:vAlign w:val="center"/>
                </w:tcPr>
                <w:p w14:paraId="08A725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snapToGrid w:val="0"/>
                      <w:color w:val="auto"/>
                      <w:kern w:val="0"/>
                      <w:sz w:val="21"/>
                      <w:szCs w:val="21"/>
                      <w:lang w:val="en-US" w:eastAsia="zh-CN"/>
                    </w:rPr>
                    <w:t>达标</w:t>
                  </w:r>
                </w:p>
              </w:tc>
            </w:tr>
          </w:tbl>
          <w:p w14:paraId="23904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2"/>
              </w:rPr>
            </w:pPr>
            <w:r>
              <w:rPr>
                <w:color w:val="auto"/>
                <w:sz w:val="24"/>
                <w:szCs w:val="22"/>
              </w:rPr>
              <w:t>根据《环境空气质量评价技术规范（试行）》（HJ663-2013）规定：</w:t>
            </w:r>
            <w:r>
              <w:rPr>
                <w:rFonts w:hint="eastAsia"/>
                <w:color w:val="auto"/>
                <w:sz w:val="24"/>
                <w:szCs w:val="22"/>
              </w:rPr>
              <w:t>“</w:t>
            </w:r>
            <w:r>
              <w:rPr>
                <w:color w:val="auto"/>
                <w:sz w:val="24"/>
                <w:szCs w:val="22"/>
              </w:rPr>
              <w:t>污染物年评价达标是指该污染物年平均浓度（CO和O</w:t>
            </w:r>
            <w:r>
              <w:rPr>
                <w:color w:val="auto"/>
                <w:sz w:val="24"/>
                <w:szCs w:val="22"/>
                <w:vertAlign w:val="subscript"/>
              </w:rPr>
              <w:t>3</w:t>
            </w:r>
            <w:r>
              <w:rPr>
                <w:color w:val="auto"/>
                <w:sz w:val="24"/>
                <w:szCs w:val="22"/>
              </w:rPr>
              <w:t>除外）和特定的百分位数浓度同时达标</w:t>
            </w:r>
            <w:r>
              <w:rPr>
                <w:rFonts w:hint="eastAsia"/>
                <w:color w:val="auto"/>
                <w:sz w:val="24"/>
                <w:szCs w:val="22"/>
              </w:rPr>
              <w:t>”</w:t>
            </w:r>
            <w:r>
              <w:rPr>
                <w:color w:val="auto"/>
                <w:sz w:val="24"/>
                <w:szCs w:val="22"/>
              </w:rPr>
              <w:t>。</w:t>
            </w:r>
          </w:p>
          <w:p w14:paraId="51D73B7F">
            <w:pPr>
              <w:adjustRightInd w:val="0"/>
              <w:snapToGrid w:val="0"/>
              <w:ind w:firstLine="480" w:firstLineChars="200"/>
              <w:rPr>
                <w:rFonts w:hint="default" w:ascii="Times New Roman" w:hAnsi="Times New Roman" w:cs="Times New Roman"/>
                <w:color w:val="auto"/>
              </w:rPr>
            </w:pPr>
            <w:r>
              <w:rPr>
                <w:rFonts w:hint="eastAsia"/>
                <w:color w:val="auto"/>
                <w:sz w:val="24"/>
                <w:szCs w:val="22"/>
                <w:lang w:val="en-US" w:eastAsia="zh-CN"/>
              </w:rPr>
              <w:t>泗水县</w:t>
            </w:r>
            <w:r>
              <w:rPr>
                <w:rFonts w:hint="eastAsia"/>
                <w:color w:val="auto"/>
                <w:sz w:val="24"/>
                <w:szCs w:val="22"/>
              </w:rPr>
              <w:t>202</w:t>
            </w:r>
            <w:r>
              <w:rPr>
                <w:rFonts w:hint="eastAsia"/>
                <w:color w:val="auto"/>
                <w:sz w:val="24"/>
                <w:szCs w:val="22"/>
                <w:lang w:val="en-US" w:eastAsia="zh-CN"/>
              </w:rPr>
              <w:t>4</w:t>
            </w:r>
            <w:r>
              <w:rPr>
                <w:rFonts w:hint="eastAsia"/>
                <w:color w:val="auto"/>
                <w:sz w:val="24"/>
                <w:szCs w:val="22"/>
              </w:rPr>
              <w:t>年SO</w:t>
            </w:r>
            <w:r>
              <w:rPr>
                <w:rFonts w:hint="eastAsia"/>
                <w:color w:val="auto"/>
                <w:sz w:val="24"/>
                <w:szCs w:val="22"/>
                <w:vertAlign w:val="subscript"/>
              </w:rPr>
              <w:t>2</w:t>
            </w:r>
            <w:r>
              <w:rPr>
                <w:rFonts w:hint="eastAsia"/>
                <w:color w:val="auto"/>
                <w:sz w:val="24"/>
                <w:szCs w:val="22"/>
              </w:rPr>
              <w:t>、NO</w:t>
            </w:r>
            <w:r>
              <w:rPr>
                <w:rFonts w:hint="eastAsia"/>
                <w:color w:val="auto"/>
                <w:sz w:val="24"/>
                <w:szCs w:val="22"/>
                <w:vertAlign w:val="subscript"/>
              </w:rPr>
              <w:t>2</w:t>
            </w:r>
            <w:r>
              <w:rPr>
                <w:rFonts w:hint="eastAsia"/>
                <w:color w:val="auto"/>
                <w:sz w:val="24"/>
                <w:szCs w:val="22"/>
                <w:vertAlign w:val="baseline"/>
                <w:lang w:eastAsia="zh-CN"/>
              </w:rPr>
              <w:t>、</w:t>
            </w:r>
            <w:r>
              <w:rPr>
                <w:rFonts w:hint="eastAsia"/>
                <w:color w:val="auto"/>
                <w:sz w:val="24"/>
                <w:szCs w:val="22"/>
              </w:rPr>
              <w:t>PM</w:t>
            </w:r>
            <w:r>
              <w:rPr>
                <w:rFonts w:hint="eastAsia"/>
                <w:color w:val="auto"/>
                <w:sz w:val="24"/>
                <w:szCs w:val="22"/>
                <w:vertAlign w:val="subscript"/>
              </w:rPr>
              <w:t>10</w:t>
            </w:r>
            <w:r>
              <w:rPr>
                <w:rFonts w:hint="eastAsia"/>
                <w:color w:val="auto"/>
                <w:sz w:val="24"/>
                <w:szCs w:val="22"/>
                <w:vertAlign w:val="baseline"/>
                <w:lang w:val="en-US" w:eastAsia="zh-CN"/>
              </w:rPr>
              <w:t>年均浓度</w:t>
            </w:r>
            <w:r>
              <w:rPr>
                <w:rFonts w:hint="eastAsia"/>
                <w:color w:val="auto"/>
                <w:sz w:val="24"/>
                <w:szCs w:val="22"/>
              </w:rPr>
              <w:t>、CO日平均第95百分位数</w:t>
            </w:r>
            <w:r>
              <w:rPr>
                <w:rFonts w:hint="eastAsia"/>
                <w:color w:val="auto"/>
                <w:sz w:val="24"/>
                <w:szCs w:val="22"/>
                <w:lang w:eastAsia="zh-CN"/>
              </w:rPr>
              <w:t>、</w:t>
            </w:r>
            <w:r>
              <w:rPr>
                <w:rFonts w:hint="eastAsia"/>
                <w:color w:val="auto"/>
                <w:sz w:val="24"/>
                <w:szCs w:val="22"/>
              </w:rPr>
              <w:t>臭氧（O</w:t>
            </w:r>
            <w:r>
              <w:rPr>
                <w:rFonts w:hint="eastAsia"/>
                <w:color w:val="auto"/>
                <w:sz w:val="24"/>
                <w:szCs w:val="22"/>
                <w:vertAlign w:val="subscript"/>
              </w:rPr>
              <w:t>3</w:t>
            </w:r>
            <w:r>
              <w:rPr>
                <w:rFonts w:hint="eastAsia"/>
                <w:color w:val="auto"/>
                <w:sz w:val="24"/>
                <w:szCs w:val="22"/>
              </w:rPr>
              <w:t>）8小时平均第90百分位数监测浓度值均满足《环境空气质量标准》（GB3095-2012）及其修改单中二级标准要求；PM</w:t>
            </w:r>
            <w:r>
              <w:rPr>
                <w:rFonts w:hint="eastAsia"/>
                <w:color w:val="auto"/>
                <w:sz w:val="24"/>
                <w:szCs w:val="22"/>
                <w:vertAlign w:val="subscript"/>
              </w:rPr>
              <w:t>2.5</w:t>
            </w:r>
            <w:r>
              <w:rPr>
                <w:rFonts w:hint="eastAsia"/>
                <w:color w:val="auto"/>
                <w:sz w:val="24"/>
                <w:szCs w:val="22"/>
                <w:vertAlign w:val="baseline"/>
                <w:lang w:val="en-US" w:eastAsia="zh-CN"/>
              </w:rPr>
              <w:t>年均浓度</w:t>
            </w:r>
            <w:r>
              <w:rPr>
                <w:rFonts w:hint="eastAsia"/>
                <w:color w:val="auto"/>
                <w:sz w:val="24"/>
                <w:szCs w:val="22"/>
              </w:rPr>
              <w:t>监测浓度值超标</w:t>
            </w:r>
            <w:r>
              <w:rPr>
                <w:color w:val="auto"/>
                <w:sz w:val="24"/>
                <w:szCs w:val="22"/>
              </w:rPr>
              <w:t>，项目所在区处于不达标区</w:t>
            </w:r>
            <w:r>
              <w:rPr>
                <w:color w:val="auto"/>
              </w:rPr>
              <w:t>。</w:t>
            </w:r>
          </w:p>
          <w:p w14:paraId="6609924A">
            <w:pPr>
              <w:spacing w:line="360" w:lineRule="auto"/>
              <w:ind w:firstLine="480" w:firstLineChars="200"/>
              <w:rPr>
                <w:rFonts w:hint="eastAsia"/>
                <w:color w:val="auto"/>
                <w:sz w:val="24"/>
              </w:rPr>
            </w:pPr>
            <w:r>
              <w:rPr>
                <w:rFonts w:hint="eastAsia"/>
                <w:color w:val="auto"/>
                <w:sz w:val="24"/>
              </w:rPr>
              <w:t>2、区域改善方案</w:t>
            </w:r>
          </w:p>
          <w:p w14:paraId="60519ACA">
            <w:pPr>
              <w:spacing w:line="360" w:lineRule="auto"/>
              <w:ind w:firstLine="480" w:firstLineChars="200"/>
              <w:rPr>
                <w:rFonts w:hint="default" w:ascii="Times New Roman" w:hAnsi="Times New Roman" w:cs="Times New Roman"/>
                <w:color w:val="auto"/>
              </w:rPr>
            </w:pPr>
            <w:r>
              <w:rPr>
                <w:color w:val="000000"/>
                <w:sz w:val="24"/>
              </w:rPr>
              <w:t>目前</w:t>
            </w:r>
            <w:r>
              <w:rPr>
                <w:rFonts w:hint="eastAsia"/>
                <w:color w:val="000000"/>
                <w:sz w:val="24"/>
                <w:lang w:val="en-US" w:eastAsia="zh-CN"/>
              </w:rPr>
              <w:t>泗水</w:t>
            </w:r>
            <w:r>
              <w:rPr>
                <w:color w:val="000000"/>
                <w:sz w:val="24"/>
              </w:rPr>
              <w:t>县人民政府正积极落实《济宁市深入打好蓝天保卫战行动计划（2021-2025）》、</w:t>
            </w:r>
            <w:r>
              <w:rPr>
                <w:rFonts w:hint="default" w:ascii="Times New Roman" w:hAnsi="Times New Roman" w:eastAsia="宋体" w:cs="Times New Roman"/>
                <w:color w:val="000000"/>
                <w:sz w:val="24"/>
                <w:szCs w:val="24"/>
                <w:lang w:val="en-US" w:eastAsia="zh-CN"/>
              </w:rPr>
              <w:t>《济宁市空气质量持续改善暨第三轮“四减四增”行动实施方案》（济政字〔2024〕47号）等文件要求，通过淘汰低效落后产能</w:t>
            </w:r>
            <w:r>
              <w:rPr>
                <w:rFonts w:hint="eastAsia" w:cs="Times New Roman"/>
                <w:color w:val="000000"/>
                <w:sz w:val="24"/>
                <w:szCs w:val="24"/>
                <w:lang w:val="en-US" w:eastAsia="zh-CN"/>
              </w:rPr>
              <w:t>、压减煤炭消费量、优化货物运输方式、实施VOCs全过程污染防治、强化工业源NOx深度治理、推动移动源污染管控、严格扬尘污染管控、化秸秆禁烧管控、完善环境监管信息化系统、加大政策支持力度、加强大气环境监管一系列措施，</w:t>
            </w:r>
            <w:r>
              <w:rPr>
                <w:rFonts w:hint="default" w:ascii="Times New Roman" w:hAnsi="Times New Roman" w:eastAsia="宋体" w:cs="Times New Roman"/>
                <w:color w:val="000000"/>
                <w:sz w:val="24"/>
                <w:szCs w:val="24"/>
                <w:lang w:val="en-US" w:eastAsia="zh-CN"/>
              </w:rPr>
              <w:t>项目所在区域大气环境质量将会逐步得到改善</w:t>
            </w:r>
            <w:r>
              <w:rPr>
                <w:rFonts w:hint="default" w:ascii="Times New Roman" w:hAnsi="Times New Roman" w:cs="Times New Roman"/>
                <w:color w:val="auto"/>
                <w:sz w:val="24"/>
              </w:rPr>
              <w:t>。</w:t>
            </w:r>
          </w:p>
          <w:p w14:paraId="599781E4">
            <w:pPr>
              <w:pStyle w:val="4"/>
              <w:numPr>
                <w:ilvl w:val="0"/>
                <w:numId w:val="0"/>
              </w:numPr>
              <w:bidi w:val="0"/>
              <w:ind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3、特征污染物</w:t>
            </w:r>
          </w:p>
          <w:p w14:paraId="77F2EEB0">
            <w:pPr>
              <w:bidi w:val="0"/>
              <w:ind w:firstLine="480" w:firstLineChars="200"/>
              <w:rPr>
                <w:rFonts w:hint="default" w:ascii="Times New Roman" w:hAnsi="Times New Roman" w:cs="Times New Roman"/>
                <w:b/>
                <w:bCs w:val="0"/>
                <w:color w:val="auto"/>
              </w:rPr>
            </w:pPr>
            <w:r>
              <w:rPr>
                <w:rFonts w:hint="default" w:ascii="Times New Roman" w:hAnsi="Times New Roman" w:cs="Times New Roman"/>
                <w:color w:val="auto"/>
                <w:lang w:val="en-US" w:eastAsia="zh-CN"/>
              </w:rPr>
              <w:t>选取有环境质量标准的特征污染物</w:t>
            </w:r>
            <w:r>
              <w:rPr>
                <w:rFonts w:hint="default" w:ascii="Times New Roman" w:hAnsi="Times New Roman" w:eastAsia="宋体" w:cs="Times New Roman"/>
                <w:color w:val="auto"/>
                <w:sz w:val="24"/>
                <w:szCs w:val="24"/>
                <w:highlight w:val="none"/>
              </w:rPr>
              <w:t>TSP，二噁英，氨，硫化氢，臭气浓度，氯化氢，氟化物，锰及其化合物，汞，镉，铅，砷，六价铬</w:t>
            </w:r>
            <w:r>
              <w:rPr>
                <w:rFonts w:hint="default" w:ascii="Times New Roman" w:hAnsi="Times New Roman" w:cs="Times New Roman"/>
                <w:color w:val="auto"/>
                <w:lang w:val="en-US" w:eastAsia="zh-CN"/>
              </w:rPr>
              <w:t>进行</w:t>
            </w:r>
            <w:r>
              <w:rPr>
                <w:rFonts w:hint="eastAsia" w:cs="Times New Roman"/>
                <w:color w:val="auto"/>
                <w:lang w:val="en-US" w:eastAsia="zh-CN"/>
              </w:rPr>
              <w:t>评价，引用《</w:t>
            </w:r>
            <w:r>
              <w:rPr>
                <w:rFonts w:hint="default" w:ascii="Times New Roman" w:hAnsi="Times New Roman" w:cs="Times New Roman"/>
                <w:color w:val="auto"/>
                <w:lang w:val="en-US" w:eastAsia="zh-CN"/>
              </w:rPr>
              <w:t>济宁海螺环保科技有限责任公司济宁海螺环保替代燃料技改项目</w:t>
            </w:r>
            <w:r>
              <w:rPr>
                <w:rFonts w:hint="eastAsia" w:ascii="Times New Roman" w:hAnsi="Times New Roman" w:cs="Times New Roman"/>
                <w:color w:val="auto"/>
                <w:lang w:val="en-US" w:eastAsia="zh-CN"/>
              </w:rPr>
              <w:t>环境影响报告表</w:t>
            </w:r>
            <w:r>
              <w:rPr>
                <w:rFonts w:hint="eastAsia" w:cs="Times New Roman"/>
                <w:color w:val="auto"/>
                <w:lang w:val="en-US" w:eastAsia="zh-CN"/>
              </w:rPr>
              <w:t>》中的监测数据，监测时间为2024年07月03日至09日、2024年07月04日至06日、07月08日至11日</w:t>
            </w:r>
            <w:r>
              <w:rPr>
                <w:rFonts w:hint="default" w:ascii="Times New Roman" w:hAnsi="Times New Roman" w:cs="Times New Roman"/>
                <w:color w:val="auto"/>
                <w:lang w:val="en-US" w:eastAsia="zh-CN"/>
              </w:rPr>
              <w:t>。</w:t>
            </w:r>
            <w:r>
              <w:rPr>
                <w:rFonts w:hint="eastAsia" w:cs="Times New Roman"/>
                <w:color w:val="auto"/>
                <w:lang w:val="en-US" w:eastAsia="zh-CN"/>
              </w:rPr>
              <w:t>根据评价结果，</w:t>
            </w:r>
            <w:r>
              <w:rPr>
                <w:rFonts w:hint="eastAsia"/>
                <w:color w:val="auto"/>
                <w:highlight w:val="none"/>
                <w:lang w:val="en-US" w:eastAsia="zh-CN"/>
              </w:rPr>
              <w:t>各监测因子环境现状均达标，</w:t>
            </w:r>
            <w:r>
              <w:rPr>
                <w:rFonts w:hint="default" w:ascii="Times New Roman" w:hAnsi="Times New Roman" w:cs="Times New Roman"/>
                <w:color w:val="auto"/>
                <w:lang w:val="en-US" w:eastAsia="zh-CN"/>
              </w:rPr>
              <w:t>具体见本项目大气环境专项评价报告。</w:t>
            </w:r>
          </w:p>
          <w:p w14:paraId="135B7F97">
            <w:pPr>
              <w:pStyle w:val="4"/>
              <w:numPr>
                <w:ilvl w:val="0"/>
                <w:numId w:val="0"/>
              </w:numPr>
              <w:bidi w:val="0"/>
              <w:ind w:leftChars="0"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val="0"/>
                <w:color w:val="auto"/>
              </w:rPr>
              <w:t>二、</w:t>
            </w:r>
            <w:r>
              <w:rPr>
                <w:rFonts w:hint="eastAsia" w:ascii="Times New Roman" w:hAnsi="Times New Roman" w:eastAsia="宋体" w:cs="Times New Roman"/>
                <w:b/>
                <w:bCs w:val="0"/>
                <w:color w:val="auto"/>
                <w:lang w:val="en-US" w:eastAsia="zh-CN"/>
              </w:rPr>
              <w:t>地表水</w:t>
            </w:r>
          </w:p>
          <w:p w14:paraId="1E293730">
            <w:pPr>
              <w:ind w:firstLine="480" w:firstLineChars="200"/>
              <w:jc w:val="left"/>
              <w:rPr>
                <w:rFonts w:hint="default" w:ascii="Times New Roman" w:hAnsi="Times New Roman" w:cs="Times New Roman"/>
                <w:color w:val="auto"/>
                <w:lang w:eastAsia="zh-CN"/>
              </w:rPr>
            </w:pPr>
            <w:r>
              <w:rPr>
                <w:rFonts w:hint="default" w:ascii="Times New Roman" w:hAnsi="Times New Roman" w:cs="Times New Roman"/>
                <w:bCs/>
                <w:color w:val="auto"/>
                <w:kern w:val="0"/>
                <w:szCs w:val="24"/>
              </w:rPr>
              <w:t>本项目所在地地表水水域为泗河，其水环境质量功能区属Ⅲ类区，执行国家《地表水环境质量标准》（GB3838－2002）Ⅲ类标准。依据山东省省控地表水水质状况发布网站（http://58.56.98.118:8003/waterpublic/），202</w:t>
            </w:r>
            <w:r>
              <w:rPr>
                <w:rFonts w:hint="eastAsia" w:cs="Times New Roman"/>
                <w:bCs/>
                <w:color w:val="auto"/>
                <w:kern w:val="0"/>
                <w:szCs w:val="24"/>
                <w:lang w:val="en-US" w:eastAsia="zh-CN"/>
              </w:rPr>
              <w:t>5</w:t>
            </w:r>
            <w:r>
              <w:rPr>
                <w:rFonts w:hint="default" w:ascii="Times New Roman" w:hAnsi="Times New Roman" w:cs="Times New Roman"/>
                <w:bCs/>
                <w:color w:val="auto"/>
                <w:kern w:val="0"/>
                <w:szCs w:val="24"/>
              </w:rPr>
              <w:t>年</w:t>
            </w:r>
            <w:r>
              <w:rPr>
                <w:rFonts w:hint="default" w:ascii="Times New Roman" w:hAnsi="Times New Roman" w:cs="Times New Roman"/>
                <w:bCs/>
                <w:color w:val="auto"/>
                <w:kern w:val="0"/>
                <w:szCs w:val="24"/>
                <w:lang w:val="en-US" w:eastAsia="zh-CN"/>
              </w:rPr>
              <w:t>0</w:t>
            </w:r>
            <w:r>
              <w:rPr>
                <w:rFonts w:hint="eastAsia" w:cs="Times New Roman"/>
                <w:bCs/>
                <w:color w:val="auto"/>
                <w:kern w:val="0"/>
                <w:szCs w:val="24"/>
                <w:lang w:val="en-US" w:eastAsia="zh-CN"/>
              </w:rPr>
              <w:t>9</w:t>
            </w:r>
            <w:r>
              <w:rPr>
                <w:rFonts w:hint="default" w:ascii="Times New Roman" w:hAnsi="Times New Roman" w:cs="Times New Roman"/>
                <w:bCs/>
                <w:color w:val="auto"/>
                <w:kern w:val="0"/>
                <w:szCs w:val="24"/>
              </w:rPr>
              <w:t>月的泗河</w:t>
            </w:r>
            <w:r>
              <w:rPr>
                <w:rFonts w:hint="default" w:ascii="Times New Roman" w:hAnsi="Times New Roman" w:cs="Times New Roman"/>
                <w:bCs/>
                <w:color w:val="auto"/>
                <w:kern w:val="0"/>
                <w:szCs w:val="24"/>
                <w:lang w:val="en-US" w:eastAsia="zh-CN"/>
              </w:rPr>
              <w:t>故县坝</w:t>
            </w:r>
            <w:r>
              <w:rPr>
                <w:rFonts w:hint="default" w:ascii="Times New Roman" w:hAnsi="Times New Roman" w:cs="Times New Roman"/>
                <w:bCs/>
                <w:color w:val="auto"/>
                <w:kern w:val="0"/>
                <w:szCs w:val="24"/>
              </w:rPr>
              <w:t>断面水质满足《地表水环境质量标准》（GB3838－2002）Ⅲ类标准</w:t>
            </w:r>
            <w:r>
              <w:rPr>
                <w:rFonts w:hint="default" w:ascii="Times New Roman" w:hAnsi="Times New Roman" w:cs="Times New Roman"/>
                <w:color w:val="auto"/>
              </w:rPr>
              <w:t>。</w:t>
            </w:r>
          </w:p>
          <w:p w14:paraId="02FA4B73">
            <w:pPr>
              <w:spacing w:line="240" w:lineRule="auto"/>
              <w:jc w:val="center"/>
              <w:rPr>
                <w:rFonts w:hint="default" w:ascii="Times New Roman" w:hAnsi="Times New Roman" w:cs="Times New Roman"/>
                <w:color w:val="auto"/>
              </w:rPr>
            </w:pPr>
            <w:r>
              <w:drawing>
                <wp:inline distT="0" distB="0" distL="114300" distR="114300">
                  <wp:extent cx="4822825" cy="1416050"/>
                  <wp:effectExtent l="0" t="0" r="15875" b="1270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a:stretch>
                            <a:fillRect/>
                          </a:stretch>
                        </pic:blipFill>
                        <pic:spPr>
                          <a:xfrm>
                            <a:off x="0" y="0"/>
                            <a:ext cx="4822825" cy="1416050"/>
                          </a:xfrm>
                          <a:prstGeom prst="rect">
                            <a:avLst/>
                          </a:prstGeom>
                          <a:noFill/>
                          <a:ln>
                            <a:noFill/>
                          </a:ln>
                        </pic:spPr>
                      </pic:pic>
                    </a:graphicData>
                  </a:graphic>
                </wp:inline>
              </w:drawing>
            </w:r>
          </w:p>
          <w:p w14:paraId="214B4687">
            <w:pPr>
              <w:pStyle w:val="4"/>
              <w:numPr>
                <w:ilvl w:val="0"/>
                <w:numId w:val="0"/>
              </w:numPr>
              <w:bidi w:val="0"/>
              <w:spacing w:line="240" w:lineRule="auto"/>
              <w:ind w:leftChars="0"/>
              <w:jc w:val="center"/>
              <w:rPr>
                <w:rFonts w:hint="default" w:ascii="Times New Roman" w:hAnsi="Times New Roman" w:eastAsia="宋体" w:cs="Times New Roman"/>
                <w:b/>
                <w:bCs w:val="0"/>
                <w:color w:val="auto"/>
                <w:szCs w:val="24"/>
              </w:rPr>
            </w:pPr>
            <w:r>
              <w:rPr>
                <w:rFonts w:hint="default" w:ascii="Times New Roman" w:hAnsi="Times New Roman" w:eastAsia="宋体" w:cs="Times New Roman"/>
                <w:b/>
                <w:bCs w:val="0"/>
                <w:color w:val="auto"/>
              </w:rPr>
              <w:t>图3-1 省控地表水水质状况</w:t>
            </w:r>
          </w:p>
          <w:p w14:paraId="015D8AE6">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三、声环境</w:t>
            </w:r>
          </w:p>
          <w:p w14:paraId="7CBA1D89">
            <w:pPr>
              <w:ind w:firstLine="480" w:firstLineChars="200"/>
              <w:jc w:val="left"/>
              <w:rPr>
                <w:rFonts w:hint="default" w:ascii="Times New Roman" w:hAnsi="Times New Roman" w:eastAsia="宋体" w:cs="Times New Roman"/>
                <w:b/>
                <w:bCs w:val="0"/>
                <w:color w:val="auto"/>
              </w:rPr>
            </w:pPr>
            <w:r>
              <w:rPr>
                <w:rFonts w:hint="default" w:ascii="Times New Roman" w:hAnsi="Times New Roman" w:eastAsia="宋体" w:cs="Times New Roman"/>
                <w:bCs/>
                <w:color w:val="auto"/>
                <w:kern w:val="0"/>
                <w:szCs w:val="24"/>
              </w:rPr>
              <w:t>项目所在地属于</w:t>
            </w:r>
            <w:r>
              <w:rPr>
                <w:rFonts w:hint="default" w:ascii="Times New Roman" w:hAnsi="Times New Roman" w:eastAsia="宋体" w:cs="Times New Roman"/>
                <w:bCs/>
                <w:color w:val="auto"/>
                <w:kern w:val="0"/>
                <w:szCs w:val="24"/>
                <w:lang w:val="en-US" w:eastAsia="zh-CN"/>
              </w:rPr>
              <w:t>2</w:t>
            </w:r>
            <w:r>
              <w:rPr>
                <w:rFonts w:hint="default" w:ascii="Times New Roman" w:hAnsi="Times New Roman" w:eastAsia="宋体" w:cs="Times New Roman"/>
                <w:bCs/>
                <w:color w:val="auto"/>
                <w:kern w:val="0"/>
                <w:szCs w:val="24"/>
              </w:rPr>
              <w:t>类声环境功能区，执行国家《声环境质量标准》（GB3096--2008）</w:t>
            </w:r>
            <w:r>
              <w:rPr>
                <w:rFonts w:hint="default" w:ascii="Times New Roman" w:hAnsi="Times New Roman" w:eastAsia="宋体" w:cs="Times New Roman"/>
                <w:bCs/>
                <w:color w:val="auto"/>
                <w:kern w:val="0"/>
                <w:szCs w:val="24"/>
                <w:lang w:val="en-US" w:eastAsia="zh-CN"/>
              </w:rPr>
              <w:t>2</w:t>
            </w:r>
            <w:r>
              <w:rPr>
                <w:rFonts w:hint="default" w:ascii="Times New Roman" w:hAnsi="Times New Roman" w:eastAsia="宋体" w:cs="Times New Roman"/>
                <w:bCs/>
                <w:color w:val="auto"/>
                <w:kern w:val="0"/>
                <w:szCs w:val="24"/>
              </w:rPr>
              <w:t>类标准。根据现场调查，厂界外周边50米范围内不存在声环境保护目标，因此本次评价不需对周边声环境保护目标进行现状监测</w:t>
            </w:r>
            <w:r>
              <w:rPr>
                <w:rFonts w:hint="default" w:ascii="Times New Roman" w:hAnsi="Times New Roman" w:eastAsia="宋体" w:cs="Times New Roman"/>
                <w:bCs/>
                <w:color w:val="auto"/>
                <w:kern w:val="0"/>
                <w:szCs w:val="24"/>
                <w:lang w:eastAsia="zh-CN"/>
              </w:rPr>
              <w:t>。</w:t>
            </w:r>
          </w:p>
          <w:p w14:paraId="15EE07AB">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eastAsia" w:ascii="宋体" w:hAnsi="宋体" w:eastAsia="宋体" w:cs="宋体"/>
                <w:b/>
                <w:bCs w:val="0"/>
                <w:color w:val="auto"/>
                <w:lang w:val="en-US" w:eastAsia="zh-CN"/>
              </w:rPr>
              <w:t>四</w:t>
            </w:r>
            <w:r>
              <w:rPr>
                <w:rFonts w:hint="default" w:ascii="宋体" w:hAnsi="宋体" w:eastAsia="宋体" w:cs="宋体"/>
                <w:b/>
                <w:bCs w:val="0"/>
                <w:color w:val="auto"/>
              </w:rPr>
              <w:t>、地下水</w:t>
            </w:r>
            <w:r>
              <w:rPr>
                <w:rFonts w:hint="eastAsia" w:ascii="宋体" w:hAnsi="宋体" w:eastAsia="宋体" w:cs="宋体"/>
                <w:b/>
                <w:bCs w:val="0"/>
                <w:color w:val="auto"/>
                <w:lang w:eastAsia="zh-CN"/>
              </w:rPr>
              <w:t>、</w:t>
            </w:r>
            <w:r>
              <w:rPr>
                <w:rFonts w:hint="eastAsia" w:ascii="宋体" w:hAnsi="宋体" w:eastAsia="宋体" w:cs="宋体"/>
                <w:b/>
                <w:bCs w:val="0"/>
                <w:color w:val="auto"/>
                <w:lang w:val="en-US" w:eastAsia="zh-CN"/>
              </w:rPr>
              <w:t>土壤环境</w:t>
            </w:r>
          </w:p>
          <w:p w14:paraId="40E40B1A">
            <w:pPr>
              <w:ind w:firstLine="48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kern w:val="0"/>
              </w:rPr>
              <w:t>项目厂界外500m范围内无地下水集中式饮用水水源和热水、矿泉水、温泉等特殊地下水资源，项目正常情况不存在地下水污染途径，因此不需要进行地下水现状调查。</w:t>
            </w:r>
          </w:p>
          <w:p w14:paraId="3FF714BA">
            <w:pPr>
              <w:ind w:firstLine="48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项目建成后，对土壤污染途径为大气沉降，</w:t>
            </w:r>
            <w:r>
              <w:rPr>
                <w:rFonts w:hint="eastAsia" w:cs="Times New Roman"/>
                <w:color w:val="auto"/>
                <w:lang w:val="en-US" w:eastAsia="zh-CN"/>
              </w:rPr>
              <w:t>收集《济宁海螺环保科技有限责任公司济宁海螺环保替代燃料技改项目环境影响报告表》中的监测数据，在本项目厂区下风</w:t>
            </w:r>
            <w:r>
              <w:rPr>
                <w:rFonts w:hint="default" w:ascii="Times New Roman" w:hAnsi="Times New Roman" w:cs="Times New Roman"/>
                <w:color w:val="auto"/>
              </w:rPr>
              <w:t>向</w:t>
            </w:r>
            <w:r>
              <w:rPr>
                <w:rFonts w:hint="default" w:ascii="Times New Roman" w:hAnsi="Times New Roman" w:cs="Times New Roman"/>
                <w:color w:val="auto"/>
                <w:lang w:val="en-US" w:eastAsia="zh-CN"/>
              </w:rPr>
              <w:t>农用地</w:t>
            </w:r>
            <w:r>
              <w:rPr>
                <w:rFonts w:hint="eastAsia" w:ascii="Times New Roman" w:hAnsi="Times New Roman" w:cs="Times New Roman"/>
                <w:color w:val="auto"/>
                <w:lang w:val="en-US" w:eastAsia="zh-CN"/>
              </w:rPr>
              <w:t>设置</w:t>
            </w:r>
            <w:r>
              <w:rPr>
                <w:rFonts w:hint="default" w:ascii="Times New Roman" w:hAnsi="Times New Roman" w:cs="Times New Roman"/>
                <w:color w:val="auto"/>
                <w:lang w:val="en-US" w:eastAsia="zh-CN"/>
              </w:rPr>
              <w:t>1处监测点</w:t>
            </w:r>
            <w:r>
              <w:rPr>
                <w:rFonts w:hint="default" w:ascii="Times New Roman" w:hAnsi="Times New Roman" w:cs="Times New Roman"/>
                <w:color w:val="auto"/>
              </w:rPr>
              <w:t>，</w:t>
            </w:r>
            <w:r>
              <w:rPr>
                <w:rFonts w:hint="eastAsia" w:ascii="Times New Roman" w:hAnsi="Times New Roman" w:cs="Times New Roman"/>
                <w:color w:val="auto"/>
                <w:lang w:val="en-US" w:eastAsia="zh-CN"/>
              </w:rPr>
              <w:t>取样监测时间为2024年7月3日，</w:t>
            </w:r>
            <w:r>
              <w:rPr>
                <w:rFonts w:hint="default" w:ascii="Times New Roman" w:hAnsi="Times New Roman" w:cs="Times New Roman"/>
                <w:color w:val="auto"/>
              </w:rPr>
              <w:t>具体监测数据见下表</w:t>
            </w:r>
            <w:r>
              <w:rPr>
                <w:rFonts w:hint="default" w:ascii="Times New Roman" w:hAnsi="Times New Roman" w:cs="Times New Roman"/>
                <w:color w:val="auto"/>
                <w:lang w:eastAsia="zh-CN"/>
              </w:rPr>
              <w:t>。</w:t>
            </w:r>
          </w:p>
          <w:p w14:paraId="7E151486">
            <w:pPr>
              <w:pStyle w:val="4"/>
              <w:numPr>
                <w:ilvl w:val="0"/>
                <w:numId w:val="0"/>
              </w:numPr>
              <w:bidi w:val="0"/>
              <w:spacing w:line="240" w:lineRule="auto"/>
              <w:ind w:leftChars="0"/>
              <w:jc w:val="center"/>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表3-</w:t>
            </w:r>
            <w:r>
              <w:rPr>
                <w:rFonts w:hint="eastAsia"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 xml:space="preserve"> 项目土壤</w:t>
            </w:r>
            <w:r>
              <w:rPr>
                <w:rFonts w:hint="default" w:ascii="Times New Roman" w:hAnsi="Times New Roman" w:eastAsia="宋体" w:cs="Times New Roman"/>
                <w:b/>
                <w:bCs w:val="0"/>
                <w:color w:val="auto"/>
                <w:lang w:val="en-US" w:eastAsia="zh-CN"/>
              </w:rPr>
              <w:t>现状</w:t>
            </w:r>
            <w:r>
              <w:rPr>
                <w:rFonts w:hint="default" w:ascii="Times New Roman" w:hAnsi="Times New Roman" w:eastAsia="宋体" w:cs="Times New Roman"/>
                <w:b/>
                <w:bCs w:val="0"/>
                <w:color w:val="auto"/>
              </w:rPr>
              <w:t>检测结果</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2171"/>
              <w:gridCol w:w="2317"/>
              <w:gridCol w:w="1588"/>
            </w:tblGrid>
            <w:tr w14:paraId="186D7E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2615" w:type="pct"/>
                  <w:gridSpan w:val="2"/>
                  <w:tcBorders>
                    <w:tl2br w:val="nil"/>
                    <w:tr2bl w:val="nil"/>
                  </w:tcBorders>
                  <w:noWrap w:val="0"/>
                  <w:vAlign w:val="center"/>
                </w:tcPr>
                <w:p w14:paraId="5C1EAD68">
                  <w:pPr>
                    <w:pStyle w:val="46"/>
                    <w:bidi w:val="0"/>
                    <w:spacing w:line="240" w:lineRule="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检测点位：厂区外西北</w:t>
                  </w:r>
                </w:p>
                <w:p w14:paraId="273D92FB">
                  <w:pPr>
                    <w:pStyle w:val="46"/>
                    <w:bidi w:val="0"/>
                    <w:spacing w:line="240" w:lineRule="auto"/>
                    <w:rPr>
                      <w:rFonts w:hint="default" w:ascii="Times New Roman" w:hAnsi="Times New Roman" w:eastAsia="宋体" w:cs="Times New Roman"/>
                      <w:b/>
                      <w:bCs/>
                      <w:color w:val="auto"/>
                      <w:lang w:val="en-US" w:eastAsia="zh-CN"/>
                    </w:rPr>
                  </w:pPr>
                  <w:r>
                    <w:rPr>
                      <w:rFonts w:hint="default" w:ascii="Times New Roman" w:hAnsi="Times New Roman" w:cs="Times New Roman"/>
                      <w:color w:val="auto"/>
                    </w:rPr>
                    <w:t>E11</w:t>
                  </w:r>
                  <w:r>
                    <w:rPr>
                      <w:rFonts w:hint="default" w:ascii="Times New Roman" w:hAnsi="Times New Roman" w:cs="Times New Roman"/>
                      <w:color w:val="auto"/>
                      <w:lang w:val="en-US" w:eastAsia="zh-CN"/>
                    </w:rPr>
                    <w:t>7</w:t>
                  </w:r>
                  <w:r>
                    <w:rPr>
                      <w:rFonts w:hint="default" w:ascii="Times New Roman" w:hAnsi="Times New Roman" w:cs="Times New Roman"/>
                      <w:color w:val="auto"/>
                    </w:rPr>
                    <w:t>°</w:t>
                  </w:r>
                  <w:r>
                    <w:rPr>
                      <w:rFonts w:hint="default" w:ascii="Times New Roman" w:hAnsi="Times New Roman" w:cs="Times New Roman"/>
                      <w:color w:val="auto"/>
                      <w:lang w:val="en-US" w:eastAsia="zh-CN"/>
                    </w:rPr>
                    <w:t>26</w:t>
                  </w:r>
                  <w:r>
                    <w:rPr>
                      <w:rFonts w:hint="default" w:ascii="Times New Roman" w:hAnsi="Times New Roman" w:cs="Times New Roman"/>
                      <w:color w:val="auto"/>
                    </w:rPr>
                    <w:t>′</w:t>
                  </w:r>
                  <w:r>
                    <w:rPr>
                      <w:rFonts w:hint="default" w:ascii="Times New Roman" w:hAnsi="Times New Roman" w:cs="Times New Roman"/>
                      <w:color w:val="auto"/>
                      <w:lang w:val="en-US" w:eastAsia="zh-CN"/>
                    </w:rPr>
                    <w:t>5.401</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N3</w:t>
                  </w:r>
                  <w:r>
                    <w:rPr>
                      <w:rFonts w:hint="default" w:ascii="Times New Roman" w:hAnsi="Times New Roman" w:cs="Times New Roman"/>
                      <w:color w:val="auto"/>
                      <w:lang w:val="en-US" w:eastAsia="zh-CN"/>
                    </w:rPr>
                    <w:t>5</w:t>
                  </w:r>
                  <w:r>
                    <w:rPr>
                      <w:rFonts w:hint="default" w:ascii="Times New Roman" w:hAnsi="Times New Roman" w:cs="Times New Roman"/>
                      <w:color w:val="auto"/>
                    </w:rPr>
                    <w:t>°</w:t>
                  </w:r>
                  <w:r>
                    <w:rPr>
                      <w:rFonts w:hint="default" w:ascii="Times New Roman" w:hAnsi="Times New Roman" w:cs="Times New Roman"/>
                      <w:color w:val="auto"/>
                      <w:lang w:val="en-US" w:eastAsia="zh-CN"/>
                    </w:rPr>
                    <w:t>36</w:t>
                  </w:r>
                  <w:r>
                    <w:rPr>
                      <w:rFonts w:hint="default" w:ascii="Times New Roman" w:hAnsi="Times New Roman" w:cs="Times New Roman"/>
                      <w:color w:val="auto"/>
                    </w:rPr>
                    <w:t>′</w:t>
                  </w:r>
                  <w:r>
                    <w:rPr>
                      <w:rFonts w:hint="default" w:ascii="Times New Roman" w:hAnsi="Times New Roman" w:cs="Times New Roman"/>
                      <w:color w:val="auto"/>
                      <w:lang w:val="en-US" w:eastAsia="zh-CN"/>
                    </w:rPr>
                    <w:t>41.797</w:t>
                  </w:r>
                  <w:r>
                    <w:rPr>
                      <w:rFonts w:hint="default" w:ascii="Times New Roman" w:hAnsi="Times New Roman" w:cs="Times New Roman"/>
                      <w:color w:val="auto"/>
                    </w:rPr>
                    <w:t>″</w:t>
                  </w:r>
                </w:p>
              </w:tc>
              <w:tc>
                <w:tcPr>
                  <w:tcW w:w="1414" w:type="pct"/>
                  <w:vMerge w:val="restart"/>
                  <w:tcBorders>
                    <w:tl2br w:val="nil"/>
                    <w:tr2bl w:val="nil"/>
                  </w:tcBorders>
                  <w:noWrap w:val="0"/>
                  <w:vAlign w:val="center"/>
                </w:tcPr>
                <w:p w14:paraId="4DFE5F6C">
                  <w:pPr>
                    <w:pStyle w:val="43"/>
                    <w:bidi w:val="0"/>
                    <w:rPr>
                      <w:rFonts w:hint="default" w:ascii="Times New Roman" w:hAnsi="Times New Roman" w:cs="Times New Roman"/>
                      <w:color w:val="auto"/>
                    </w:rPr>
                  </w:pPr>
                  <w:r>
                    <w:rPr>
                      <w:rFonts w:hint="default" w:ascii="Times New Roman" w:hAnsi="Times New Roman" w:cs="Times New Roman"/>
                      <w:b/>
                      <w:bCs/>
                      <w:color w:val="auto"/>
                      <w:lang w:val="en-US" w:eastAsia="zh-CN"/>
                    </w:rPr>
                    <w:t>检测结果</w:t>
                  </w:r>
                </w:p>
              </w:tc>
              <w:tc>
                <w:tcPr>
                  <w:tcW w:w="969" w:type="pct"/>
                  <w:vMerge w:val="restart"/>
                  <w:tcBorders>
                    <w:tl2br w:val="nil"/>
                    <w:tr2bl w:val="nil"/>
                  </w:tcBorders>
                  <w:noWrap w:val="0"/>
                  <w:vAlign w:val="center"/>
                </w:tcPr>
                <w:p w14:paraId="7B4D80AB">
                  <w:pPr>
                    <w:pStyle w:val="43"/>
                    <w:bidi w:val="0"/>
                    <w:rPr>
                      <w:rFonts w:hint="default" w:ascii="Times New Roman" w:hAnsi="Times New Roman" w:cs="Times New Roman"/>
                      <w:color w:val="auto"/>
                    </w:rPr>
                  </w:pPr>
                  <w:r>
                    <w:rPr>
                      <w:rFonts w:hint="default" w:ascii="Times New Roman" w:hAnsi="Times New Roman" w:cs="Times New Roman"/>
                      <w:b/>
                      <w:bCs/>
                      <w:color w:val="auto"/>
                      <w:lang w:val="en-US" w:eastAsia="zh-CN"/>
                    </w:rPr>
                    <w:t>标准</w:t>
                  </w:r>
                </w:p>
              </w:tc>
            </w:tr>
            <w:tr w14:paraId="0333D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5B82811D">
                  <w:pPr>
                    <w:pStyle w:val="43"/>
                    <w:bidi w:val="0"/>
                    <w:rPr>
                      <w:rFonts w:hint="default" w:ascii="Times New Roman" w:hAnsi="Times New Roman" w:cs="Times New Roman"/>
                      <w:color w:val="auto"/>
                    </w:rPr>
                  </w:pPr>
                  <w:r>
                    <w:rPr>
                      <w:rFonts w:hint="default" w:ascii="Times New Roman" w:hAnsi="Times New Roman" w:cs="Times New Roman"/>
                      <w:color w:val="auto"/>
                    </w:rPr>
                    <w:t>检测项目</w:t>
                  </w:r>
                </w:p>
              </w:tc>
              <w:tc>
                <w:tcPr>
                  <w:tcW w:w="1325" w:type="pct"/>
                  <w:tcBorders>
                    <w:tl2br w:val="nil"/>
                    <w:tr2bl w:val="nil"/>
                  </w:tcBorders>
                  <w:noWrap w:val="0"/>
                  <w:vAlign w:val="center"/>
                </w:tcPr>
                <w:p w14:paraId="6AAA0CE3">
                  <w:pPr>
                    <w:pStyle w:val="43"/>
                    <w:bidi w:val="0"/>
                    <w:rPr>
                      <w:rFonts w:hint="default" w:ascii="Times New Roman" w:hAnsi="Times New Roman" w:cs="Times New Roman"/>
                      <w:color w:val="auto"/>
                    </w:rPr>
                  </w:pPr>
                  <w:r>
                    <w:rPr>
                      <w:rFonts w:hint="default" w:ascii="Times New Roman" w:hAnsi="Times New Roman" w:cs="Times New Roman"/>
                      <w:color w:val="auto"/>
                    </w:rPr>
                    <w:t>单位</w:t>
                  </w:r>
                </w:p>
              </w:tc>
              <w:tc>
                <w:tcPr>
                  <w:tcW w:w="1414" w:type="pct"/>
                  <w:vMerge w:val="continue"/>
                  <w:tcBorders>
                    <w:tl2br w:val="nil"/>
                    <w:tr2bl w:val="nil"/>
                  </w:tcBorders>
                  <w:noWrap w:val="0"/>
                  <w:vAlign w:val="center"/>
                </w:tcPr>
                <w:p w14:paraId="4DA19958">
                  <w:pPr>
                    <w:pStyle w:val="43"/>
                    <w:bidi w:val="0"/>
                    <w:rPr>
                      <w:rFonts w:hint="default" w:ascii="Times New Roman" w:hAnsi="Times New Roman" w:cs="Times New Roman"/>
                      <w:color w:val="auto"/>
                    </w:rPr>
                  </w:pPr>
                </w:p>
              </w:tc>
              <w:tc>
                <w:tcPr>
                  <w:tcW w:w="969" w:type="pct"/>
                  <w:vMerge w:val="continue"/>
                  <w:tcBorders>
                    <w:tl2br w:val="nil"/>
                    <w:tr2bl w:val="nil"/>
                  </w:tcBorders>
                  <w:noWrap w:val="0"/>
                  <w:vAlign w:val="center"/>
                </w:tcPr>
                <w:p w14:paraId="20941218">
                  <w:pPr>
                    <w:pStyle w:val="43"/>
                    <w:bidi w:val="0"/>
                    <w:rPr>
                      <w:rFonts w:hint="default" w:ascii="Times New Roman" w:hAnsi="Times New Roman" w:cs="Times New Roman"/>
                      <w:color w:val="auto"/>
                    </w:rPr>
                  </w:pPr>
                </w:p>
              </w:tc>
            </w:tr>
            <w:tr w14:paraId="4964FF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0C44A816">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PH</w:t>
                  </w:r>
                </w:p>
              </w:tc>
              <w:tc>
                <w:tcPr>
                  <w:tcW w:w="1325" w:type="pct"/>
                  <w:tcBorders>
                    <w:tl2br w:val="nil"/>
                    <w:tr2bl w:val="nil"/>
                  </w:tcBorders>
                  <w:noWrap w:val="0"/>
                  <w:vAlign w:val="center"/>
                </w:tcPr>
                <w:p w14:paraId="6089511F">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无量纲</w:t>
                  </w:r>
                </w:p>
              </w:tc>
              <w:tc>
                <w:tcPr>
                  <w:tcW w:w="1414" w:type="pct"/>
                  <w:tcBorders>
                    <w:tl2br w:val="nil"/>
                    <w:tr2bl w:val="nil"/>
                  </w:tcBorders>
                  <w:noWrap w:val="0"/>
                  <w:vAlign w:val="center"/>
                </w:tcPr>
                <w:p w14:paraId="18EDC266">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7.78</w:t>
                  </w:r>
                </w:p>
              </w:tc>
              <w:tc>
                <w:tcPr>
                  <w:tcW w:w="969" w:type="pct"/>
                  <w:tcBorders>
                    <w:tl2br w:val="nil"/>
                    <w:tr2bl w:val="nil"/>
                  </w:tcBorders>
                  <w:noWrap w:val="0"/>
                  <w:vAlign w:val="center"/>
                </w:tcPr>
                <w:p w14:paraId="04A0579D">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r>
            <w:tr w14:paraId="696919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69F32DCC">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汞</w:t>
                  </w:r>
                </w:p>
              </w:tc>
              <w:tc>
                <w:tcPr>
                  <w:tcW w:w="1325" w:type="pct"/>
                  <w:tcBorders>
                    <w:tl2br w:val="nil"/>
                    <w:tr2bl w:val="nil"/>
                  </w:tcBorders>
                  <w:noWrap w:val="0"/>
                  <w:vAlign w:val="center"/>
                </w:tcPr>
                <w:p w14:paraId="7A7CD0C3">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596F45D2">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0.0368</w:t>
                  </w:r>
                </w:p>
              </w:tc>
              <w:tc>
                <w:tcPr>
                  <w:tcW w:w="969" w:type="pct"/>
                  <w:tcBorders>
                    <w:tl2br w:val="nil"/>
                    <w:tr2bl w:val="nil"/>
                  </w:tcBorders>
                  <w:noWrap w:val="0"/>
                  <w:vAlign w:val="center"/>
                </w:tcPr>
                <w:p w14:paraId="55FCD159">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3.4</w:t>
                  </w:r>
                </w:p>
              </w:tc>
            </w:tr>
            <w:tr w14:paraId="172F82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16307314">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砷</w:t>
                  </w:r>
                </w:p>
              </w:tc>
              <w:tc>
                <w:tcPr>
                  <w:tcW w:w="1325" w:type="pct"/>
                  <w:tcBorders>
                    <w:tl2br w:val="nil"/>
                    <w:tr2bl w:val="nil"/>
                  </w:tcBorders>
                  <w:noWrap w:val="0"/>
                  <w:vAlign w:val="center"/>
                </w:tcPr>
                <w:p w14:paraId="035F7092">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03FA7EF2">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6.49</w:t>
                  </w:r>
                </w:p>
              </w:tc>
              <w:tc>
                <w:tcPr>
                  <w:tcW w:w="969" w:type="pct"/>
                  <w:tcBorders>
                    <w:tl2br w:val="nil"/>
                    <w:tr2bl w:val="nil"/>
                  </w:tcBorders>
                  <w:noWrap w:val="0"/>
                  <w:vAlign w:val="center"/>
                </w:tcPr>
                <w:p w14:paraId="3FBE7EC4">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25</w:t>
                  </w:r>
                </w:p>
              </w:tc>
            </w:tr>
            <w:tr w14:paraId="3F2006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55165461">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镉</w:t>
                  </w:r>
                </w:p>
              </w:tc>
              <w:tc>
                <w:tcPr>
                  <w:tcW w:w="1325" w:type="pct"/>
                  <w:tcBorders>
                    <w:tl2br w:val="nil"/>
                    <w:tr2bl w:val="nil"/>
                  </w:tcBorders>
                  <w:noWrap w:val="0"/>
                  <w:vAlign w:val="center"/>
                </w:tcPr>
                <w:p w14:paraId="2A0BC66B">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386DE107">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0.28</w:t>
                  </w:r>
                </w:p>
              </w:tc>
              <w:tc>
                <w:tcPr>
                  <w:tcW w:w="969" w:type="pct"/>
                  <w:tcBorders>
                    <w:tl2br w:val="nil"/>
                    <w:tr2bl w:val="nil"/>
                  </w:tcBorders>
                  <w:noWrap w:val="0"/>
                  <w:vAlign w:val="center"/>
                </w:tcPr>
                <w:p w14:paraId="1109861B">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0.6</w:t>
                  </w:r>
                </w:p>
              </w:tc>
            </w:tr>
            <w:tr w14:paraId="55D676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344B02DA">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铜</w:t>
                  </w:r>
                </w:p>
              </w:tc>
              <w:tc>
                <w:tcPr>
                  <w:tcW w:w="1325" w:type="pct"/>
                  <w:tcBorders>
                    <w:tl2br w:val="nil"/>
                    <w:tr2bl w:val="nil"/>
                  </w:tcBorders>
                  <w:noWrap w:val="0"/>
                  <w:vAlign w:val="center"/>
                </w:tcPr>
                <w:p w14:paraId="1016385C">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5630239E">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26</w:t>
                  </w:r>
                </w:p>
              </w:tc>
              <w:tc>
                <w:tcPr>
                  <w:tcW w:w="969" w:type="pct"/>
                  <w:tcBorders>
                    <w:tl2br w:val="nil"/>
                    <w:tr2bl w:val="nil"/>
                  </w:tcBorders>
                  <w:noWrap w:val="0"/>
                  <w:vAlign w:val="center"/>
                </w:tcPr>
                <w:p w14:paraId="422E8A8B">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100</w:t>
                  </w:r>
                </w:p>
              </w:tc>
            </w:tr>
            <w:tr w14:paraId="4FD8C8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5496FD86">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镍</w:t>
                  </w:r>
                </w:p>
              </w:tc>
              <w:tc>
                <w:tcPr>
                  <w:tcW w:w="1325" w:type="pct"/>
                  <w:tcBorders>
                    <w:tl2br w:val="nil"/>
                    <w:tr2bl w:val="nil"/>
                  </w:tcBorders>
                  <w:noWrap w:val="0"/>
                  <w:vAlign w:val="center"/>
                </w:tcPr>
                <w:p w14:paraId="3B86E2FE">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0B823EB7">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36</w:t>
                  </w:r>
                </w:p>
              </w:tc>
              <w:tc>
                <w:tcPr>
                  <w:tcW w:w="969" w:type="pct"/>
                  <w:tcBorders>
                    <w:tl2br w:val="nil"/>
                    <w:tr2bl w:val="nil"/>
                  </w:tcBorders>
                  <w:noWrap w:val="0"/>
                  <w:vAlign w:val="center"/>
                </w:tcPr>
                <w:p w14:paraId="15FA0C9B">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190</w:t>
                  </w:r>
                </w:p>
              </w:tc>
            </w:tr>
            <w:tr w14:paraId="360D8B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63A4788A">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铅</w:t>
                  </w:r>
                </w:p>
              </w:tc>
              <w:tc>
                <w:tcPr>
                  <w:tcW w:w="1325" w:type="pct"/>
                  <w:tcBorders>
                    <w:tl2br w:val="nil"/>
                    <w:tr2bl w:val="nil"/>
                  </w:tcBorders>
                  <w:noWrap w:val="0"/>
                  <w:vAlign w:val="center"/>
                </w:tcPr>
                <w:p w14:paraId="2459AF0F">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3F9F728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27</w:t>
                  </w:r>
                </w:p>
              </w:tc>
              <w:tc>
                <w:tcPr>
                  <w:tcW w:w="969" w:type="pct"/>
                  <w:tcBorders>
                    <w:tl2br w:val="nil"/>
                    <w:tr2bl w:val="nil"/>
                  </w:tcBorders>
                  <w:noWrap w:val="0"/>
                  <w:vAlign w:val="center"/>
                </w:tcPr>
                <w:p w14:paraId="287E42CA">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170</w:t>
                  </w:r>
                </w:p>
              </w:tc>
            </w:tr>
            <w:tr w14:paraId="7FD9AA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6FD9379A">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锌</w:t>
                  </w:r>
                </w:p>
              </w:tc>
              <w:tc>
                <w:tcPr>
                  <w:tcW w:w="1325" w:type="pct"/>
                  <w:tcBorders>
                    <w:tl2br w:val="nil"/>
                    <w:tr2bl w:val="nil"/>
                  </w:tcBorders>
                  <w:noWrap w:val="0"/>
                  <w:vAlign w:val="center"/>
                </w:tcPr>
                <w:p w14:paraId="399DCE65">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00B954DB">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58</w:t>
                  </w:r>
                </w:p>
              </w:tc>
              <w:tc>
                <w:tcPr>
                  <w:tcW w:w="969" w:type="pct"/>
                  <w:tcBorders>
                    <w:tl2br w:val="nil"/>
                    <w:tr2bl w:val="nil"/>
                  </w:tcBorders>
                  <w:noWrap w:val="0"/>
                  <w:vAlign w:val="center"/>
                </w:tcPr>
                <w:p w14:paraId="219DEB9A">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300</w:t>
                  </w:r>
                </w:p>
              </w:tc>
            </w:tr>
            <w:tr w14:paraId="43CC8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07B270B4">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铬</w:t>
                  </w:r>
                </w:p>
              </w:tc>
              <w:tc>
                <w:tcPr>
                  <w:tcW w:w="1325" w:type="pct"/>
                  <w:tcBorders>
                    <w:tl2br w:val="nil"/>
                    <w:tr2bl w:val="nil"/>
                  </w:tcBorders>
                  <w:noWrap w:val="0"/>
                  <w:vAlign w:val="center"/>
                </w:tcPr>
                <w:p w14:paraId="48443EAE">
                  <w:pPr>
                    <w:pStyle w:val="43"/>
                    <w:bidi w:val="0"/>
                    <w:rPr>
                      <w:rFonts w:hint="default" w:ascii="Times New Roman" w:hAnsi="Times New Roman" w:cs="Times New Roman"/>
                      <w:color w:val="auto"/>
                    </w:rPr>
                  </w:pPr>
                  <w:r>
                    <w:rPr>
                      <w:rFonts w:hint="default" w:ascii="Times New Roman" w:hAnsi="Times New Roman" w:cs="Times New Roman"/>
                      <w:color w:val="auto"/>
                      <w:lang w:val="en-US" w:eastAsia="zh-CN"/>
                    </w:rPr>
                    <w:t>m</w:t>
                  </w:r>
                  <w:r>
                    <w:rPr>
                      <w:rFonts w:hint="default" w:ascii="Times New Roman" w:hAnsi="Times New Roman" w:cs="Times New Roman"/>
                      <w:color w:val="auto"/>
                    </w:rPr>
                    <w:t>g/kg</w:t>
                  </w:r>
                </w:p>
              </w:tc>
              <w:tc>
                <w:tcPr>
                  <w:tcW w:w="1414" w:type="pct"/>
                  <w:tcBorders>
                    <w:tl2br w:val="nil"/>
                    <w:tr2bl w:val="nil"/>
                  </w:tcBorders>
                  <w:noWrap w:val="0"/>
                  <w:vAlign w:val="center"/>
                </w:tcPr>
                <w:p w14:paraId="5CB80743">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rPr>
                    <w:t>68</w:t>
                  </w:r>
                </w:p>
              </w:tc>
              <w:tc>
                <w:tcPr>
                  <w:tcW w:w="969" w:type="pct"/>
                  <w:tcBorders>
                    <w:tl2br w:val="nil"/>
                    <w:tr2bl w:val="nil"/>
                  </w:tcBorders>
                  <w:noWrap w:val="0"/>
                  <w:vAlign w:val="center"/>
                </w:tcPr>
                <w:p w14:paraId="1C032E25">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250</w:t>
                  </w:r>
                </w:p>
              </w:tc>
            </w:tr>
            <w:tr w14:paraId="6B9696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0" w:hRule="atLeast"/>
                <w:jc w:val="center"/>
              </w:trPr>
              <w:tc>
                <w:tcPr>
                  <w:tcW w:w="1290" w:type="pct"/>
                  <w:tcBorders>
                    <w:tl2br w:val="nil"/>
                    <w:tr2bl w:val="nil"/>
                  </w:tcBorders>
                  <w:noWrap w:val="0"/>
                  <w:vAlign w:val="center"/>
                </w:tcPr>
                <w:p w14:paraId="33A5EE0A">
                  <w:pPr>
                    <w:pStyle w:val="4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二噁英</w:t>
                  </w:r>
                </w:p>
              </w:tc>
              <w:tc>
                <w:tcPr>
                  <w:tcW w:w="1325" w:type="pct"/>
                  <w:tcBorders>
                    <w:tl2br w:val="nil"/>
                    <w:tr2bl w:val="nil"/>
                  </w:tcBorders>
                  <w:noWrap w:val="0"/>
                  <w:vAlign w:val="center"/>
                </w:tcPr>
                <w:p w14:paraId="66B725F9">
                  <w:pPr>
                    <w:pStyle w:val="43"/>
                    <w:bidi w:val="0"/>
                    <w:rPr>
                      <w:rFonts w:hint="default" w:ascii="Times New Roman" w:hAnsi="Times New Roman" w:cs="Times New Roman"/>
                      <w:color w:val="auto"/>
                    </w:rPr>
                  </w:pPr>
                  <w:r>
                    <w:rPr>
                      <w:rFonts w:hint="default" w:ascii="Times New Roman" w:hAnsi="Times New Roman" w:cs="Times New Roman"/>
                      <w:color w:val="auto"/>
                    </w:rPr>
                    <w:t>ng TEQ/kg</w:t>
                  </w:r>
                </w:p>
              </w:tc>
              <w:tc>
                <w:tcPr>
                  <w:tcW w:w="1414" w:type="pct"/>
                  <w:tcBorders>
                    <w:tl2br w:val="nil"/>
                    <w:tr2bl w:val="nil"/>
                  </w:tcBorders>
                  <w:noWrap w:val="0"/>
                  <w:vAlign w:val="center"/>
                </w:tcPr>
                <w:p w14:paraId="63848BEB">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0.30</w:t>
                  </w:r>
                </w:p>
              </w:tc>
              <w:tc>
                <w:tcPr>
                  <w:tcW w:w="969" w:type="pct"/>
                  <w:tcBorders>
                    <w:tl2br w:val="nil"/>
                    <w:tr2bl w:val="nil"/>
                  </w:tcBorders>
                  <w:noWrap w:val="0"/>
                  <w:vAlign w:val="center"/>
                </w:tcPr>
                <w:p w14:paraId="500595F3">
                  <w:pPr>
                    <w:pStyle w:val="4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r>
          </w:tbl>
          <w:p w14:paraId="4EECD461">
            <w:pPr>
              <w:ind w:firstLine="482"/>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由上表可知，</w:t>
            </w:r>
            <w:r>
              <w:rPr>
                <w:rFonts w:hint="default" w:ascii="Times New Roman" w:hAnsi="Times New Roman" w:cs="Times New Roman"/>
                <w:color w:val="auto"/>
                <w:lang w:eastAsia="zh-CN"/>
              </w:rPr>
              <w:t>监测点各因子均能达到《土壤环境质量农用地土壤污染风险管控标准（试行）》（GB 15618-2018）中的其他农用地风险筛选值标准要求。</w:t>
            </w:r>
          </w:p>
          <w:p w14:paraId="189107C0">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eastAsia" w:ascii="Times New Roman" w:hAnsi="Times New Roman" w:eastAsia="宋体" w:cs="Times New Roman"/>
                <w:b/>
                <w:bCs w:val="0"/>
                <w:color w:val="auto"/>
                <w:lang w:val="en-US" w:eastAsia="zh-CN"/>
              </w:rPr>
              <w:t>六</w:t>
            </w:r>
            <w:r>
              <w:rPr>
                <w:rFonts w:hint="default" w:ascii="Times New Roman" w:hAnsi="Times New Roman" w:eastAsia="宋体" w:cs="Times New Roman"/>
                <w:b/>
                <w:bCs w:val="0"/>
                <w:color w:val="auto"/>
              </w:rPr>
              <w:t>、生态环境</w:t>
            </w:r>
          </w:p>
          <w:p w14:paraId="098DD641">
            <w:pPr>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本项目位于</w:t>
            </w:r>
            <w:r>
              <w:rPr>
                <w:rFonts w:hint="default" w:ascii="Times New Roman" w:hAnsi="Times New Roman" w:cs="Times New Roman"/>
                <w:color w:val="auto"/>
                <w:sz w:val="24"/>
                <w:szCs w:val="24"/>
              </w:rPr>
              <w:t>济宁海螺水泥有限责任公司</w:t>
            </w:r>
            <w:r>
              <w:rPr>
                <w:rFonts w:hint="default" w:ascii="Times New Roman" w:hAnsi="Times New Roman" w:cs="Times New Roman"/>
                <w:color w:val="auto"/>
                <w:sz w:val="24"/>
                <w:szCs w:val="24"/>
                <w:lang w:val="en-US" w:eastAsia="zh-CN"/>
              </w:rPr>
              <w:t>现有厂区内，不新增用地</w:t>
            </w:r>
            <w:r>
              <w:rPr>
                <w:rFonts w:hint="eastAsia" w:cs="Times New Roman"/>
                <w:color w:val="auto"/>
                <w:sz w:val="24"/>
                <w:szCs w:val="24"/>
                <w:lang w:val="en-US" w:eastAsia="zh-CN"/>
              </w:rPr>
              <w:t>，</w:t>
            </w:r>
            <w:r>
              <w:rPr>
                <w:rFonts w:hint="eastAsia" w:cs="Times New Roman"/>
                <w:color w:val="auto"/>
                <w:lang w:val="en-US" w:eastAsia="zh-CN"/>
              </w:rPr>
              <w:t>不属于产业园区外新增用地建设项目，且用地范围内无生态环境保护目标，因此</w:t>
            </w:r>
            <w:r>
              <w:rPr>
                <w:rFonts w:hint="default" w:ascii="Times New Roman" w:hAnsi="Times New Roman" w:cs="Times New Roman"/>
                <w:color w:val="auto"/>
              </w:rPr>
              <w:t>无需进行生态现状调查</w:t>
            </w:r>
            <w:r>
              <w:rPr>
                <w:rFonts w:hint="default" w:ascii="Times New Roman" w:hAnsi="Times New Roman" w:cs="Times New Roman"/>
                <w:color w:val="auto"/>
                <w:sz w:val="24"/>
                <w:szCs w:val="24"/>
                <w:lang w:val="en-US" w:eastAsia="zh-CN"/>
              </w:rPr>
              <w:t>。</w:t>
            </w:r>
          </w:p>
          <w:p w14:paraId="28620C14">
            <w:pPr>
              <w:ind w:firstLine="482"/>
              <w:rPr>
                <w:rFonts w:hint="default" w:ascii="Times New Roman" w:hAnsi="Times New Roman" w:eastAsia="宋体" w:cs="Times New Roman"/>
                <w:b/>
                <w:bCs/>
                <w:color w:val="auto"/>
                <w:lang w:val="en-US" w:eastAsia="zh-CN"/>
              </w:rPr>
            </w:pPr>
            <w:r>
              <w:rPr>
                <w:rFonts w:hint="eastAsia" w:cs="Times New Roman"/>
                <w:b/>
                <w:bCs/>
                <w:color w:val="auto"/>
                <w:lang w:val="en-US" w:eastAsia="zh-CN"/>
              </w:rPr>
              <w:t>七、电磁辐射</w:t>
            </w:r>
          </w:p>
          <w:p w14:paraId="4EF9E492">
            <w:pPr>
              <w:ind w:firstLine="482"/>
              <w:rPr>
                <w:rFonts w:hint="default" w:ascii="Times New Roman" w:hAnsi="Times New Roman" w:eastAsia="宋体" w:cs="Times New Roman"/>
                <w:color w:val="auto"/>
                <w:lang w:eastAsia="zh-CN"/>
              </w:rPr>
            </w:pPr>
            <w:r>
              <w:rPr>
                <w:color w:val="auto"/>
                <w:szCs w:val="24"/>
              </w:rPr>
              <w:t>本项目不涉及电磁辐射源</w:t>
            </w:r>
            <w:r>
              <w:rPr>
                <w:rFonts w:hint="default" w:ascii="Times New Roman" w:hAnsi="Times New Roman" w:cs="Times New Roman"/>
                <w:color w:val="auto"/>
              </w:rPr>
              <w:t>。</w:t>
            </w:r>
          </w:p>
        </w:tc>
      </w:tr>
      <w:tr w14:paraId="0FA18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noWrap w:val="0"/>
            <w:vAlign w:val="center"/>
          </w:tcPr>
          <w:p w14:paraId="29D16CAF">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环境</w:t>
            </w:r>
          </w:p>
          <w:p w14:paraId="6F098092">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保护</w:t>
            </w:r>
          </w:p>
          <w:p w14:paraId="4C241F75">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szCs w:val="24"/>
              </w:rPr>
              <w:t>目标</w:t>
            </w:r>
          </w:p>
        </w:tc>
        <w:tc>
          <w:tcPr>
            <w:tcW w:w="8435" w:type="dxa"/>
            <w:noWrap w:val="0"/>
            <w:vAlign w:val="center"/>
          </w:tcPr>
          <w:p w14:paraId="71A4A6B1">
            <w:pPr>
              <w:pStyle w:val="4"/>
              <w:numPr>
                <w:ilvl w:val="0"/>
                <w:numId w:val="0"/>
              </w:numPr>
              <w:bidi w:val="0"/>
              <w:ind w:leftChars="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主要环境保护目标（列出名单及保护级别）：</w:t>
            </w:r>
          </w:p>
          <w:p w14:paraId="18F8D4FC">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1、大气环境：本项目的大气环境影响评价等级为二级</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lang w:val="en-US" w:eastAsia="zh-CN"/>
              </w:rPr>
              <w:t>具体见“大气环境专项评价报告”</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，大气评级范围为以项目所在地为中心，边长为5km的矩形区域</w:t>
            </w:r>
            <w:r>
              <w:rPr>
                <w:rFonts w:hint="default" w:ascii="Times New Roman" w:hAnsi="Times New Roman" w:cs="Times New Roman"/>
                <w:color w:val="auto"/>
                <w:kern w:val="0"/>
                <w:lang w:eastAsia="zh-CN"/>
              </w:rPr>
              <w:t>；大气环境风险评价范围为距离项目厂界</w:t>
            </w:r>
            <w:r>
              <w:rPr>
                <w:rFonts w:hint="default" w:ascii="Times New Roman" w:hAnsi="Times New Roman" w:cs="Times New Roman"/>
                <w:color w:val="auto"/>
                <w:kern w:val="0"/>
                <w:lang w:val="en-US" w:eastAsia="zh-CN"/>
              </w:rPr>
              <w:t>3</w:t>
            </w:r>
            <w:r>
              <w:rPr>
                <w:rFonts w:hint="default" w:ascii="Times New Roman" w:hAnsi="Times New Roman" w:cs="Times New Roman"/>
                <w:color w:val="auto"/>
                <w:kern w:val="0"/>
                <w:lang w:eastAsia="zh-CN"/>
              </w:rPr>
              <w:t>km的范围（</w:t>
            </w:r>
            <w:r>
              <w:rPr>
                <w:rFonts w:hint="default" w:ascii="Times New Roman" w:hAnsi="Times New Roman" w:cs="Times New Roman"/>
                <w:color w:val="auto"/>
                <w:kern w:val="0"/>
                <w:lang w:val="en-US" w:eastAsia="zh-CN"/>
              </w:rPr>
              <w:t>具体见“环境风险专项评价报告”</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lang w:val="en-US" w:eastAsia="zh-CN"/>
              </w:rPr>
              <w:t>故本次评价大气环境保护目标调查范围为厂界外3km</w:t>
            </w:r>
            <w:r>
              <w:rPr>
                <w:rFonts w:hint="default" w:ascii="Times New Roman" w:hAnsi="Times New Roman" w:cs="Times New Roman"/>
                <w:color w:val="auto"/>
                <w:kern w:val="0"/>
              </w:rPr>
              <w:t>范围的自然保护区、风景名胜区、居住区、文化区和农村地区中人群较集中的区域等保护目标。</w:t>
            </w:r>
          </w:p>
          <w:p w14:paraId="248752FB">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2、声环境：厂界外50米范围的声环境保护目标。</w:t>
            </w:r>
          </w:p>
          <w:p w14:paraId="297A345D">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3、地下水环境：厂界外500米范围的地下水集中式饮用水水源和热水、矿泉水、温泉等特殊地下水资源。</w:t>
            </w:r>
          </w:p>
          <w:p w14:paraId="7218D97C">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4、生态环境：占地范围内无生态环境保护目标。</w:t>
            </w:r>
          </w:p>
          <w:p w14:paraId="4C7EC09D">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kern w:val="0"/>
              </w:rPr>
              <w:t>具体周边环境保护目标见表3-</w:t>
            </w:r>
            <w:r>
              <w:rPr>
                <w:rFonts w:hint="eastAsia" w:cs="Times New Roman"/>
                <w:color w:val="auto"/>
                <w:kern w:val="0"/>
                <w:lang w:val="en-US" w:eastAsia="zh-CN"/>
              </w:rPr>
              <w:t>3</w:t>
            </w:r>
            <w:r>
              <w:rPr>
                <w:rFonts w:hint="default" w:ascii="Times New Roman" w:hAnsi="Times New Roman" w:cs="Times New Roman"/>
                <w:color w:val="auto"/>
              </w:rPr>
              <w:t>。</w:t>
            </w:r>
          </w:p>
          <w:p w14:paraId="0931F85B">
            <w:pPr>
              <w:pStyle w:val="45"/>
              <w:bidi w:val="0"/>
              <w:rPr>
                <w:rFonts w:hint="default" w:ascii="Times New Roman" w:hAnsi="Times New Roman" w:eastAsia="宋体" w:cs="Times New Roman"/>
                <w:b/>
                <w:bCs w:val="0"/>
                <w:color w:val="auto"/>
                <w:szCs w:val="32"/>
              </w:rPr>
            </w:pPr>
            <w:r>
              <w:rPr>
                <w:rFonts w:hint="default" w:ascii="Times New Roman" w:hAnsi="Times New Roman" w:eastAsia="宋体" w:cs="Times New Roman"/>
                <w:b/>
                <w:bCs w:val="0"/>
                <w:color w:val="auto"/>
              </w:rPr>
              <w:t>表3-</w:t>
            </w:r>
            <w:r>
              <w:rPr>
                <w:rFonts w:hint="eastAsia" w:ascii="Times New Roman" w:hAnsi="Times New Roman" w:eastAsia="宋体" w:cs="Times New Roman"/>
                <w:b/>
                <w:bCs w:val="0"/>
                <w:color w:val="auto"/>
                <w:lang w:val="en-US" w:eastAsia="zh-CN"/>
              </w:rPr>
              <w:t>3</w:t>
            </w:r>
            <w:r>
              <w:rPr>
                <w:rFonts w:hint="default" w:ascii="Times New Roman" w:hAnsi="Times New Roman" w:eastAsia="宋体" w:cs="Times New Roman"/>
                <w:b/>
                <w:bCs w:val="0"/>
                <w:color w:val="auto"/>
              </w:rPr>
              <w:t xml:space="preserve"> 项目周围环境敏感保护目标一览表</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111"/>
              <w:gridCol w:w="1796"/>
              <w:gridCol w:w="1016"/>
              <w:gridCol w:w="1667"/>
              <w:gridCol w:w="2597"/>
            </w:tblGrid>
            <w:tr w14:paraId="7CE90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678" w:type="pct"/>
                  <w:tcBorders>
                    <w:tl2br w:val="nil"/>
                    <w:tr2bl w:val="nil"/>
                  </w:tcBorders>
                  <w:noWrap w:val="0"/>
                  <w:vAlign w:val="center"/>
                </w:tcPr>
                <w:p w14:paraId="28AAD128">
                  <w:pPr>
                    <w:pStyle w:val="46"/>
                    <w:bidi w:val="0"/>
                    <w:rPr>
                      <w:rFonts w:hint="default" w:ascii="Times New Roman" w:hAnsi="Times New Roman" w:cs="Times New Roman"/>
                      <w:b/>
                      <w:bCs/>
                      <w:color w:val="auto"/>
                    </w:rPr>
                  </w:pPr>
                  <w:r>
                    <w:rPr>
                      <w:rFonts w:hint="default" w:ascii="Times New Roman" w:hAnsi="Times New Roman" w:cs="Times New Roman"/>
                      <w:b/>
                      <w:bCs/>
                      <w:color w:val="auto"/>
                    </w:rPr>
                    <w:t>保护类别</w:t>
                  </w:r>
                </w:p>
              </w:tc>
              <w:tc>
                <w:tcPr>
                  <w:tcW w:w="1096" w:type="pct"/>
                  <w:tcBorders>
                    <w:tl2br w:val="nil"/>
                    <w:tr2bl w:val="nil"/>
                  </w:tcBorders>
                  <w:noWrap w:val="0"/>
                  <w:vAlign w:val="center"/>
                </w:tcPr>
                <w:p w14:paraId="40D82F68">
                  <w:pPr>
                    <w:pStyle w:val="46"/>
                    <w:bidi w:val="0"/>
                    <w:rPr>
                      <w:rFonts w:hint="default" w:ascii="Times New Roman" w:hAnsi="Times New Roman" w:cs="Times New Roman"/>
                      <w:b/>
                      <w:bCs/>
                      <w:color w:val="auto"/>
                    </w:rPr>
                  </w:pPr>
                  <w:r>
                    <w:rPr>
                      <w:rFonts w:hint="default" w:ascii="Times New Roman" w:hAnsi="Times New Roman" w:cs="Times New Roman"/>
                      <w:b/>
                      <w:bCs/>
                      <w:color w:val="auto"/>
                    </w:rPr>
                    <w:t>保护目标</w:t>
                  </w:r>
                </w:p>
              </w:tc>
              <w:tc>
                <w:tcPr>
                  <w:tcW w:w="620" w:type="pct"/>
                  <w:tcBorders>
                    <w:tl2br w:val="nil"/>
                    <w:tr2bl w:val="nil"/>
                  </w:tcBorders>
                  <w:noWrap w:val="0"/>
                  <w:vAlign w:val="center"/>
                </w:tcPr>
                <w:p w14:paraId="5A4AA2DF">
                  <w:pPr>
                    <w:pStyle w:val="46"/>
                    <w:bidi w:val="0"/>
                    <w:rPr>
                      <w:rFonts w:hint="default" w:ascii="Times New Roman" w:hAnsi="Times New Roman" w:cs="Times New Roman"/>
                      <w:b/>
                      <w:bCs/>
                      <w:color w:val="auto"/>
                    </w:rPr>
                  </w:pPr>
                  <w:r>
                    <w:rPr>
                      <w:rFonts w:hint="default" w:ascii="Times New Roman" w:hAnsi="Times New Roman" w:cs="Times New Roman"/>
                      <w:b/>
                      <w:bCs/>
                      <w:color w:val="auto"/>
                    </w:rPr>
                    <w:t>方位</w:t>
                  </w:r>
                </w:p>
              </w:tc>
              <w:tc>
                <w:tcPr>
                  <w:tcW w:w="1018" w:type="pct"/>
                  <w:tcBorders>
                    <w:tl2br w:val="nil"/>
                    <w:tr2bl w:val="nil"/>
                  </w:tcBorders>
                  <w:noWrap w:val="0"/>
                  <w:vAlign w:val="center"/>
                </w:tcPr>
                <w:p w14:paraId="0909890C">
                  <w:pPr>
                    <w:pStyle w:val="46"/>
                    <w:bidi w:val="0"/>
                    <w:rPr>
                      <w:rFonts w:hint="default" w:ascii="Times New Roman" w:hAnsi="Times New Roman" w:cs="Times New Roman"/>
                      <w:b/>
                      <w:bCs/>
                      <w:color w:val="auto"/>
                    </w:rPr>
                  </w:pPr>
                  <w:r>
                    <w:rPr>
                      <w:rFonts w:hint="default" w:ascii="Times New Roman" w:hAnsi="Times New Roman" w:cs="Times New Roman"/>
                      <w:b/>
                      <w:bCs/>
                      <w:color w:val="auto"/>
                    </w:rPr>
                    <w:t>厂界距离（m）</w:t>
                  </w:r>
                </w:p>
              </w:tc>
              <w:tc>
                <w:tcPr>
                  <w:tcW w:w="1586" w:type="pct"/>
                  <w:tcBorders>
                    <w:tl2br w:val="nil"/>
                    <w:tr2bl w:val="nil"/>
                  </w:tcBorders>
                  <w:noWrap w:val="0"/>
                  <w:vAlign w:val="center"/>
                </w:tcPr>
                <w:p w14:paraId="675311AE">
                  <w:pPr>
                    <w:pStyle w:val="46"/>
                    <w:bidi w:val="0"/>
                    <w:rPr>
                      <w:rFonts w:hint="default" w:ascii="Times New Roman" w:hAnsi="Times New Roman" w:cs="Times New Roman"/>
                      <w:b/>
                      <w:bCs/>
                      <w:color w:val="auto"/>
                    </w:rPr>
                  </w:pPr>
                  <w:r>
                    <w:rPr>
                      <w:rFonts w:hint="default" w:ascii="Times New Roman" w:hAnsi="Times New Roman" w:cs="Times New Roman"/>
                      <w:b/>
                      <w:bCs/>
                      <w:color w:val="auto"/>
                    </w:rPr>
                    <w:t>保护级别</w:t>
                  </w:r>
                </w:p>
              </w:tc>
            </w:tr>
            <w:tr w14:paraId="1E463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restart"/>
                  <w:tcBorders>
                    <w:tl2br w:val="nil"/>
                    <w:tr2bl w:val="nil"/>
                  </w:tcBorders>
                  <w:noWrap w:val="0"/>
                  <w:vAlign w:val="center"/>
                </w:tcPr>
                <w:p w14:paraId="2E2E98A9">
                  <w:pPr>
                    <w:pStyle w:val="46"/>
                    <w:bidi w:val="0"/>
                    <w:rPr>
                      <w:rFonts w:hint="default" w:ascii="Times New Roman" w:hAnsi="Times New Roman" w:cs="Times New Roman"/>
                      <w:color w:val="auto"/>
                    </w:rPr>
                  </w:pPr>
                </w:p>
                <w:p w14:paraId="0960C1C9">
                  <w:pPr>
                    <w:pStyle w:val="46"/>
                    <w:bidi w:val="0"/>
                    <w:rPr>
                      <w:rFonts w:hint="default" w:ascii="Times New Roman" w:hAnsi="Times New Roman" w:cs="Times New Roman"/>
                      <w:color w:val="auto"/>
                    </w:rPr>
                  </w:pPr>
                </w:p>
                <w:p w14:paraId="6917E842">
                  <w:pPr>
                    <w:pStyle w:val="46"/>
                    <w:bidi w:val="0"/>
                    <w:rPr>
                      <w:rFonts w:hint="default" w:ascii="Times New Roman" w:hAnsi="Times New Roman" w:cs="Times New Roman"/>
                      <w:color w:val="auto"/>
                    </w:rPr>
                  </w:pPr>
                </w:p>
                <w:p w14:paraId="08CC00D7">
                  <w:pPr>
                    <w:pStyle w:val="46"/>
                    <w:bidi w:val="0"/>
                    <w:rPr>
                      <w:rFonts w:hint="default" w:ascii="Times New Roman" w:hAnsi="Times New Roman" w:cs="Times New Roman"/>
                      <w:color w:val="auto"/>
                    </w:rPr>
                  </w:pPr>
                </w:p>
                <w:p w14:paraId="320CF539">
                  <w:pPr>
                    <w:pStyle w:val="46"/>
                    <w:bidi w:val="0"/>
                    <w:rPr>
                      <w:rFonts w:hint="default" w:ascii="Times New Roman" w:hAnsi="Times New Roman" w:cs="Times New Roman"/>
                      <w:color w:val="auto"/>
                    </w:rPr>
                  </w:pPr>
                </w:p>
                <w:p w14:paraId="1F4B79E2">
                  <w:pPr>
                    <w:pStyle w:val="46"/>
                    <w:bidi w:val="0"/>
                    <w:rPr>
                      <w:rFonts w:hint="default" w:ascii="Times New Roman" w:hAnsi="Times New Roman" w:cs="Times New Roman"/>
                      <w:color w:val="auto"/>
                    </w:rPr>
                  </w:pPr>
                </w:p>
                <w:p w14:paraId="259224B2">
                  <w:pPr>
                    <w:pStyle w:val="46"/>
                    <w:bidi w:val="0"/>
                    <w:rPr>
                      <w:rFonts w:hint="default" w:ascii="Times New Roman" w:hAnsi="Times New Roman" w:cs="Times New Roman"/>
                      <w:color w:val="auto"/>
                    </w:rPr>
                  </w:pPr>
                </w:p>
                <w:p w14:paraId="2410155B">
                  <w:pPr>
                    <w:pStyle w:val="46"/>
                    <w:bidi w:val="0"/>
                    <w:rPr>
                      <w:rFonts w:hint="default" w:ascii="Times New Roman" w:hAnsi="Times New Roman" w:cs="Times New Roman"/>
                      <w:color w:val="auto"/>
                    </w:rPr>
                  </w:pPr>
                  <w:r>
                    <w:rPr>
                      <w:rFonts w:hint="default" w:ascii="Times New Roman" w:hAnsi="Times New Roman" w:cs="Times New Roman"/>
                      <w:color w:val="auto"/>
                    </w:rPr>
                    <w:t>大气评价范围(2.5km)</w:t>
                  </w:r>
                </w:p>
                <w:p w14:paraId="1DA0C87C">
                  <w:pPr>
                    <w:pStyle w:val="46"/>
                    <w:bidi w:val="0"/>
                    <w:rPr>
                      <w:rFonts w:hint="default" w:ascii="Times New Roman" w:hAnsi="Times New Roman" w:cs="Times New Roman"/>
                      <w:color w:val="auto"/>
                    </w:rPr>
                  </w:pPr>
                  <w:r>
                    <w:rPr>
                      <w:rFonts w:hint="default" w:ascii="Times New Roman" w:hAnsi="Times New Roman" w:cs="Times New Roman"/>
                      <w:color w:val="auto"/>
                    </w:rPr>
                    <w:t>风险评价范围（3km）内</w:t>
                  </w:r>
                </w:p>
              </w:tc>
              <w:tc>
                <w:tcPr>
                  <w:tcW w:w="1096" w:type="pct"/>
                  <w:tcBorders>
                    <w:tl2br w:val="nil"/>
                    <w:tr2bl w:val="nil"/>
                  </w:tcBorders>
                  <w:noWrap w:val="0"/>
                  <w:vAlign w:val="center"/>
                </w:tcPr>
                <w:p w14:paraId="07118202">
                  <w:pPr>
                    <w:pStyle w:val="46"/>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color w:val="auto"/>
                      <w:highlight w:val="none"/>
                    </w:rPr>
                    <w:t>峙山</w:t>
                  </w:r>
                  <w:r>
                    <w:rPr>
                      <w:rFonts w:hint="default" w:ascii="Times New Roman" w:hAnsi="Times New Roman" w:cs="Times New Roman"/>
                      <w:color w:val="auto"/>
                      <w:highlight w:val="none"/>
                      <w:lang w:val="en-US" w:eastAsia="zh-CN"/>
                    </w:rPr>
                    <w:t>庄村</w:t>
                  </w:r>
                </w:p>
              </w:tc>
              <w:tc>
                <w:tcPr>
                  <w:tcW w:w="620" w:type="pct"/>
                  <w:tcBorders>
                    <w:tl2br w:val="nil"/>
                    <w:tr2bl w:val="nil"/>
                  </w:tcBorders>
                  <w:noWrap w:val="0"/>
                  <w:vAlign w:val="center"/>
                </w:tcPr>
                <w:p w14:paraId="69AA45B8">
                  <w:pPr>
                    <w:pStyle w:val="46"/>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SW</w:t>
                  </w:r>
                </w:p>
              </w:tc>
              <w:tc>
                <w:tcPr>
                  <w:tcW w:w="1018" w:type="pct"/>
                  <w:tcBorders>
                    <w:tl2br w:val="nil"/>
                    <w:tr2bl w:val="nil"/>
                  </w:tcBorders>
                  <w:noWrap w:val="0"/>
                  <w:vAlign w:val="center"/>
                </w:tcPr>
                <w:p w14:paraId="567EC768">
                  <w:pPr>
                    <w:pStyle w:val="46"/>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410</w:t>
                  </w:r>
                </w:p>
              </w:tc>
              <w:tc>
                <w:tcPr>
                  <w:tcW w:w="1586" w:type="pct"/>
                  <w:vMerge w:val="restart"/>
                  <w:tcBorders>
                    <w:tl2br w:val="nil"/>
                    <w:tr2bl w:val="nil"/>
                  </w:tcBorders>
                  <w:noWrap w:val="0"/>
                  <w:vAlign w:val="center"/>
                </w:tcPr>
                <w:p w14:paraId="3EE0DDFE">
                  <w:pPr>
                    <w:pStyle w:val="46"/>
                    <w:bidi w:val="0"/>
                    <w:rPr>
                      <w:rFonts w:hint="default" w:ascii="Times New Roman" w:hAnsi="Times New Roman" w:cs="Times New Roman"/>
                      <w:color w:val="auto"/>
                    </w:rPr>
                  </w:pPr>
                  <w:r>
                    <w:rPr>
                      <w:rFonts w:hint="default" w:ascii="Times New Roman" w:hAnsi="Times New Roman" w:cs="Times New Roman"/>
                      <w:color w:val="auto"/>
                    </w:rPr>
                    <w:t>《环境空气质量标准》</w:t>
                  </w:r>
                </w:p>
                <w:p w14:paraId="28B81B21">
                  <w:pPr>
                    <w:pStyle w:val="46"/>
                    <w:bidi w:val="0"/>
                    <w:rPr>
                      <w:rFonts w:hint="default" w:ascii="Times New Roman" w:hAnsi="Times New Roman" w:cs="Times New Roman"/>
                      <w:color w:val="auto"/>
                    </w:rPr>
                  </w:pPr>
                  <w:r>
                    <w:rPr>
                      <w:rFonts w:hint="default" w:ascii="Times New Roman" w:hAnsi="Times New Roman" w:cs="Times New Roman"/>
                      <w:color w:val="auto"/>
                    </w:rPr>
                    <w:t>（GB3095-2012）二级标准</w:t>
                  </w:r>
                </w:p>
              </w:tc>
            </w:tr>
            <w:tr w14:paraId="285FE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4F405E0D">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0CE9EABD">
                  <w:pPr>
                    <w:pStyle w:val="46"/>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color w:val="auto"/>
                      <w:highlight w:val="none"/>
                      <w:lang w:val="en-US" w:eastAsia="zh-CN"/>
                    </w:rPr>
                    <w:t>石龙岗村</w:t>
                  </w:r>
                </w:p>
              </w:tc>
              <w:tc>
                <w:tcPr>
                  <w:tcW w:w="620" w:type="pct"/>
                  <w:tcBorders>
                    <w:tl2br w:val="nil"/>
                    <w:tr2bl w:val="nil"/>
                  </w:tcBorders>
                  <w:noWrap w:val="0"/>
                  <w:vAlign w:val="center"/>
                </w:tcPr>
                <w:p w14:paraId="74749412">
                  <w:pPr>
                    <w:pStyle w:val="46"/>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29B0D745">
                  <w:pPr>
                    <w:pStyle w:val="46"/>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190</w:t>
                  </w:r>
                </w:p>
              </w:tc>
              <w:tc>
                <w:tcPr>
                  <w:tcW w:w="1586" w:type="pct"/>
                  <w:vMerge w:val="continue"/>
                  <w:tcBorders>
                    <w:tl2br w:val="nil"/>
                    <w:tr2bl w:val="nil"/>
                  </w:tcBorders>
                  <w:noWrap w:val="0"/>
                  <w:vAlign w:val="center"/>
                </w:tcPr>
                <w:p w14:paraId="213C39A8">
                  <w:pPr>
                    <w:pStyle w:val="46"/>
                    <w:bidi w:val="0"/>
                    <w:rPr>
                      <w:rFonts w:hint="default" w:ascii="Times New Roman" w:hAnsi="Times New Roman" w:cs="Times New Roman"/>
                      <w:color w:val="auto"/>
                    </w:rPr>
                  </w:pPr>
                </w:p>
              </w:tc>
            </w:tr>
            <w:tr w14:paraId="6F2AF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201FDA18">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4AE476C0">
                  <w:pPr>
                    <w:pStyle w:val="46"/>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color w:val="auto"/>
                      <w:highlight w:val="none"/>
                      <w:lang w:val="en-US" w:eastAsia="zh-CN"/>
                    </w:rPr>
                    <w:t>龙虎庄村</w:t>
                  </w:r>
                </w:p>
              </w:tc>
              <w:tc>
                <w:tcPr>
                  <w:tcW w:w="620" w:type="pct"/>
                  <w:tcBorders>
                    <w:tl2br w:val="nil"/>
                    <w:tr2bl w:val="nil"/>
                  </w:tcBorders>
                  <w:noWrap w:val="0"/>
                  <w:vAlign w:val="center"/>
                </w:tcPr>
                <w:p w14:paraId="53CC2C8A">
                  <w:pPr>
                    <w:pStyle w:val="46"/>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W</w:t>
                  </w:r>
                </w:p>
              </w:tc>
              <w:tc>
                <w:tcPr>
                  <w:tcW w:w="1018" w:type="pct"/>
                  <w:tcBorders>
                    <w:tl2br w:val="nil"/>
                    <w:tr2bl w:val="nil"/>
                  </w:tcBorders>
                  <w:noWrap w:val="0"/>
                  <w:vAlign w:val="center"/>
                </w:tcPr>
                <w:p w14:paraId="5CA17C95">
                  <w:pPr>
                    <w:pStyle w:val="46"/>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390</w:t>
                  </w:r>
                </w:p>
              </w:tc>
              <w:tc>
                <w:tcPr>
                  <w:tcW w:w="1586" w:type="pct"/>
                  <w:vMerge w:val="continue"/>
                  <w:tcBorders>
                    <w:tl2br w:val="nil"/>
                    <w:tr2bl w:val="nil"/>
                  </w:tcBorders>
                  <w:noWrap w:val="0"/>
                  <w:vAlign w:val="center"/>
                </w:tcPr>
                <w:p w14:paraId="0CD045A2">
                  <w:pPr>
                    <w:pStyle w:val="46"/>
                    <w:bidi w:val="0"/>
                    <w:rPr>
                      <w:rFonts w:hint="default" w:ascii="Times New Roman" w:hAnsi="Times New Roman" w:cs="Times New Roman"/>
                      <w:color w:val="auto"/>
                    </w:rPr>
                  </w:pPr>
                </w:p>
              </w:tc>
            </w:tr>
            <w:tr w14:paraId="42425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28AA13F2">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6596783C">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何家洼村</w:t>
                  </w:r>
                </w:p>
              </w:tc>
              <w:tc>
                <w:tcPr>
                  <w:tcW w:w="620" w:type="pct"/>
                  <w:tcBorders>
                    <w:tl2br w:val="nil"/>
                    <w:tr2bl w:val="nil"/>
                  </w:tcBorders>
                  <w:noWrap w:val="0"/>
                  <w:vAlign w:val="center"/>
                </w:tcPr>
                <w:p w14:paraId="19B6DB6F">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NE</w:t>
                  </w:r>
                </w:p>
              </w:tc>
              <w:tc>
                <w:tcPr>
                  <w:tcW w:w="1018" w:type="pct"/>
                  <w:tcBorders>
                    <w:tl2br w:val="nil"/>
                    <w:tr2bl w:val="nil"/>
                  </w:tcBorders>
                  <w:noWrap w:val="0"/>
                  <w:vAlign w:val="center"/>
                </w:tcPr>
                <w:p w14:paraId="0C135CF3">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1260</w:t>
                  </w:r>
                </w:p>
              </w:tc>
              <w:tc>
                <w:tcPr>
                  <w:tcW w:w="1586" w:type="pct"/>
                  <w:vMerge w:val="continue"/>
                  <w:tcBorders>
                    <w:tl2br w:val="nil"/>
                    <w:tr2bl w:val="nil"/>
                  </w:tcBorders>
                  <w:noWrap w:val="0"/>
                  <w:vAlign w:val="center"/>
                </w:tcPr>
                <w:p w14:paraId="6BA27877">
                  <w:pPr>
                    <w:pStyle w:val="46"/>
                    <w:bidi w:val="0"/>
                    <w:rPr>
                      <w:rFonts w:hint="default" w:ascii="Times New Roman" w:hAnsi="Times New Roman" w:cs="Times New Roman"/>
                      <w:color w:val="auto"/>
                    </w:rPr>
                  </w:pPr>
                </w:p>
              </w:tc>
            </w:tr>
            <w:tr w14:paraId="71DE7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0278CB15">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1BA10AD5">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马泉庄</w:t>
                  </w:r>
                </w:p>
              </w:tc>
              <w:tc>
                <w:tcPr>
                  <w:tcW w:w="620" w:type="pct"/>
                  <w:tcBorders>
                    <w:tl2br w:val="nil"/>
                    <w:tr2bl w:val="nil"/>
                  </w:tcBorders>
                  <w:noWrap w:val="0"/>
                  <w:vAlign w:val="center"/>
                </w:tcPr>
                <w:p w14:paraId="6760EEC8">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NE</w:t>
                  </w:r>
                </w:p>
              </w:tc>
              <w:tc>
                <w:tcPr>
                  <w:tcW w:w="1018" w:type="pct"/>
                  <w:tcBorders>
                    <w:tl2br w:val="nil"/>
                    <w:tr2bl w:val="nil"/>
                  </w:tcBorders>
                  <w:noWrap w:val="0"/>
                  <w:vAlign w:val="center"/>
                </w:tcPr>
                <w:p w14:paraId="087EE8B8">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1480</w:t>
                  </w:r>
                </w:p>
              </w:tc>
              <w:tc>
                <w:tcPr>
                  <w:tcW w:w="1586" w:type="pct"/>
                  <w:vMerge w:val="continue"/>
                  <w:tcBorders>
                    <w:tl2br w:val="nil"/>
                    <w:tr2bl w:val="nil"/>
                  </w:tcBorders>
                  <w:noWrap w:val="0"/>
                  <w:vAlign w:val="center"/>
                </w:tcPr>
                <w:p w14:paraId="1D1DD030">
                  <w:pPr>
                    <w:pStyle w:val="46"/>
                    <w:bidi w:val="0"/>
                    <w:rPr>
                      <w:rFonts w:hint="default" w:ascii="Times New Roman" w:hAnsi="Times New Roman" w:cs="Times New Roman"/>
                      <w:color w:val="auto"/>
                    </w:rPr>
                  </w:pPr>
                </w:p>
              </w:tc>
            </w:tr>
            <w:tr w14:paraId="0C4FB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030A1D06">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0F395652">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黄阴集村</w:t>
                  </w:r>
                </w:p>
              </w:tc>
              <w:tc>
                <w:tcPr>
                  <w:tcW w:w="620" w:type="pct"/>
                  <w:tcBorders>
                    <w:tl2br w:val="nil"/>
                    <w:tr2bl w:val="nil"/>
                  </w:tcBorders>
                  <w:noWrap w:val="0"/>
                  <w:vAlign w:val="center"/>
                </w:tcPr>
                <w:p w14:paraId="5E13B2C2">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N</w:t>
                  </w:r>
                </w:p>
              </w:tc>
              <w:tc>
                <w:tcPr>
                  <w:tcW w:w="1018" w:type="pct"/>
                  <w:tcBorders>
                    <w:tl2br w:val="nil"/>
                    <w:tr2bl w:val="nil"/>
                  </w:tcBorders>
                  <w:noWrap w:val="0"/>
                  <w:vAlign w:val="center"/>
                </w:tcPr>
                <w:p w14:paraId="3FF84059">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1560</w:t>
                  </w:r>
                </w:p>
              </w:tc>
              <w:tc>
                <w:tcPr>
                  <w:tcW w:w="1586" w:type="pct"/>
                  <w:vMerge w:val="continue"/>
                  <w:tcBorders>
                    <w:tl2br w:val="nil"/>
                    <w:tr2bl w:val="nil"/>
                  </w:tcBorders>
                  <w:noWrap w:val="0"/>
                  <w:vAlign w:val="center"/>
                </w:tcPr>
                <w:p w14:paraId="2EBCD48E">
                  <w:pPr>
                    <w:pStyle w:val="46"/>
                    <w:bidi w:val="0"/>
                    <w:rPr>
                      <w:rFonts w:hint="default" w:ascii="Times New Roman" w:hAnsi="Times New Roman" w:cs="Times New Roman"/>
                      <w:color w:val="auto"/>
                    </w:rPr>
                  </w:pPr>
                </w:p>
              </w:tc>
            </w:tr>
            <w:tr w14:paraId="6EFDE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5DF43373">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689951DA">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黄家岭村</w:t>
                  </w:r>
                </w:p>
              </w:tc>
              <w:tc>
                <w:tcPr>
                  <w:tcW w:w="620" w:type="pct"/>
                  <w:tcBorders>
                    <w:tl2br w:val="nil"/>
                    <w:tr2bl w:val="nil"/>
                  </w:tcBorders>
                  <w:noWrap w:val="0"/>
                  <w:vAlign w:val="center"/>
                </w:tcPr>
                <w:p w14:paraId="049604B0">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NW</w:t>
                  </w:r>
                </w:p>
              </w:tc>
              <w:tc>
                <w:tcPr>
                  <w:tcW w:w="1018" w:type="pct"/>
                  <w:tcBorders>
                    <w:tl2br w:val="nil"/>
                    <w:tr2bl w:val="nil"/>
                  </w:tcBorders>
                  <w:noWrap w:val="0"/>
                  <w:vAlign w:val="center"/>
                </w:tcPr>
                <w:p w14:paraId="2C3138AE">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1310</w:t>
                  </w:r>
                </w:p>
              </w:tc>
              <w:tc>
                <w:tcPr>
                  <w:tcW w:w="1586" w:type="pct"/>
                  <w:vMerge w:val="continue"/>
                  <w:tcBorders>
                    <w:tl2br w:val="nil"/>
                    <w:tr2bl w:val="nil"/>
                  </w:tcBorders>
                  <w:noWrap w:val="0"/>
                  <w:vAlign w:val="center"/>
                </w:tcPr>
                <w:p w14:paraId="10A4A9D5">
                  <w:pPr>
                    <w:pStyle w:val="46"/>
                    <w:bidi w:val="0"/>
                    <w:rPr>
                      <w:rFonts w:hint="default" w:ascii="Times New Roman" w:hAnsi="Times New Roman" w:cs="Times New Roman"/>
                      <w:color w:val="auto"/>
                    </w:rPr>
                  </w:pPr>
                </w:p>
              </w:tc>
            </w:tr>
            <w:tr w14:paraId="11033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05F329A2">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025B5873">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东故安村</w:t>
                  </w:r>
                </w:p>
              </w:tc>
              <w:tc>
                <w:tcPr>
                  <w:tcW w:w="620" w:type="pct"/>
                  <w:tcBorders>
                    <w:tl2br w:val="nil"/>
                    <w:tr2bl w:val="nil"/>
                  </w:tcBorders>
                  <w:noWrap w:val="0"/>
                  <w:vAlign w:val="center"/>
                </w:tcPr>
                <w:p w14:paraId="20464E63">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W</w:t>
                  </w:r>
                </w:p>
              </w:tc>
              <w:tc>
                <w:tcPr>
                  <w:tcW w:w="1018" w:type="pct"/>
                  <w:tcBorders>
                    <w:tl2br w:val="nil"/>
                    <w:tr2bl w:val="nil"/>
                  </w:tcBorders>
                  <w:noWrap w:val="0"/>
                  <w:vAlign w:val="center"/>
                </w:tcPr>
                <w:p w14:paraId="254F9EA4">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980</w:t>
                  </w:r>
                </w:p>
              </w:tc>
              <w:tc>
                <w:tcPr>
                  <w:tcW w:w="1586" w:type="pct"/>
                  <w:vMerge w:val="continue"/>
                  <w:tcBorders>
                    <w:tl2br w:val="nil"/>
                    <w:tr2bl w:val="nil"/>
                  </w:tcBorders>
                  <w:noWrap w:val="0"/>
                  <w:vAlign w:val="center"/>
                </w:tcPr>
                <w:p w14:paraId="384DF065">
                  <w:pPr>
                    <w:pStyle w:val="46"/>
                    <w:bidi w:val="0"/>
                    <w:rPr>
                      <w:rFonts w:hint="default" w:ascii="Times New Roman" w:hAnsi="Times New Roman" w:cs="Times New Roman"/>
                      <w:color w:val="auto"/>
                    </w:rPr>
                  </w:pPr>
                </w:p>
              </w:tc>
            </w:tr>
            <w:tr w14:paraId="66BC3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46E54C52">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53A85BFB">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西故安村</w:t>
                  </w:r>
                </w:p>
              </w:tc>
              <w:tc>
                <w:tcPr>
                  <w:tcW w:w="620" w:type="pct"/>
                  <w:tcBorders>
                    <w:tl2br w:val="nil"/>
                    <w:tr2bl w:val="nil"/>
                  </w:tcBorders>
                  <w:noWrap w:val="0"/>
                  <w:vAlign w:val="center"/>
                </w:tcPr>
                <w:p w14:paraId="536CA37A">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W</w:t>
                  </w:r>
                </w:p>
              </w:tc>
              <w:tc>
                <w:tcPr>
                  <w:tcW w:w="1018" w:type="pct"/>
                  <w:tcBorders>
                    <w:tl2br w:val="nil"/>
                    <w:tr2bl w:val="nil"/>
                  </w:tcBorders>
                  <w:noWrap w:val="0"/>
                  <w:vAlign w:val="center"/>
                </w:tcPr>
                <w:p w14:paraId="28AA6BF2">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1620</w:t>
                  </w:r>
                </w:p>
              </w:tc>
              <w:tc>
                <w:tcPr>
                  <w:tcW w:w="1586" w:type="pct"/>
                  <w:vMerge w:val="continue"/>
                  <w:tcBorders>
                    <w:tl2br w:val="nil"/>
                    <w:tr2bl w:val="nil"/>
                  </w:tcBorders>
                  <w:noWrap w:val="0"/>
                  <w:vAlign w:val="center"/>
                </w:tcPr>
                <w:p w14:paraId="60945ED1">
                  <w:pPr>
                    <w:pStyle w:val="46"/>
                    <w:bidi w:val="0"/>
                    <w:rPr>
                      <w:rFonts w:hint="default" w:ascii="Times New Roman" w:hAnsi="Times New Roman" w:cs="Times New Roman"/>
                      <w:color w:val="auto"/>
                    </w:rPr>
                  </w:pPr>
                </w:p>
              </w:tc>
            </w:tr>
            <w:tr w14:paraId="56AD8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0726BBBA">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177C68C4">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小王家庄村</w:t>
                  </w:r>
                </w:p>
              </w:tc>
              <w:tc>
                <w:tcPr>
                  <w:tcW w:w="620" w:type="pct"/>
                  <w:tcBorders>
                    <w:tl2br w:val="nil"/>
                    <w:tr2bl w:val="nil"/>
                  </w:tcBorders>
                  <w:noWrap w:val="0"/>
                  <w:vAlign w:val="center"/>
                </w:tcPr>
                <w:p w14:paraId="3E552967">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73320A5F">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910</w:t>
                  </w:r>
                </w:p>
              </w:tc>
              <w:tc>
                <w:tcPr>
                  <w:tcW w:w="1586" w:type="pct"/>
                  <w:vMerge w:val="continue"/>
                  <w:tcBorders>
                    <w:tl2br w:val="nil"/>
                    <w:tr2bl w:val="nil"/>
                  </w:tcBorders>
                  <w:noWrap w:val="0"/>
                  <w:vAlign w:val="center"/>
                </w:tcPr>
                <w:p w14:paraId="40A6DF03">
                  <w:pPr>
                    <w:pStyle w:val="46"/>
                    <w:bidi w:val="0"/>
                    <w:rPr>
                      <w:rFonts w:hint="default" w:ascii="Times New Roman" w:hAnsi="Times New Roman" w:cs="Times New Roman"/>
                      <w:color w:val="auto"/>
                    </w:rPr>
                  </w:pPr>
                </w:p>
              </w:tc>
            </w:tr>
            <w:tr w14:paraId="74E1F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2E651E9D">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654D776B">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夹平村</w:t>
                  </w:r>
                </w:p>
              </w:tc>
              <w:tc>
                <w:tcPr>
                  <w:tcW w:w="620" w:type="pct"/>
                  <w:tcBorders>
                    <w:tl2br w:val="nil"/>
                    <w:tr2bl w:val="nil"/>
                  </w:tcBorders>
                  <w:noWrap w:val="0"/>
                  <w:vAlign w:val="center"/>
                </w:tcPr>
                <w:p w14:paraId="3A5F8B19">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3D4A02DD">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1490</w:t>
                  </w:r>
                </w:p>
              </w:tc>
              <w:tc>
                <w:tcPr>
                  <w:tcW w:w="1586" w:type="pct"/>
                  <w:vMerge w:val="continue"/>
                  <w:tcBorders>
                    <w:tl2br w:val="nil"/>
                    <w:tr2bl w:val="nil"/>
                  </w:tcBorders>
                  <w:noWrap w:val="0"/>
                  <w:vAlign w:val="center"/>
                </w:tcPr>
                <w:p w14:paraId="5DB9F799">
                  <w:pPr>
                    <w:pStyle w:val="46"/>
                    <w:bidi w:val="0"/>
                    <w:rPr>
                      <w:rFonts w:hint="default" w:ascii="Times New Roman" w:hAnsi="Times New Roman" w:cs="Times New Roman"/>
                      <w:color w:val="auto"/>
                    </w:rPr>
                  </w:pPr>
                </w:p>
              </w:tc>
            </w:tr>
            <w:tr w14:paraId="63B61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61E63B3D">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298CDA22">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小王社区</w:t>
                  </w:r>
                </w:p>
              </w:tc>
              <w:tc>
                <w:tcPr>
                  <w:tcW w:w="620" w:type="pct"/>
                  <w:tcBorders>
                    <w:tl2br w:val="nil"/>
                    <w:tr2bl w:val="nil"/>
                  </w:tcBorders>
                  <w:noWrap w:val="0"/>
                  <w:vAlign w:val="center"/>
                </w:tcPr>
                <w:p w14:paraId="16877182">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44AA73A6">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1580</w:t>
                  </w:r>
                </w:p>
              </w:tc>
              <w:tc>
                <w:tcPr>
                  <w:tcW w:w="1586" w:type="pct"/>
                  <w:vMerge w:val="continue"/>
                  <w:tcBorders>
                    <w:tl2br w:val="nil"/>
                    <w:tr2bl w:val="nil"/>
                  </w:tcBorders>
                  <w:noWrap w:val="0"/>
                  <w:vAlign w:val="center"/>
                </w:tcPr>
                <w:p w14:paraId="45DD4B3B">
                  <w:pPr>
                    <w:pStyle w:val="46"/>
                    <w:bidi w:val="0"/>
                    <w:rPr>
                      <w:rFonts w:hint="default" w:ascii="Times New Roman" w:hAnsi="Times New Roman" w:cs="Times New Roman"/>
                      <w:color w:val="auto"/>
                    </w:rPr>
                  </w:pPr>
                </w:p>
              </w:tc>
            </w:tr>
            <w:tr w14:paraId="52B49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1BBB8B80">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62933CD4">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西黄土崖村</w:t>
                  </w:r>
                </w:p>
              </w:tc>
              <w:tc>
                <w:tcPr>
                  <w:tcW w:w="620" w:type="pct"/>
                  <w:tcBorders>
                    <w:tl2br w:val="nil"/>
                    <w:tr2bl w:val="nil"/>
                  </w:tcBorders>
                  <w:noWrap w:val="0"/>
                  <w:vAlign w:val="center"/>
                </w:tcPr>
                <w:p w14:paraId="0058223B">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4448E0E5">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1620</w:t>
                  </w:r>
                </w:p>
              </w:tc>
              <w:tc>
                <w:tcPr>
                  <w:tcW w:w="1586" w:type="pct"/>
                  <w:vMerge w:val="continue"/>
                  <w:tcBorders>
                    <w:tl2br w:val="nil"/>
                    <w:tr2bl w:val="nil"/>
                  </w:tcBorders>
                  <w:noWrap w:val="0"/>
                  <w:vAlign w:val="center"/>
                </w:tcPr>
                <w:p w14:paraId="3F73F1D6">
                  <w:pPr>
                    <w:pStyle w:val="46"/>
                    <w:bidi w:val="0"/>
                    <w:rPr>
                      <w:rFonts w:hint="default" w:ascii="Times New Roman" w:hAnsi="Times New Roman" w:cs="Times New Roman"/>
                      <w:color w:val="auto"/>
                    </w:rPr>
                  </w:pPr>
                </w:p>
              </w:tc>
            </w:tr>
            <w:tr w14:paraId="0FF9B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3BDE6F15">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0E36C7E7">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东黄土崖村</w:t>
                  </w:r>
                </w:p>
              </w:tc>
              <w:tc>
                <w:tcPr>
                  <w:tcW w:w="620" w:type="pct"/>
                  <w:tcBorders>
                    <w:tl2br w:val="nil"/>
                    <w:tr2bl w:val="nil"/>
                  </w:tcBorders>
                  <w:noWrap w:val="0"/>
                  <w:vAlign w:val="center"/>
                </w:tcPr>
                <w:p w14:paraId="3425E1B1">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6D518BF1">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1610</w:t>
                  </w:r>
                </w:p>
              </w:tc>
              <w:tc>
                <w:tcPr>
                  <w:tcW w:w="1586" w:type="pct"/>
                  <w:vMerge w:val="continue"/>
                  <w:tcBorders>
                    <w:tl2br w:val="nil"/>
                    <w:tr2bl w:val="nil"/>
                  </w:tcBorders>
                  <w:noWrap w:val="0"/>
                  <w:vAlign w:val="center"/>
                </w:tcPr>
                <w:p w14:paraId="5D1684CD">
                  <w:pPr>
                    <w:pStyle w:val="46"/>
                    <w:bidi w:val="0"/>
                    <w:rPr>
                      <w:rFonts w:hint="default" w:ascii="Times New Roman" w:hAnsi="Times New Roman" w:cs="Times New Roman"/>
                      <w:color w:val="auto"/>
                    </w:rPr>
                  </w:pPr>
                </w:p>
              </w:tc>
            </w:tr>
            <w:tr w14:paraId="5411C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585D92B2">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59537B1F">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东鲸庄村</w:t>
                  </w:r>
                </w:p>
              </w:tc>
              <w:tc>
                <w:tcPr>
                  <w:tcW w:w="620" w:type="pct"/>
                  <w:tcBorders>
                    <w:tl2br w:val="nil"/>
                    <w:tr2bl w:val="nil"/>
                  </w:tcBorders>
                  <w:noWrap w:val="0"/>
                  <w:vAlign w:val="center"/>
                </w:tcPr>
                <w:p w14:paraId="04430C60">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2D1BBC83">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1700</w:t>
                  </w:r>
                </w:p>
              </w:tc>
              <w:tc>
                <w:tcPr>
                  <w:tcW w:w="1586" w:type="pct"/>
                  <w:vMerge w:val="continue"/>
                  <w:tcBorders>
                    <w:tl2br w:val="nil"/>
                    <w:tr2bl w:val="nil"/>
                  </w:tcBorders>
                  <w:noWrap w:val="0"/>
                  <w:vAlign w:val="center"/>
                </w:tcPr>
                <w:p w14:paraId="14854491">
                  <w:pPr>
                    <w:pStyle w:val="46"/>
                    <w:bidi w:val="0"/>
                    <w:rPr>
                      <w:rFonts w:hint="default" w:ascii="Times New Roman" w:hAnsi="Times New Roman" w:cs="Times New Roman"/>
                      <w:color w:val="auto"/>
                    </w:rPr>
                  </w:pPr>
                </w:p>
              </w:tc>
            </w:tr>
            <w:tr w14:paraId="51611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079AA3C1">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0B496534">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大王家村</w:t>
                  </w:r>
                </w:p>
              </w:tc>
              <w:tc>
                <w:tcPr>
                  <w:tcW w:w="620" w:type="pct"/>
                  <w:tcBorders>
                    <w:tl2br w:val="nil"/>
                    <w:tr2bl w:val="nil"/>
                  </w:tcBorders>
                  <w:noWrap w:val="0"/>
                  <w:vAlign w:val="center"/>
                </w:tcPr>
                <w:p w14:paraId="2DD6EFFF">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S</w:t>
                  </w:r>
                </w:p>
              </w:tc>
              <w:tc>
                <w:tcPr>
                  <w:tcW w:w="1018" w:type="pct"/>
                  <w:tcBorders>
                    <w:tl2br w:val="nil"/>
                    <w:tr2bl w:val="nil"/>
                  </w:tcBorders>
                  <w:noWrap w:val="0"/>
                  <w:vAlign w:val="center"/>
                </w:tcPr>
                <w:p w14:paraId="1F27B0E5">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1910</w:t>
                  </w:r>
                </w:p>
              </w:tc>
              <w:tc>
                <w:tcPr>
                  <w:tcW w:w="1586" w:type="pct"/>
                  <w:vMerge w:val="continue"/>
                  <w:tcBorders>
                    <w:tl2br w:val="nil"/>
                    <w:tr2bl w:val="nil"/>
                  </w:tcBorders>
                  <w:noWrap w:val="0"/>
                  <w:vAlign w:val="center"/>
                </w:tcPr>
                <w:p w14:paraId="3C35BC81">
                  <w:pPr>
                    <w:pStyle w:val="46"/>
                    <w:bidi w:val="0"/>
                    <w:rPr>
                      <w:rFonts w:hint="default" w:ascii="Times New Roman" w:hAnsi="Times New Roman" w:cs="Times New Roman"/>
                      <w:color w:val="auto"/>
                    </w:rPr>
                  </w:pPr>
                </w:p>
              </w:tc>
            </w:tr>
            <w:tr w14:paraId="6ACA5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69269C81">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2E38AB5D">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松山村</w:t>
                  </w:r>
                </w:p>
              </w:tc>
              <w:tc>
                <w:tcPr>
                  <w:tcW w:w="620" w:type="pct"/>
                  <w:tcBorders>
                    <w:tl2br w:val="nil"/>
                    <w:tr2bl w:val="nil"/>
                  </w:tcBorders>
                  <w:noWrap w:val="0"/>
                  <w:vAlign w:val="center"/>
                </w:tcPr>
                <w:p w14:paraId="7A3852E2">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w:t>
                  </w:r>
                  <w:r>
                    <w:rPr>
                      <w:rFonts w:hint="default" w:ascii="Times New Roman" w:hAnsi="Times New Roman" w:cs="Times New Roman"/>
                      <w:b w:val="0"/>
                      <w:bCs w:val="0"/>
                      <w:color w:val="auto"/>
                      <w:highlight w:val="none"/>
                      <w:lang w:val="en-US" w:eastAsia="zh-CN"/>
                    </w:rPr>
                    <w:t>W</w:t>
                  </w:r>
                </w:p>
              </w:tc>
              <w:tc>
                <w:tcPr>
                  <w:tcW w:w="1018" w:type="pct"/>
                  <w:tcBorders>
                    <w:tl2br w:val="nil"/>
                    <w:tr2bl w:val="nil"/>
                  </w:tcBorders>
                  <w:noWrap w:val="0"/>
                  <w:vAlign w:val="center"/>
                </w:tcPr>
                <w:p w14:paraId="1A99CB50">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2050</w:t>
                  </w:r>
                </w:p>
              </w:tc>
              <w:tc>
                <w:tcPr>
                  <w:tcW w:w="1586" w:type="pct"/>
                  <w:vMerge w:val="continue"/>
                  <w:tcBorders>
                    <w:tl2br w:val="nil"/>
                    <w:tr2bl w:val="nil"/>
                  </w:tcBorders>
                  <w:noWrap w:val="0"/>
                  <w:vAlign w:val="center"/>
                </w:tcPr>
                <w:p w14:paraId="42F95C15">
                  <w:pPr>
                    <w:pStyle w:val="46"/>
                    <w:bidi w:val="0"/>
                    <w:rPr>
                      <w:rFonts w:hint="default" w:ascii="Times New Roman" w:hAnsi="Times New Roman" w:cs="Times New Roman"/>
                      <w:color w:val="auto"/>
                    </w:rPr>
                  </w:pPr>
                </w:p>
              </w:tc>
            </w:tr>
            <w:tr w14:paraId="42449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25FB201F">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5F979C8E">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米山村</w:t>
                  </w:r>
                </w:p>
              </w:tc>
              <w:tc>
                <w:tcPr>
                  <w:tcW w:w="620" w:type="pct"/>
                  <w:tcBorders>
                    <w:tl2br w:val="nil"/>
                    <w:tr2bl w:val="nil"/>
                  </w:tcBorders>
                  <w:noWrap w:val="0"/>
                  <w:vAlign w:val="center"/>
                </w:tcPr>
                <w:p w14:paraId="4860B3DB">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7548734D">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1860</w:t>
                  </w:r>
                </w:p>
              </w:tc>
              <w:tc>
                <w:tcPr>
                  <w:tcW w:w="1586" w:type="pct"/>
                  <w:vMerge w:val="continue"/>
                  <w:tcBorders>
                    <w:tl2br w:val="nil"/>
                    <w:tr2bl w:val="nil"/>
                  </w:tcBorders>
                  <w:noWrap w:val="0"/>
                  <w:vAlign w:val="center"/>
                </w:tcPr>
                <w:p w14:paraId="681082F3">
                  <w:pPr>
                    <w:pStyle w:val="46"/>
                    <w:bidi w:val="0"/>
                    <w:rPr>
                      <w:rFonts w:hint="default" w:ascii="Times New Roman" w:hAnsi="Times New Roman" w:cs="Times New Roman"/>
                      <w:color w:val="auto"/>
                    </w:rPr>
                  </w:pPr>
                </w:p>
              </w:tc>
            </w:tr>
            <w:tr w14:paraId="6737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5A801CEA">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1B2A1730">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肖家庄村</w:t>
                  </w:r>
                </w:p>
              </w:tc>
              <w:tc>
                <w:tcPr>
                  <w:tcW w:w="620" w:type="pct"/>
                  <w:tcBorders>
                    <w:tl2br w:val="nil"/>
                    <w:tr2bl w:val="nil"/>
                  </w:tcBorders>
                  <w:noWrap w:val="0"/>
                  <w:vAlign w:val="center"/>
                </w:tcPr>
                <w:p w14:paraId="40FB896A">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6FAB31C8">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2070</w:t>
                  </w:r>
                </w:p>
              </w:tc>
              <w:tc>
                <w:tcPr>
                  <w:tcW w:w="1586" w:type="pct"/>
                  <w:vMerge w:val="continue"/>
                  <w:tcBorders>
                    <w:tl2br w:val="nil"/>
                    <w:tr2bl w:val="nil"/>
                  </w:tcBorders>
                  <w:noWrap w:val="0"/>
                  <w:vAlign w:val="center"/>
                </w:tcPr>
                <w:p w14:paraId="455F6E09">
                  <w:pPr>
                    <w:pStyle w:val="46"/>
                    <w:bidi w:val="0"/>
                    <w:rPr>
                      <w:rFonts w:hint="default" w:ascii="Times New Roman" w:hAnsi="Times New Roman" w:cs="Times New Roman"/>
                      <w:color w:val="auto"/>
                    </w:rPr>
                  </w:pPr>
                </w:p>
              </w:tc>
            </w:tr>
            <w:tr w14:paraId="75B26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79135042">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293798D1">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小王庄小学</w:t>
                  </w:r>
                </w:p>
              </w:tc>
              <w:tc>
                <w:tcPr>
                  <w:tcW w:w="620" w:type="pct"/>
                  <w:tcBorders>
                    <w:tl2br w:val="nil"/>
                    <w:tr2bl w:val="nil"/>
                  </w:tcBorders>
                  <w:noWrap w:val="0"/>
                  <w:vAlign w:val="center"/>
                </w:tcPr>
                <w:p w14:paraId="3F2153AA">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SE</w:t>
                  </w:r>
                </w:p>
              </w:tc>
              <w:tc>
                <w:tcPr>
                  <w:tcW w:w="1018" w:type="pct"/>
                  <w:tcBorders>
                    <w:tl2br w:val="nil"/>
                    <w:tr2bl w:val="nil"/>
                  </w:tcBorders>
                  <w:noWrap w:val="0"/>
                  <w:vAlign w:val="center"/>
                </w:tcPr>
                <w:p w14:paraId="4E3DDDB9">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1310</w:t>
                  </w:r>
                </w:p>
              </w:tc>
              <w:tc>
                <w:tcPr>
                  <w:tcW w:w="1586" w:type="pct"/>
                  <w:vMerge w:val="continue"/>
                  <w:tcBorders>
                    <w:tl2br w:val="nil"/>
                    <w:tr2bl w:val="nil"/>
                  </w:tcBorders>
                  <w:noWrap w:val="0"/>
                  <w:vAlign w:val="center"/>
                </w:tcPr>
                <w:p w14:paraId="5E4EFC9A">
                  <w:pPr>
                    <w:pStyle w:val="46"/>
                    <w:bidi w:val="0"/>
                    <w:rPr>
                      <w:rFonts w:hint="default" w:ascii="Times New Roman" w:hAnsi="Times New Roman" w:cs="Times New Roman"/>
                      <w:color w:val="auto"/>
                    </w:rPr>
                  </w:pPr>
                </w:p>
              </w:tc>
            </w:tr>
            <w:tr w14:paraId="08581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4B513E10">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3CB37019">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大王庄小学</w:t>
                  </w:r>
                </w:p>
              </w:tc>
              <w:tc>
                <w:tcPr>
                  <w:tcW w:w="620" w:type="pct"/>
                  <w:tcBorders>
                    <w:tl2br w:val="nil"/>
                    <w:tr2bl w:val="nil"/>
                  </w:tcBorders>
                  <w:noWrap w:val="0"/>
                  <w:vAlign w:val="center"/>
                </w:tcPr>
                <w:p w14:paraId="0355113B">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S</w:t>
                  </w:r>
                </w:p>
              </w:tc>
              <w:tc>
                <w:tcPr>
                  <w:tcW w:w="1018" w:type="pct"/>
                  <w:tcBorders>
                    <w:tl2br w:val="nil"/>
                    <w:tr2bl w:val="nil"/>
                  </w:tcBorders>
                  <w:noWrap w:val="0"/>
                  <w:vAlign w:val="center"/>
                </w:tcPr>
                <w:p w14:paraId="3966DD9C">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2040</w:t>
                  </w:r>
                </w:p>
              </w:tc>
              <w:tc>
                <w:tcPr>
                  <w:tcW w:w="1586" w:type="pct"/>
                  <w:vMerge w:val="continue"/>
                  <w:tcBorders>
                    <w:tl2br w:val="nil"/>
                    <w:tr2bl w:val="nil"/>
                  </w:tcBorders>
                  <w:noWrap w:val="0"/>
                  <w:vAlign w:val="center"/>
                </w:tcPr>
                <w:p w14:paraId="5D4DCFA9">
                  <w:pPr>
                    <w:pStyle w:val="46"/>
                    <w:bidi w:val="0"/>
                    <w:rPr>
                      <w:rFonts w:hint="default" w:ascii="Times New Roman" w:hAnsi="Times New Roman" w:cs="Times New Roman"/>
                      <w:color w:val="auto"/>
                    </w:rPr>
                  </w:pPr>
                </w:p>
              </w:tc>
            </w:tr>
            <w:tr w14:paraId="54E84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54BA1455">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3519F73F">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西故安小学</w:t>
                  </w:r>
                </w:p>
              </w:tc>
              <w:tc>
                <w:tcPr>
                  <w:tcW w:w="620" w:type="pct"/>
                  <w:tcBorders>
                    <w:tl2br w:val="nil"/>
                    <w:tr2bl w:val="nil"/>
                  </w:tcBorders>
                  <w:noWrap w:val="0"/>
                  <w:vAlign w:val="center"/>
                </w:tcPr>
                <w:p w14:paraId="3AE040AA">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W</w:t>
                  </w:r>
                </w:p>
              </w:tc>
              <w:tc>
                <w:tcPr>
                  <w:tcW w:w="1018" w:type="pct"/>
                  <w:tcBorders>
                    <w:tl2br w:val="nil"/>
                    <w:tr2bl w:val="nil"/>
                  </w:tcBorders>
                  <w:noWrap w:val="0"/>
                  <w:vAlign w:val="center"/>
                </w:tcPr>
                <w:p w14:paraId="6E5AE0A7">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1810</w:t>
                  </w:r>
                </w:p>
              </w:tc>
              <w:tc>
                <w:tcPr>
                  <w:tcW w:w="1586" w:type="pct"/>
                  <w:vMerge w:val="continue"/>
                  <w:tcBorders>
                    <w:tl2br w:val="nil"/>
                    <w:tr2bl w:val="nil"/>
                  </w:tcBorders>
                  <w:noWrap w:val="0"/>
                  <w:vAlign w:val="center"/>
                </w:tcPr>
                <w:p w14:paraId="0D88DB5E">
                  <w:pPr>
                    <w:pStyle w:val="46"/>
                    <w:bidi w:val="0"/>
                    <w:rPr>
                      <w:rFonts w:hint="default" w:ascii="Times New Roman" w:hAnsi="Times New Roman" w:cs="Times New Roman"/>
                      <w:color w:val="auto"/>
                    </w:rPr>
                  </w:pPr>
                </w:p>
              </w:tc>
            </w:tr>
            <w:tr w14:paraId="274E5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0FAEC051">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1D492181">
                  <w:pPr>
                    <w:pStyle w:val="46"/>
                    <w:ind w:firstLine="0" w:firstLineChars="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highlight w:val="none"/>
                      <w:lang w:val="en-US" w:eastAsia="zh-CN"/>
                    </w:rPr>
                    <w:t>黄阴集小学</w:t>
                  </w:r>
                </w:p>
              </w:tc>
              <w:tc>
                <w:tcPr>
                  <w:tcW w:w="620" w:type="pct"/>
                  <w:tcBorders>
                    <w:tl2br w:val="nil"/>
                    <w:tr2bl w:val="nil"/>
                  </w:tcBorders>
                  <w:noWrap w:val="0"/>
                  <w:vAlign w:val="center"/>
                </w:tcPr>
                <w:p w14:paraId="45EE819F">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N</w:t>
                  </w:r>
                </w:p>
              </w:tc>
              <w:tc>
                <w:tcPr>
                  <w:tcW w:w="1018" w:type="pct"/>
                  <w:tcBorders>
                    <w:tl2br w:val="nil"/>
                    <w:tr2bl w:val="nil"/>
                  </w:tcBorders>
                  <w:noWrap w:val="0"/>
                  <w:vAlign w:val="center"/>
                </w:tcPr>
                <w:p w14:paraId="5EF0C0A4">
                  <w:pPr>
                    <w:pStyle w:val="46"/>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b w:val="0"/>
                      <w:bCs w:val="0"/>
                      <w:color w:val="auto"/>
                      <w:highlight w:val="none"/>
                      <w:lang w:val="en-US" w:eastAsia="zh-CN"/>
                    </w:rPr>
                    <w:t>1880</w:t>
                  </w:r>
                </w:p>
              </w:tc>
              <w:tc>
                <w:tcPr>
                  <w:tcW w:w="1586" w:type="pct"/>
                  <w:vMerge w:val="continue"/>
                  <w:tcBorders>
                    <w:tl2br w:val="nil"/>
                    <w:tr2bl w:val="nil"/>
                  </w:tcBorders>
                  <w:noWrap w:val="0"/>
                  <w:vAlign w:val="center"/>
                </w:tcPr>
                <w:p w14:paraId="00982F8A">
                  <w:pPr>
                    <w:pStyle w:val="46"/>
                    <w:bidi w:val="0"/>
                    <w:rPr>
                      <w:rFonts w:hint="default" w:ascii="Times New Roman" w:hAnsi="Times New Roman" w:cs="Times New Roman"/>
                      <w:color w:val="auto"/>
                    </w:rPr>
                  </w:pPr>
                </w:p>
              </w:tc>
            </w:tr>
            <w:tr w14:paraId="5BD2B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58217BEF">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3523ACF8">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南崇义</w:t>
                  </w:r>
                </w:p>
              </w:tc>
              <w:tc>
                <w:tcPr>
                  <w:tcW w:w="620" w:type="pct"/>
                  <w:tcBorders>
                    <w:tl2br w:val="nil"/>
                    <w:tr2bl w:val="nil"/>
                  </w:tcBorders>
                  <w:noWrap w:val="0"/>
                  <w:vAlign w:val="center"/>
                </w:tcPr>
                <w:p w14:paraId="2167846B">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NE</w:t>
                  </w:r>
                </w:p>
              </w:tc>
              <w:tc>
                <w:tcPr>
                  <w:tcW w:w="1018" w:type="pct"/>
                  <w:tcBorders>
                    <w:tl2br w:val="nil"/>
                    <w:tr2bl w:val="nil"/>
                  </w:tcBorders>
                  <w:noWrap w:val="0"/>
                  <w:vAlign w:val="center"/>
                </w:tcPr>
                <w:p w14:paraId="37CE13A2">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2310</w:t>
                  </w:r>
                </w:p>
              </w:tc>
              <w:tc>
                <w:tcPr>
                  <w:tcW w:w="1586" w:type="pct"/>
                  <w:vMerge w:val="continue"/>
                  <w:tcBorders>
                    <w:tl2br w:val="nil"/>
                    <w:tr2bl w:val="nil"/>
                  </w:tcBorders>
                  <w:noWrap w:val="0"/>
                  <w:vAlign w:val="center"/>
                </w:tcPr>
                <w:p w14:paraId="7BE1D533">
                  <w:pPr>
                    <w:pStyle w:val="46"/>
                    <w:bidi w:val="0"/>
                    <w:rPr>
                      <w:rFonts w:hint="default" w:ascii="Times New Roman" w:hAnsi="Times New Roman" w:cs="Times New Roman"/>
                      <w:color w:val="auto"/>
                    </w:rPr>
                  </w:pPr>
                </w:p>
              </w:tc>
            </w:tr>
            <w:tr w14:paraId="783AA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1949654E">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4D68F06F">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南崇义新村</w:t>
                  </w:r>
                </w:p>
              </w:tc>
              <w:tc>
                <w:tcPr>
                  <w:tcW w:w="620" w:type="pct"/>
                  <w:tcBorders>
                    <w:tl2br w:val="nil"/>
                    <w:tr2bl w:val="nil"/>
                  </w:tcBorders>
                  <w:noWrap w:val="0"/>
                  <w:vAlign w:val="center"/>
                </w:tcPr>
                <w:p w14:paraId="597BE444">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N</w:t>
                  </w:r>
                </w:p>
              </w:tc>
              <w:tc>
                <w:tcPr>
                  <w:tcW w:w="1018" w:type="pct"/>
                  <w:tcBorders>
                    <w:tl2br w:val="nil"/>
                    <w:tr2bl w:val="nil"/>
                  </w:tcBorders>
                  <w:noWrap w:val="0"/>
                  <w:vAlign w:val="center"/>
                </w:tcPr>
                <w:p w14:paraId="7DFBCF5C">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1920</w:t>
                  </w:r>
                </w:p>
              </w:tc>
              <w:tc>
                <w:tcPr>
                  <w:tcW w:w="1586" w:type="pct"/>
                  <w:vMerge w:val="continue"/>
                  <w:tcBorders>
                    <w:tl2br w:val="nil"/>
                    <w:tr2bl w:val="nil"/>
                  </w:tcBorders>
                  <w:noWrap w:val="0"/>
                  <w:vAlign w:val="center"/>
                </w:tcPr>
                <w:p w14:paraId="16B8FD46">
                  <w:pPr>
                    <w:pStyle w:val="46"/>
                    <w:bidi w:val="0"/>
                    <w:rPr>
                      <w:rFonts w:hint="default" w:ascii="Times New Roman" w:hAnsi="Times New Roman" w:cs="Times New Roman"/>
                      <w:color w:val="auto"/>
                    </w:rPr>
                  </w:pPr>
                </w:p>
              </w:tc>
            </w:tr>
            <w:tr w14:paraId="40F8E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2A51E0B4">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15203841">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石佛村</w:t>
                  </w:r>
                </w:p>
              </w:tc>
              <w:tc>
                <w:tcPr>
                  <w:tcW w:w="620" w:type="pct"/>
                  <w:tcBorders>
                    <w:tl2br w:val="nil"/>
                    <w:tr2bl w:val="nil"/>
                  </w:tcBorders>
                  <w:noWrap w:val="0"/>
                  <w:vAlign w:val="center"/>
                </w:tcPr>
                <w:p w14:paraId="0F7E1059">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SW</w:t>
                  </w:r>
                </w:p>
              </w:tc>
              <w:tc>
                <w:tcPr>
                  <w:tcW w:w="1018" w:type="pct"/>
                  <w:tcBorders>
                    <w:tl2br w:val="nil"/>
                    <w:tr2bl w:val="nil"/>
                  </w:tcBorders>
                  <w:noWrap w:val="0"/>
                  <w:vAlign w:val="center"/>
                </w:tcPr>
                <w:p w14:paraId="4F5C20C9">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2800</w:t>
                  </w:r>
                </w:p>
              </w:tc>
              <w:tc>
                <w:tcPr>
                  <w:tcW w:w="1586" w:type="pct"/>
                  <w:vMerge w:val="continue"/>
                  <w:tcBorders>
                    <w:tl2br w:val="nil"/>
                    <w:tr2bl w:val="nil"/>
                  </w:tcBorders>
                  <w:noWrap w:val="0"/>
                  <w:vAlign w:val="center"/>
                </w:tcPr>
                <w:p w14:paraId="2B399C38">
                  <w:pPr>
                    <w:pStyle w:val="46"/>
                    <w:bidi w:val="0"/>
                    <w:rPr>
                      <w:rFonts w:hint="default" w:ascii="Times New Roman" w:hAnsi="Times New Roman" w:cs="Times New Roman"/>
                      <w:color w:val="auto"/>
                    </w:rPr>
                  </w:pPr>
                </w:p>
              </w:tc>
            </w:tr>
            <w:tr w14:paraId="41095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vMerge w:val="continue"/>
                  <w:tcBorders>
                    <w:tl2br w:val="nil"/>
                    <w:tr2bl w:val="nil"/>
                  </w:tcBorders>
                  <w:noWrap w:val="0"/>
                  <w:vAlign w:val="center"/>
                </w:tcPr>
                <w:p w14:paraId="52A3B08C">
                  <w:pPr>
                    <w:pStyle w:val="46"/>
                    <w:bidi w:val="0"/>
                    <w:rPr>
                      <w:rFonts w:hint="default" w:ascii="Times New Roman" w:hAnsi="Times New Roman" w:cs="Times New Roman"/>
                      <w:color w:val="auto"/>
                    </w:rPr>
                  </w:pPr>
                </w:p>
              </w:tc>
              <w:tc>
                <w:tcPr>
                  <w:tcW w:w="1096" w:type="pct"/>
                  <w:tcBorders>
                    <w:tl2br w:val="nil"/>
                    <w:tr2bl w:val="nil"/>
                  </w:tcBorders>
                  <w:noWrap w:val="0"/>
                  <w:vAlign w:val="center"/>
                </w:tcPr>
                <w:p w14:paraId="47B72802">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张家岭村</w:t>
                  </w:r>
                </w:p>
              </w:tc>
              <w:tc>
                <w:tcPr>
                  <w:tcW w:w="620" w:type="pct"/>
                  <w:tcBorders>
                    <w:tl2br w:val="nil"/>
                    <w:tr2bl w:val="nil"/>
                  </w:tcBorders>
                  <w:noWrap w:val="0"/>
                  <w:vAlign w:val="center"/>
                </w:tcPr>
                <w:p w14:paraId="1BD24504">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SE</w:t>
                  </w:r>
                </w:p>
              </w:tc>
              <w:tc>
                <w:tcPr>
                  <w:tcW w:w="1018" w:type="pct"/>
                  <w:tcBorders>
                    <w:tl2br w:val="nil"/>
                    <w:tr2bl w:val="nil"/>
                  </w:tcBorders>
                  <w:noWrap w:val="0"/>
                  <w:vAlign w:val="center"/>
                </w:tcPr>
                <w:p w14:paraId="66803AA2">
                  <w:pPr>
                    <w:pStyle w:val="46"/>
                    <w:ind w:firstLine="0" w:firstLineChars="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2560</w:t>
                  </w:r>
                </w:p>
              </w:tc>
              <w:tc>
                <w:tcPr>
                  <w:tcW w:w="1586" w:type="pct"/>
                  <w:vMerge w:val="continue"/>
                  <w:tcBorders>
                    <w:tl2br w:val="nil"/>
                    <w:tr2bl w:val="nil"/>
                  </w:tcBorders>
                  <w:noWrap w:val="0"/>
                  <w:vAlign w:val="center"/>
                </w:tcPr>
                <w:p w14:paraId="2B6AEA6F">
                  <w:pPr>
                    <w:pStyle w:val="46"/>
                    <w:bidi w:val="0"/>
                    <w:rPr>
                      <w:rFonts w:hint="default" w:ascii="Times New Roman" w:hAnsi="Times New Roman" w:cs="Times New Roman"/>
                      <w:color w:val="auto"/>
                    </w:rPr>
                  </w:pPr>
                </w:p>
              </w:tc>
            </w:tr>
            <w:tr w14:paraId="06A2F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tcBorders>
                    <w:tl2br w:val="nil"/>
                    <w:tr2bl w:val="nil"/>
                  </w:tcBorders>
                  <w:noWrap w:val="0"/>
                  <w:vAlign w:val="center"/>
                </w:tcPr>
                <w:p w14:paraId="18CB9951">
                  <w:pPr>
                    <w:pStyle w:val="46"/>
                    <w:bidi w:val="0"/>
                    <w:rPr>
                      <w:rFonts w:hint="default" w:ascii="Times New Roman" w:hAnsi="Times New Roman" w:cs="Times New Roman"/>
                      <w:color w:val="auto"/>
                    </w:rPr>
                  </w:pPr>
                  <w:r>
                    <w:rPr>
                      <w:rFonts w:hint="default" w:ascii="Times New Roman" w:hAnsi="Times New Roman" w:cs="Times New Roman"/>
                      <w:color w:val="auto"/>
                    </w:rPr>
                    <w:t>地下水</w:t>
                  </w:r>
                </w:p>
              </w:tc>
              <w:tc>
                <w:tcPr>
                  <w:tcW w:w="2735" w:type="pct"/>
                  <w:gridSpan w:val="3"/>
                  <w:tcBorders>
                    <w:tl2br w:val="nil"/>
                    <w:tr2bl w:val="nil"/>
                  </w:tcBorders>
                  <w:noWrap w:val="0"/>
                  <w:vAlign w:val="center"/>
                </w:tcPr>
                <w:p w14:paraId="7E0B6FC0">
                  <w:pPr>
                    <w:pStyle w:val="46"/>
                    <w:bidi w:val="0"/>
                    <w:rPr>
                      <w:rFonts w:hint="default" w:ascii="Times New Roman" w:hAnsi="Times New Roman" w:cs="Times New Roman"/>
                      <w:color w:val="auto"/>
                    </w:rPr>
                  </w:pPr>
                  <w:r>
                    <w:rPr>
                      <w:rFonts w:hint="default" w:ascii="Times New Roman" w:hAnsi="Times New Roman" w:cs="Times New Roman"/>
                      <w:color w:val="auto"/>
                    </w:rPr>
                    <w:t>厂界外500米范围内无地下水集中式饮用水水源和热水、矿泉水、温泉等特殊地下水资源</w:t>
                  </w:r>
                </w:p>
              </w:tc>
              <w:tc>
                <w:tcPr>
                  <w:tcW w:w="1586" w:type="pct"/>
                  <w:tcBorders>
                    <w:tl2br w:val="nil"/>
                    <w:tr2bl w:val="nil"/>
                  </w:tcBorders>
                  <w:noWrap w:val="0"/>
                  <w:vAlign w:val="center"/>
                </w:tcPr>
                <w:p w14:paraId="3458B767">
                  <w:pPr>
                    <w:pStyle w:val="46"/>
                    <w:bidi w:val="0"/>
                    <w:rPr>
                      <w:rFonts w:hint="default" w:ascii="Times New Roman" w:hAnsi="Times New Roman" w:cs="Times New Roman"/>
                      <w:color w:val="auto"/>
                    </w:rPr>
                  </w:pPr>
                  <w:r>
                    <w:rPr>
                      <w:rFonts w:hint="default" w:ascii="Times New Roman" w:hAnsi="Times New Roman" w:cs="Times New Roman"/>
                      <w:color w:val="auto"/>
                    </w:rPr>
                    <w:t>《地下水质量标准》（GB/T 14848-2017）Ⅲ类</w:t>
                  </w:r>
                </w:p>
              </w:tc>
            </w:tr>
            <w:tr w14:paraId="00084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65" w:hRule="atLeast"/>
                <w:jc w:val="center"/>
              </w:trPr>
              <w:tc>
                <w:tcPr>
                  <w:tcW w:w="678" w:type="pct"/>
                  <w:tcBorders>
                    <w:tl2br w:val="nil"/>
                    <w:tr2bl w:val="nil"/>
                  </w:tcBorders>
                  <w:noWrap w:val="0"/>
                  <w:vAlign w:val="center"/>
                </w:tcPr>
                <w:p w14:paraId="0166365F">
                  <w:pPr>
                    <w:pStyle w:val="46"/>
                    <w:bidi w:val="0"/>
                    <w:rPr>
                      <w:rFonts w:hint="default" w:ascii="Times New Roman" w:hAnsi="Times New Roman" w:cs="Times New Roman"/>
                      <w:color w:val="auto"/>
                    </w:rPr>
                  </w:pPr>
                  <w:r>
                    <w:rPr>
                      <w:rFonts w:hint="default" w:ascii="Times New Roman" w:hAnsi="Times New Roman" w:cs="Times New Roman"/>
                      <w:color w:val="auto"/>
                    </w:rPr>
                    <w:t>声环境</w:t>
                  </w:r>
                </w:p>
              </w:tc>
              <w:tc>
                <w:tcPr>
                  <w:tcW w:w="2735" w:type="pct"/>
                  <w:gridSpan w:val="3"/>
                  <w:tcBorders>
                    <w:tl2br w:val="nil"/>
                    <w:tr2bl w:val="nil"/>
                  </w:tcBorders>
                  <w:noWrap w:val="0"/>
                  <w:vAlign w:val="center"/>
                </w:tcPr>
                <w:p w14:paraId="7C9400FE">
                  <w:pPr>
                    <w:pStyle w:val="46"/>
                    <w:bidi w:val="0"/>
                    <w:rPr>
                      <w:rFonts w:hint="default" w:ascii="Times New Roman" w:hAnsi="Times New Roman" w:cs="Times New Roman"/>
                      <w:color w:val="auto"/>
                    </w:rPr>
                  </w:pPr>
                  <w:r>
                    <w:rPr>
                      <w:rFonts w:hint="default" w:ascii="Times New Roman" w:hAnsi="Times New Roman" w:cs="Times New Roman"/>
                      <w:color w:val="auto"/>
                    </w:rPr>
                    <w:t>项目50米范围内无声环境敏感保护目标</w:t>
                  </w:r>
                </w:p>
              </w:tc>
              <w:tc>
                <w:tcPr>
                  <w:tcW w:w="1586" w:type="pct"/>
                  <w:tcBorders>
                    <w:tl2br w:val="nil"/>
                    <w:tr2bl w:val="nil"/>
                  </w:tcBorders>
                  <w:noWrap w:val="0"/>
                  <w:vAlign w:val="center"/>
                </w:tcPr>
                <w:p w14:paraId="143E15BC">
                  <w:pPr>
                    <w:pStyle w:val="46"/>
                    <w:bidi w:val="0"/>
                    <w:rPr>
                      <w:rFonts w:hint="default" w:ascii="Times New Roman" w:hAnsi="Times New Roman" w:cs="Times New Roman"/>
                      <w:color w:val="auto"/>
                    </w:rPr>
                  </w:pPr>
                  <w:r>
                    <w:rPr>
                      <w:rFonts w:hint="default" w:ascii="Times New Roman" w:hAnsi="Times New Roman" w:cs="Times New Roman"/>
                      <w:color w:val="auto"/>
                    </w:rPr>
                    <w:t>《声环境质量标准》（GB3096-2008）中</w:t>
                  </w:r>
                  <w:r>
                    <w:rPr>
                      <w:rFonts w:hint="default" w:ascii="Times New Roman" w:hAnsi="Times New Roman" w:cs="Times New Roman"/>
                      <w:color w:val="auto"/>
                      <w:lang w:val="en-US" w:eastAsia="zh-CN"/>
                    </w:rPr>
                    <w:t>2</w:t>
                  </w:r>
                  <w:r>
                    <w:rPr>
                      <w:rFonts w:hint="default" w:ascii="Times New Roman" w:hAnsi="Times New Roman" w:cs="Times New Roman"/>
                      <w:color w:val="auto"/>
                    </w:rPr>
                    <w:t>类</w:t>
                  </w:r>
                </w:p>
              </w:tc>
            </w:tr>
            <w:tr w14:paraId="71ED3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tcBorders>
                    <w:tl2br w:val="nil"/>
                    <w:tr2bl w:val="nil"/>
                  </w:tcBorders>
                  <w:noWrap w:val="0"/>
                  <w:vAlign w:val="center"/>
                </w:tcPr>
                <w:p w14:paraId="171E1386">
                  <w:pPr>
                    <w:pStyle w:val="46"/>
                    <w:bidi w:val="0"/>
                    <w:rPr>
                      <w:rFonts w:hint="default" w:ascii="Times New Roman" w:hAnsi="Times New Roman" w:cs="Times New Roman"/>
                      <w:color w:val="auto"/>
                    </w:rPr>
                  </w:pPr>
                  <w:r>
                    <w:rPr>
                      <w:rFonts w:hint="default" w:ascii="Times New Roman" w:hAnsi="Times New Roman" w:cs="Times New Roman"/>
                      <w:color w:val="auto"/>
                    </w:rPr>
                    <w:t>生态环境</w:t>
                  </w:r>
                </w:p>
              </w:tc>
              <w:tc>
                <w:tcPr>
                  <w:tcW w:w="4321" w:type="pct"/>
                  <w:gridSpan w:val="4"/>
                  <w:tcBorders>
                    <w:tl2br w:val="nil"/>
                    <w:tr2bl w:val="nil"/>
                  </w:tcBorders>
                  <w:noWrap w:val="0"/>
                  <w:vAlign w:val="center"/>
                </w:tcPr>
                <w:p w14:paraId="7C198969">
                  <w:pPr>
                    <w:pStyle w:val="46"/>
                    <w:bidi w:val="0"/>
                    <w:rPr>
                      <w:rFonts w:hint="default" w:ascii="Times New Roman" w:hAnsi="Times New Roman" w:cs="Times New Roman"/>
                      <w:color w:val="auto"/>
                      <w:lang w:val="en-US" w:eastAsia="zh-CN"/>
                    </w:rPr>
                  </w:pPr>
                  <w:r>
                    <w:rPr>
                      <w:rFonts w:hint="default" w:ascii="Times New Roman" w:hAnsi="Times New Roman" w:cs="Times New Roman"/>
                      <w:color w:val="auto"/>
                    </w:rPr>
                    <w:t>本项目占地范围内无生态环境保护目标</w:t>
                  </w:r>
                </w:p>
              </w:tc>
            </w:tr>
          </w:tbl>
          <w:p w14:paraId="36DC7273">
            <w:pPr>
              <w:adjustRightInd w:val="0"/>
              <w:snapToGrid w:val="0"/>
              <w:rPr>
                <w:rFonts w:hint="default" w:ascii="Times New Roman" w:hAnsi="Times New Roman" w:cs="Times New Roman"/>
                <w:color w:val="auto"/>
                <w:kern w:val="0"/>
                <w:lang w:eastAsia="zh-CN"/>
              </w:rPr>
            </w:pPr>
          </w:p>
          <w:p w14:paraId="080868C3">
            <w:pPr>
              <w:adjustRightInd w:val="0"/>
              <w:snapToGrid w:val="0"/>
              <w:rPr>
                <w:rFonts w:hint="default" w:ascii="Times New Roman" w:hAnsi="Times New Roman" w:cs="Times New Roman"/>
                <w:color w:val="auto"/>
                <w:kern w:val="0"/>
                <w:lang w:val="en-US" w:eastAsia="zh-CN"/>
              </w:rPr>
            </w:pPr>
          </w:p>
          <w:p w14:paraId="4ACA5EBD">
            <w:pPr>
              <w:adjustRightInd w:val="0"/>
              <w:snapToGrid w:val="0"/>
              <w:rPr>
                <w:rFonts w:hint="default" w:ascii="Times New Roman" w:hAnsi="Times New Roman" w:cs="Times New Roman"/>
                <w:color w:val="auto"/>
                <w:kern w:val="0"/>
                <w:lang w:val="en-US" w:eastAsia="zh-CN"/>
              </w:rPr>
            </w:pPr>
          </w:p>
          <w:p w14:paraId="2D2E2B63">
            <w:pPr>
              <w:adjustRightInd w:val="0"/>
              <w:snapToGrid w:val="0"/>
              <w:rPr>
                <w:rFonts w:hint="default" w:ascii="Times New Roman" w:hAnsi="Times New Roman" w:cs="Times New Roman"/>
                <w:color w:val="auto"/>
                <w:kern w:val="0"/>
                <w:lang w:val="en-US" w:eastAsia="zh-CN"/>
              </w:rPr>
            </w:pPr>
          </w:p>
          <w:p w14:paraId="4F9E38C4">
            <w:pPr>
              <w:adjustRightInd w:val="0"/>
              <w:snapToGrid w:val="0"/>
              <w:rPr>
                <w:rFonts w:hint="default" w:ascii="Times New Roman" w:hAnsi="Times New Roman" w:cs="Times New Roman"/>
                <w:color w:val="auto"/>
                <w:kern w:val="0"/>
                <w:lang w:val="en-US" w:eastAsia="zh-CN"/>
              </w:rPr>
            </w:pPr>
          </w:p>
          <w:p w14:paraId="2C844644">
            <w:pPr>
              <w:adjustRightInd w:val="0"/>
              <w:snapToGrid w:val="0"/>
              <w:rPr>
                <w:rFonts w:hint="default" w:ascii="Times New Roman" w:hAnsi="Times New Roman" w:cs="Times New Roman"/>
                <w:color w:val="auto"/>
                <w:kern w:val="0"/>
                <w:lang w:val="en-US" w:eastAsia="zh-CN"/>
              </w:rPr>
            </w:pPr>
          </w:p>
          <w:p w14:paraId="7E831CC4">
            <w:pPr>
              <w:adjustRightInd w:val="0"/>
              <w:snapToGrid w:val="0"/>
              <w:rPr>
                <w:rFonts w:hint="default" w:ascii="Times New Roman" w:hAnsi="Times New Roman" w:cs="Times New Roman"/>
                <w:color w:val="auto"/>
                <w:kern w:val="0"/>
                <w:lang w:val="en-US" w:eastAsia="zh-CN"/>
              </w:rPr>
            </w:pPr>
          </w:p>
          <w:p w14:paraId="283B4C69">
            <w:pPr>
              <w:adjustRightInd w:val="0"/>
              <w:snapToGrid w:val="0"/>
              <w:rPr>
                <w:rFonts w:hint="default" w:ascii="Times New Roman" w:hAnsi="Times New Roman" w:cs="Times New Roman"/>
                <w:color w:val="auto"/>
                <w:kern w:val="0"/>
                <w:lang w:val="en-US" w:eastAsia="zh-CN"/>
              </w:rPr>
            </w:pPr>
          </w:p>
          <w:p w14:paraId="728C921B">
            <w:pPr>
              <w:adjustRightInd w:val="0"/>
              <w:snapToGrid w:val="0"/>
              <w:rPr>
                <w:rFonts w:hint="default" w:ascii="Times New Roman" w:hAnsi="Times New Roman" w:cs="Times New Roman"/>
                <w:color w:val="auto"/>
                <w:kern w:val="0"/>
                <w:lang w:val="en-US" w:eastAsia="zh-CN"/>
              </w:rPr>
            </w:pPr>
          </w:p>
          <w:p w14:paraId="640EA0AD">
            <w:pPr>
              <w:adjustRightInd w:val="0"/>
              <w:snapToGrid w:val="0"/>
              <w:rPr>
                <w:rFonts w:hint="default" w:ascii="Times New Roman" w:hAnsi="Times New Roman" w:cs="Times New Roman"/>
                <w:color w:val="auto"/>
                <w:kern w:val="0"/>
                <w:lang w:val="en-US" w:eastAsia="zh-CN"/>
              </w:rPr>
            </w:pPr>
          </w:p>
          <w:p w14:paraId="49A101B2">
            <w:pPr>
              <w:adjustRightInd w:val="0"/>
              <w:snapToGrid w:val="0"/>
              <w:rPr>
                <w:rFonts w:hint="default" w:ascii="Times New Roman" w:hAnsi="Times New Roman" w:cs="Times New Roman"/>
                <w:color w:val="auto"/>
                <w:kern w:val="0"/>
                <w:lang w:val="en-US" w:eastAsia="zh-CN"/>
              </w:rPr>
            </w:pPr>
          </w:p>
          <w:p w14:paraId="2BAC9829">
            <w:pPr>
              <w:adjustRightInd w:val="0"/>
              <w:snapToGrid w:val="0"/>
              <w:rPr>
                <w:rFonts w:hint="default" w:ascii="Times New Roman" w:hAnsi="Times New Roman" w:cs="Times New Roman"/>
                <w:color w:val="auto"/>
                <w:kern w:val="0"/>
                <w:lang w:val="en-US" w:eastAsia="zh-CN"/>
              </w:rPr>
            </w:pPr>
          </w:p>
          <w:p w14:paraId="27FCF9CE">
            <w:pPr>
              <w:adjustRightInd w:val="0"/>
              <w:snapToGrid w:val="0"/>
              <w:rPr>
                <w:rFonts w:hint="default" w:ascii="Times New Roman" w:hAnsi="Times New Roman" w:cs="Times New Roman"/>
                <w:color w:val="auto"/>
                <w:kern w:val="0"/>
                <w:lang w:val="en-US" w:eastAsia="zh-CN"/>
              </w:rPr>
            </w:pPr>
          </w:p>
          <w:p w14:paraId="6AF78EC5">
            <w:pPr>
              <w:adjustRightInd w:val="0"/>
              <w:snapToGrid w:val="0"/>
              <w:rPr>
                <w:rFonts w:hint="default" w:ascii="Times New Roman" w:hAnsi="Times New Roman" w:cs="Times New Roman"/>
                <w:color w:val="auto"/>
                <w:kern w:val="0"/>
                <w:lang w:val="en-US" w:eastAsia="zh-CN"/>
              </w:rPr>
            </w:pPr>
          </w:p>
          <w:p w14:paraId="47FC5F97">
            <w:pPr>
              <w:adjustRightInd w:val="0"/>
              <w:snapToGrid w:val="0"/>
              <w:rPr>
                <w:rFonts w:hint="default" w:ascii="Times New Roman" w:hAnsi="Times New Roman" w:cs="Times New Roman"/>
                <w:color w:val="auto"/>
                <w:kern w:val="0"/>
                <w:lang w:val="en-US" w:eastAsia="zh-CN"/>
              </w:rPr>
            </w:pPr>
          </w:p>
          <w:p w14:paraId="5141CFF1">
            <w:pPr>
              <w:adjustRightInd w:val="0"/>
              <w:snapToGrid w:val="0"/>
              <w:rPr>
                <w:rFonts w:hint="default" w:ascii="Times New Roman" w:hAnsi="Times New Roman" w:cs="Times New Roman"/>
                <w:color w:val="auto"/>
                <w:kern w:val="0"/>
                <w:lang w:val="en-US" w:eastAsia="zh-CN"/>
              </w:rPr>
            </w:pPr>
          </w:p>
          <w:p w14:paraId="07F6B49B">
            <w:pPr>
              <w:adjustRightInd w:val="0"/>
              <w:snapToGrid w:val="0"/>
              <w:rPr>
                <w:rFonts w:hint="default" w:ascii="Times New Roman" w:hAnsi="Times New Roman" w:cs="Times New Roman"/>
                <w:color w:val="auto"/>
                <w:kern w:val="0"/>
                <w:lang w:val="en-US" w:eastAsia="zh-CN"/>
              </w:rPr>
            </w:pPr>
          </w:p>
          <w:p w14:paraId="5314F649">
            <w:pPr>
              <w:adjustRightInd w:val="0"/>
              <w:snapToGrid w:val="0"/>
              <w:rPr>
                <w:rFonts w:hint="default" w:ascii="Times New Roman" w:hAnsi="Times New Roman" w:cs="Times New Roman"/>
                <w:color w:val="auto"/>
                <w:kern w:val="0"/>
                <w:lang w:val="en-US" w:eastAsia="zh-CN"/>
              </w:rPr>
            </w:pPr>
          </w:p>
          <w:p w14:paraId="298CF1A2">
            <w:pPr>
              <w:adjustRightInd w:val="0"/>
              <w:snapToGrid w:val="0"/>
              <w:rPr>
                <w:rFonts w:hint="default" w:ascii="Times New Roman" w:hAnsi="Times New Roman" w:eastAsia="宋体" w:cs="Times New Roman"/>
                <w:color w:val="auto"/>
                <w:kern w:val="0"/>
                <w:lang w:val="en-US" w:eastAsia="zh-CN"/>
              </w:rPr>
            </w:pPr>
          </w:p>
        </w:tc>
      </w:tr>
      <w:tr w14:paraId="18FA1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4" w:hRule="atLeast"/>
          <w:jc w:val="center"/>
        </w:trPr>
        <w:tc>
          <w:tcPr>
            <w:tcW w:w="626" w:type="dxa"/>
            <w:noWrap w:val="0"/>
            <w:tcMar>
              <w:left w:w="28" w:type="dxa"/>
              <w:right w:w="28" w:type="dxa"/>
            </w:tcMar>
            <w:vAlign w:val="center"/>
          </w:tcPr>
          <w:p w14:paraId="031DC657">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污染</w:t>
            </w:r>
          </w:p>
          <w:p w14:paraId="037E1949">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物排</w:t>
            </w:r>
          </w:p>
          <w:p w14:paraId="3F387B02">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放控</w:t>
            </w:r>
          </w:p>
          <w:p w14:paraId="53015B0F">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制标</w:t>
            </w:r>
          </w:p>
          <w:p w14:paraId="0F862C06">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szCs w:val="24"/>
              </w:rPr>
              <w:t>准</w:t>
            </w:r>
          </w:p>
        </w:tc>
        <w:tc>
          <w:tcPr>
            <w:tcW w:w="8435" w:type="dxa"/>
            <w:noWrap w:val="0"/>
            <w:vAlign w:val="center"/>
          </w:tcPr>
          <w:p w14:paraId="70EAE423">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lang w:val="en-US" w:eastAsia="zh-CN"/>
              </w:rPr>
              <w:t>一、</w:t>
            </w:r>
            <w:r>
              <w:rPr>
                <w:rFonts w:hint="default" w:ascii="Times New Roman" w:hAnsi="Times New Roman" w:eastAsia="宋体" w:cs="Times New Roman"/>
                <w:b/>
                <w:bCs w:val="0"/>
                <w:color w:val="auto"/>
              </w:rPr>
              <w:t>废水</w:t>
            </w:r>
          </w:p>
          <w:p w14:paraId="1B122DCC">
            <w:pPr>
              <w:ind w:firstLine="480" w:firstLineChars="200"/>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项目无废水产生：项目不新增劳动定员、不新增生活污水；项目抑尘用水全部损耗不外排</w:t>
            </w:r>
            <w:r>
              <w:rPr>
                <w:rFonts w:hint="default" w:ascii="Times New Roman" w:hAnsi="Times New Roman" w:cs="Times New Roman"/>
                <w:color w:val="auto"/>
                <w:szCs w:val="32"/>
              </w:rPr>
              <w:t>。</w:t>
            </w:r>
          </w:p>
          <w:p w14:paraId="3A84DB1F">
            <w:pPr>
              <w:pStyle w:val="4"/>
              <w:numPr>
                <w:ilvl w:val="0"/>
                <w:numId w:val="0"/>
              </w:numPr>
              <w:bidi w:val="0"/>
              <w:ind w:leftChars="0" w:firstLine="482" w:firstLineChars="200"/>
              <w:rPr>
                <w:rFonts w:hint="default" w:ascii="Times New Roman" w:hAnsi="Times New Roman" w:eastAsia="宋体" w:cs="Times New Roman"/>
                <w:b/>
                <w:bCs w:val="0"/>
                <w:color w:val="auto"/>
                <w:lang w:eastAsia="zh-CN"/>
              </w:rPr>
            </w:pPr>
            <w:r>
              <w:rPr>
                <w:rFonts w:hint="default" w:ascii="Times New Roman" w:hAnsi="Times New Roman" w:eastAsia="宋体" w:cs="Times New Roman"/>
                <w:b/>
                <w:bCs w:val="0"/>
                <w:color w:val="auto"/>
                <w:lang w:val="en-US" w:eastAsia="zh-CN"/>
              </w:rPr>
              <w:t>二、废气</w:t>
            </w:r>
          </w:p>
          <w:p w14:paraId="055AFE54">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项目运营期废气污染物排放标准见下表。</w:t>
            </w:r>
          </w:p>
          <w:p w14:paraId="1E1D87DF">
            <w:pPr>
              <w:pStyle w:val="45"/>
              <w:bidi w:val="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表3-</w:t>
            </w:r>
            <w:r>
              <w:rPr>
                <w:rFonts w:hint="default" w:ascii="Times New Roman" w:hAnsi="Times New Roman" w:eastAsia="宋体" w:cs="Times New Roman"/>
                <w:b/>
                <w:bCs w:val="0"/>
                <w:color w:val="auto"/>
                <w:lang w:val="en-US" w:eastAsia="zh-CN"/>
              </w:rPr>
              <w:t xml:space="preserve">4  </w:t>
            </w:r>
            <w:r>
              <w:rPr>
                <w:rFonts w:hint="default" w:ascii="Times New Roman" w:hAnsi="Times New Roman" w:eastAsia="宋体" w:cs="Times New Roman"/>
                <w:b/>
                <w:bCs w:val="0"/>
                <w:color w:val="auto"/>
              </w:rPr>
              <w:t>废气排放标准</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524"/>
              <w:gridCol w:w="1605"/>
              <w:gridCol w:w="2509"/>
            </w:tblGrid>
            <w:tr w14:paraId="454F9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552578F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b/>
                      <w:bCs/>
                      <w:color w:val="auto"/>
                      <w:sz w:val="21"/>
                      <w:szCs w:val="21"/>
                      <w:lang w:val="en-US" w:eastAsia="zh-CN"/>
                    </w:rPr>
                  </w:pPr>
                  <w:r>
                    <w:rPr>
                      <w:rFonts w:hint="eastAsia" w:ascii="Times New Roman" w:cs="Times New Roman"/>
                      <w:b/>
                      <w:bCs/>
                      <w:color w:val="auto"/>
                      <w:sz w:val="21"/>
                      <w:szCs w:val="21"/>
                      <w:lang w:val="en-US" w:eastAsia="zh-CN"/>
                    </w:rPr>
                    <w:t>排放口</w:t>
                  </w:r>
                </w:p>
              </w:tc>
              <w:tc>
                <w:tcPr>
                  <w:tcW w:w="1541" w:type="pct"/>
                  <w:tcBorders>
                    <w:tl2br w:val="nil"/>
                    <w:tr2bl w:val="nil"/>
                  </w:tcBorders>
                  <w:noWrap w:val="0"/>
                  <w:tcMar>
                    <w:top w:w="11" w:type="dxa"/>
                    <w:left w:w="11" w:type="dxa"/>
                    <w:bottom w:w="11" w:type="dxa"/>
                    <w:right w:w="11" w:type="dxa"/>
                  </w:tcMar>
                  <w:vAlign w:val="center"/>
                </w:tcPr>
                <w:p w14:paraId="6D5EEA6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980" w:type="pct"/>
                  <w:tcBorders>
                    <w:tl2br w:val="nil"/>
                    <w:tr2bl w:val="nil"/>
                  </w:tcBorders>
                  <w:noWrap w:val="0"/>
                  <w:tcMar>
                    <w:top w:w="11" w:type="dxa"/>
                    <w:left w:w="11" w:type="dxa"/>
                    <w:bottom w:w="11" w:type="dxa"/>
                    <w:right w:w="11" w:type="dxa"/>
                  </w:tcMar>
                  <w:vAlign w:val="center"/>
                </w:tcPr>
                <w:p w14:paraId="13FE5EB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浓度</w:t>
                  </w:r>
                  <w:r>
                    <w:rPr>
                      <w:rFonts w:hint="default" w:ascii="Times New Roman" w:hAnsi="Times New Roman" w:eastAsia="宋体" w:cs="Times New Roman"/>
                      <w:b/>
                      <w:bCs/>
                      <w:color w:val="auto"/>
                      <w:sz w:val="21"/>
                      <w:szCs w:val="21"/>
                      <w:lang w:val="en-US" w:eastAsia="zh-CN"/>
                    </w:rPr>
                    <w:t>限值m</w:t>
                  </w:r>
                  <w:r>
                    <w:rPr>
                      <w:rFonts w:hint="default" w:ascii="Times New Roman" w:hAnsi="Times New Roman" w:eastAsia="宋体" w:cs="Times New Roman"/>
                      <w:b/>
                      <w:bCs/>
                      <w:color w:val="auto"/>
                      <w:sz w:val="21"/>
                      <w:szCs w:val="21"/>
                    </w:rPr>
                    <w:t>g/m</w:t>
                  </w:r>
                  <w:r>
                    <w:rPr>
                      <w:rFonts w:hint="default" w:ascii="Times New Roman" w:hAnsi="Times New Roman" w:eastAsia="宋体" w:cs="Times New Roman"/>
                      <w:b/>
                      <w:bCs/>
                      <w:color w:val="auto"/>
                      <w:sz w:val="21"/>
                      <w:szCs w:val="21"/>
                      <w:vertAlign w:val="superscript"/>
                    </w:rPr>
                    <w:t>3</w:t>
                  </w:r>
                </w:p>
              </w:tc>
              <w:tc>
                <w:tcPr>
                  <w:tcW w:w="1532" w:type="pct"/>
                  <w:tcBorders>
                    <w:tl2br w:val="nil"/>
                    <w:tr2bl w:val="nil"/>
                  </w:tcBorders>
                  <w:noWrap w:val="0"/>
                  <w:tcMar>
                    <w:top w:w="11" w:type="dxa"/>
                    <w:left w:w="11" w:type="dxa"/>
                    <w:bottom w:w="11" w:type="dxa"/>
                    <w:right w:w="11" w:type="dxa"/>
                  </w:tcMar>
                  <w:vAlign w:val="center"/>
                </w:tcPr>
                <w:p w14:paraId="4267548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14:paraId="4AE61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restart"/>
                  <w:tcBorders>
                    <w:tl2br w:val="nil"/>
                    <w:tr2bl w:val="nil"/>
                  </w:tcBorders>
                  <w:noWrap w:val="0"/>
                  <w:tcMar>
                    <w:top w:w="11" w:type="dxa"/>
                    <w:left w:w="11" w:type="dxa"/>
                    <w:bottom w:w="11" w:type="dxa"/>
                    <w:right w:w="11" w:type="dxa"/>
                  </w:tcMar>
                  <w:vAlign w:val="center"/>
                </w:tcPr>
                <w:p w14:paraId="2C69FCD1">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DA027窑尾排气筒</w:t>
                  </w:r>
                </w:p>
              </w:tc>
              <w:tc>
                <w:tcPr>
                  <w:tcW w:w="1541" w:type="pct"/>
                  <w:tcBorders>
                    <w:tl2br w:val="nil"/>
                    <w:tr2bl w:val="nil"/>
                  </w:tcBorders>
                  <w:noWrap w:val="0"/>
                  <w:tcMar>
                    <w:top w:w="11" w:type="dxa"/>
                    <w:left w:w="11" w:type="dxa"/>
                    <w:bottom w:w="11" w:type="dxa"/>
                    <w:right w:w="11" w:type="dxa"/>
                  </w:tcMar>
                  <w:vAlign w:val="center"/>
                </w:tcPr>
                <w:p w14:paraId="4C782EF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980" w:type="pct"/>
                  <w:tcBorders>
                    <w:tl2br w:val="nil"/>
                    <w:tr2bl w:val="nil"/>
                  </w:tcBorders>
                  <w:noWrap w:val="0"/>
                  <w:tcMar>
                    <w:top w:w="11" w:type="dxa"/>
                    <w:left w:w="11" w:type="dxa"/>
                    <w:bottom w:w="11" w:type="dxa"/>
                    <w:right w:w="11" w:type="dxa"/>
                  </w:tcMar>
                  <w:vAlign w:val="center"/>
                </w:tcPr>
                <w:p w14:paraId="5263AFE1">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532" w:type="pct"/>
                  <w:vMerge w:val="restart"/>
                  <w:tcBorders>
                    <w:tl2br w:val="nil"/>
                    <w:tr2bl w:val="nil"/>
                  </w:tcBorders>
                  <w:noWrap w:val="0"/>
                  <w:tcMar>
                    <w:top w:w="11" w:type="dxa"/>
                    <w:left w:w="11" w:type="dxa"/>
                    <w:bottom w:w="11" w:type="dxa"/>
                    <w:right w:w="11" w:type="dxa"/>
                  </w:tcMar>
                  <w:vAlign w:val="center"/>
                </w:tcPr>
                <w:p w14:paraId="6D76788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《建材工业大气污染物排放标准》（DB37/2373-2018）表2一般控制区标准</w:t>
                  </w:r>
                </w:p>
              </w:tc>
            </w:tr>
            <w:tr w14:paraId="4B74B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0FE9988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471F3D2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980" w:type="pct"/>
                  <w:tcBorders>
                    <w:tl2br w:val="nil"/>
                    <w:tr2bl w:val="nil"/>
                  </w:tcBorders>
                  <w:noWrap w:val="0"/>
                  <w:tcMar>
                    <w:top w:w="11" w:type="dxa"/>
                    <w:left w:w="11" w:type="dxa"/>
                    <w:bottom w:w="11" w:type="dxa"/>
                    <w:right w:w="11" w:type="dxa"/>
                  </w:tcMar>
                  <w:vAlign w:val="center"/>
                </w:tcPr>
                <w:p w14:paraId="59E4744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1532" w:type="pct"/>
                  <w:vMerge w:val="continue"/>
                  <w:tcBorders>
                    <w:tl2br w:val="nil"/>
                    <w:tr2bl w:val="nil"/>
                  </w:tcBorders>
                  <w:noWrap w:val="0"/>
                  <w:tcMar>
                    <w:top w:w="11" w:type="dxa"/>
                    <w:left w:w="11" w:type="dxa"/>
                    <w:bottom w:w="11" w:type="dxa"/>
                    <w:right w:w="11" w:type="dxa"/>
                  </w:tcMar>
                  <w:vAlign w:val="center"/>
                </w:tcPr>
                <w:p w14:paraId="5866F1D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2DB03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1ED3AC08">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213C896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NOx</w:t>
                  </w:r>
                </w:p>
              </w:tc>
              <w:tc>
                <w:tcPr>
                  <w:tcW w:w="980" w:type="pct"/>
                  <w:tcBorders>
                    <w:tl2br w:val="nil"/>
                    <w:tr2bl w:val="nil"/>
                  </w:tcBorders>
                  <w:noWrap w:val="0"/>
                  <w:tcMar>
                    <w:top w:w="11" w:type="dxa"/>
                    <w:left w:w="11" w:type="dxa"/>
                    <w:bottom w:w="11" w:type="dxa"/>
                    <w:right w:w="11" w:type="dxa"/>
                  </w:tcMar>
                  <w:vAlign w:val="center"/>
                </w:tcPr>
                <w:p w14:paraId="522ABAB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c>
                <w:tcPr>
                  <w:tcW w:w="1532" w:type="pct"/>
                  <w:vMerge w:val="continue"/>
                  <w:tcBorders>
                    <w:tl2br w:val="nil"/>
                    <w:tr2bl w:val="nil"/>
                  </w:tcBorders>
                  <w:noWrap w:val="0"/>
                  <w:tcMar>
                    <w:top w:w="11" w:type="dxa"/>
                    <w:left w:w="11" w:type="dxa"/>
                    <w:bottom w:w="11" w:type="dxa"/>
                    <w:right w:w="11" w:type="dxa"/>
                  </w:tcMar>
                  <w:vAlign w:val="center"/>
                </w:tcPr>
                <w:p w14:paraId="07EDB4B1">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02B5E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104B1EE6">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66ED2F3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p>
              </w:tc>
              <w:tc>
                <w:tcPr>
                  <w:tcW w:w="980" w:type="pct"/>
                  <w:tcBorders>
                    <w:tl2br w:val="nil"/>
                    <w:tr2bl w:val="nil"/>
                  </w:tcBorders>
                  <w:noWrap w:val="0"/>
                  <w:tcMar>
                    <w:top w:w="11" w:type="dxa"/>
                    <w:left w:w="11" w:type="dxa"/>
                    <w:bottom w:w="11" w:type="dxa"/>
                    <w:right w:w="11" w:type="dxa"/>
                  </w:tcMar>
                  <w:vAlign w:val="center"/>
                </w:tcPr>
                <w:p w14:paraId="48B18CD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532" w:type="pct"/>
                  <w:vMerge w:val="continue"/>
                  <w:tcBorders>
                    <w:tl2br w:val="nil"/>
                    <w:tr2bl w:val="nil"/>
                  </w:tcBorders>
                  <w:noWrap w:val="0"/>
                  <w:tcMar>
                    <w:top w:w="11" w:type="dxa"/>
                    <w:left w:w="11" w:type="dxa"/>
                    <w:bottom w:w="11" w:type="dxa"/>
                    <w:right w:w="11" w:type="dxa"/>
                  </w:tcMar>
                  <w:vAlign w:val="center"/>
                </w:tcPr>
                <w:p w14:paraId="58A92B4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3E341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4950235C">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089DAF9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HCl</w:t>
                  </w:r>
                </w:p>
              </w:tc>
              <w:tc>
                <w:tcPr>
                  <w:tcW w:w="980" w:type="pct"/>
                  <w:tcBorders>
                    <w:tl2br w:val="nil"/>
                    <w:tr2bl w:val="nil"/>
                  </w:tcBorders>
                  <w:noWrap w:val="0"/>
                  <w:tcMar>
                    <w:top w:w="11" w:type="dxa"/>
                    <w:left w:w="11" w:type="dxa"/>
                    <w:bottom w:w="11" w:type="dxa"/>
                    <w:right w:w="11" w:type="dxa"/>
                  </w:tcMar>
                  <w:vAlign w:val="center"/>
                </w:tcPr>
                <w:p w14:paraId="4A54397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532" w:type="pct"/>
                  <w:vMerge w:val="restart"/>
                  <w:tcBorders>
                    <w:tl2br w:val="nil"/>
                    <w:tr2bl w:val="nil"/>
                  </w:tcBorders>
                  <w:noWrap w:val="0"/>
                  <w:tcMar>
                    <w:top w:w="11" w:type="dxa"/>
                    <w:left w:w="11" w:type="dxa"/>
                    <w:bottom w:w="11" w:type="dxa"/>
                    <w:right w:w="11" w:type="dxa"/>
                  </w:tcMar>
                  <w:vAlign w:val="center"/>
                </w:tcPr>
                <w:p w14:paraId="3317E01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《水泥窑协同处置固体废物污染物控制标准》（GB30485-2013）</w:t>
                  </w:r>
                </w:p>
              </w:tc>
            </w:tr>
            <w:tr w14:paraId="7A9A9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05095E0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150F2640">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HF</w:t>
                  </w:r>
                </w:p>
              </w:tc>
              <w:tc>
                <w:tcPr>
                  <w:tcW w:w="980" w:type="pct"/>
                  <w:tcBorders>
                    <w:tl2br w:val="nil"/>
                    <w:tr2bl w:val="nil"/>
                  </w:tcBorders>
                  <w:noWrap w:val="0"/>
                  <w:tcMar>
                    <w:top w:w="11" w:type="dxa"/>
                    <w:left w:w="11" w:type="dxa"/>
                    <w:bottom w:w="11" w:type="dxa"/>
                    <w:right w:w="11" w:type="dxa"/>
                  </w:tcMar>
                  <w:vAlign w:val="center"/>
                </w:tcPr>
                <w:p w14:paraId="6D977B1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532" w:type="pct"/>
                  <w:vMerge w:val="continue"/>
                  <w:tcBorders>
                    <w:tl2br w:val="nil"/>
                    <w:tr2bl w:val="nil"/>
                  </w:tcBorders>
                  <w:noWrap w:val="0"/>
                  <w:tcMar>
                    <w:top w:w="11" w:type="dxa"/>
                    <w:left w:w="11" w:type="dxa"/>
                    <w:bottom w:w="11" w:type="dxa"/>
                    <w:right w:w="11" w:type="dxa"/>
                  </w:tcMar>
                  <w:vAlign w:val="center"/>
                </w:tcPr>
                <w:p w14:paraId="07C1B0B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1DA58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3462C0D6">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027B51A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汞及其化合物</w:t>
                  </w:r>
                </w:p>
              </w:tc>
              <w:tc>
                <w:tcPr>
                  <w:tcW w:w="980" w:type="pct"/>
                  <w:tcBorders>
                    <w:tl2br w:val="nil"/>
                    <w:tr2bl w:val="nil"/>
                  </w:tcBorders>
                  <w:noWrap w:val="0"/>
                  <w:tcMar>
                    <w:top w:w="11" w:type="dxa"/>
                    <w:left w:w="11" w:type="dxa"/>
                    <w:bottom w:w="11" w:type="dxa"/>
                    <w:right w:w="11" w:type="dxa"/>
                  </w:tcMar>
                  <w:vAlign w:val="center"/>
                </w:tcPr>
                <w:p w14:paraId="036417D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1532" w:type="pct"/>
                  <w:vMerge w:val="continue"/>
                  <w:tcBorders>
                    <w:tl2br w:val="nil"/>
                    <w:tr2bl w:val="nil"/>
                  </w:tcBorders>
                  <w:noWrap w:val="0"/>
                  <w:tcMar>
                    <w:top w:w="11" w:type="dxa"/>
                    <w:left w:w="11" w:type="dxa"/>
                    <w:bottom w:w="11" w:type="dxa"/>
                    <w:right w:w="11" w:type="dxa"/>
                  </w:tcMar>
                  <w:vAlign w:val="center"/>
                </w:tcPr>
                <w:p w14:paraId="4AAB894C">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23E82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7F94EED1">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2275B6C7">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铊、镉、铅、砷及其化合物</w:t>
                  </w:r>
                </w:p>
              </w:tc>
              <w:tc>
                <w:tcPr>
                  <w:tcW w:w="980" w:type="pct"/>
                  <w:tcBorders>
                    <w:tl2br w:val="nil"/>
                    <w:tr2bl w:val="nil"/>
                  </w:tcBorders>
                  <w:noWrap w:val="0"/>
                  <w:tcMar>
                    <w:top w:w="11" w:type="dxa"/>
                    <w:left w:w="11" w:type="dxa"/>
                    <w:bottom w:w="11" w:type="dxa"/>
                    <w:right w:w="11" w:type="dxa"/>
                  </w:tcMar>
                  <w:vAlign w:val="center"/>
                </w:tcPr>
                <w:p w14:paraId="7C59E7A7">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5CF4B61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58558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61FEF2B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320C451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铍、铬、锡、锑、铜、钴、锰、镍、钒及其化合物</w:t>
                  </w:r>
                </w:p>
              </w:tc>
              <w:tc>
                <w:tcPr>
                  <w:tcW w:w="980" w:type="pct"/>
                  <w:tcBorders>
                    <w:tl2br w:val="nil"/>
                    <w:tr2bl w:val="nil"/>
                  </w:tcBorders>
                  <w:noWrap w:val="0"/>
                  <w:tcMar>
                    <w:top w:w="11" w:type="dxa"/>
                    <w:left w:w="11" w:type="dxa"/>
                    <w:bottom w:w="11" w:type="dxa"/>
                    <w:right w:w="11" w:type="dxa"/>
                  </w:tcMar>
                  <w:vAlign w:val="center"/>
                </w:tcPr>
                <w:p w14:paraId="1DB8185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1532" w:type="pct"/>
                  <w:vMerge w:val="continue"/>
                  <w:tcBorders>
                    <w:tl2br w:val="nil"/>
                    <w:tr2bl w:val="nil"/>
                  </w:tcBorders>
                  <w:noWrap w:val="0"/>
                  <w:tcMar>
                    <w:top w:w="11" w:type="dxa"/>
                    <w:left w:w="11" w:type="dxa"/>
                    <w:bottom w:w="11" w:type="dxa"/>
                    <w:right w:w="11" w:type="dxa"/>
                  </w:tcMar>
                  <w:vAlign w:val="center"/>
                </w:tcPr>
                <w:p w14:paraId="6C06976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37702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5962B41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59BD741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二噁英</w:t>
                  </w:r>
                </w:p>
              </w:tc>
              <w:tc>
                <w:tcPr>
                  <w:tcW w:w="980" w:type="pct"/>
                  <w:tcBorders>
                    <w:tl2br w:val="nil"/>
                    <w:tr2bl w:val="nil"/>
                  </w:tcBorders>
                  <w:noWrap w:val="0"/>
                  <w:tcMar>
                    <w:top w:w="11" w:type="dxa"/>
                    <w:left w:w="11" w:type="dxa"/>
                    <w:bottom w:w="11" w:type="dxa"/>
                    <w:right w:w="11" w:type="dxa"/>
                  </w:tcMar>
                  <w:vAlign w:val="center"/>
                </w:tcPr>
                <w:p w14:paraId="317125D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0.1ngTEQ/m</w:t>
                  </w:r>
                  <w:r>
                    <w:rPr>
                      <w:rFonts w:hint="default" w:ascii="Times New Roman" w:hAnsi="Times New Roman" w:eastAsia="宋体" w:cs="Times New Roman"/>
                      <w:color w:val="auto"/>
                      <w:sz w:val="21"/>
                      <w:szCs w:val="21"/>
                      <w:vertAlign w:val="superscript"/>
                      <w:lang w:val="en-US" w:eastAsia="zh-CN"/>
                    </w:rPr>
                    <w:t>3</w:t>
                  </w:r>
                </w:p>
              </w:tc>
              <w:tc>
                <w:tcPr>
                  <w:tcW w:w="1532" w:type="pct"/>
                  <w:vMerge w:val="continue"/>
                  <w:tcBorders>
                    <w:tl2br w:val="nil"/>
                    <w:tr2bl w:val="nil"/>
                  </w:tcBorders>
                  <w:noWrap w:val="0"/>
                  <w:tcMar>
                    <w:top w:w="11" w:type="dxa"/>
                    <w:left w:w="11" w:type="dxa"/>
                    <w:bottom w:w="11" w:type="dxa"/>
                    <w:right w:w="11" w:type="dxa"/>
                  </w:tcMar>
                  <w:vAlign w:val="center"/>
                </w:tcPr>
                <w:p w14:paraId="251CC3B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1FEBB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restart"/>
                  <w:tcBorders>
                    <w:tl2br w:val="nil"/>
                    <w:tr2bl w:val="nil"/>
                  </w:tcBorders>
                  <w:noWrap w:val="0"/>
                  <w:tcMar>
                    <w:top w:w="11" w:type="dxa"/>
                    <w:left w:w="11" w:type="dxa"/>
                    <w:bottom w:w="11" w:type="dxa"/>
                    <w:right w:w="11" w:type="dxa"/>
                  </w:tcMar>
                  <w:vAlign w:val="center"/>
                </w:tcPr>
                <w:p w14:paraId="5628C69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DA027窑尾排气筒</w:t>
                  </w:r>
                </w:p>
              </w:tc>
              <w:tc>
                <w:tcPr>
                  <w:tcW w:w="1541" w:type="pct"/>
                  <w:tcBorders>
                    <w:tl2br w:val="nil"/>
                    <w:tr2bl w:val="nil"/>
                  </w:tcBorders>
                  <w:shd w:val="clear" w:color="auto" w:fill="auto"/>
                  <w:noWrap w:val="0"/>
                  <w:tcMar>
                    <w:top w:w="11" w:type="dxa"/>
                    <w:left w:w="11" w:type="dxa"/>
                    <w:bottom w:w="11" w:type="dxa"/>
                    <w:right w:w="11" w:type="dxa"/>
                  </w:tcMar>
                  <w:vAlign w:val="center"/>
                </w:tcPr>
                <w:p w14:paraId="18023F5C">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7124E6EE">
                  <w:pPr>
                    <w:kinsoku w:val="0"/>
                    <w:autoSpaceDE w:val="0"/>
                    <w:autoSpaceDN w:val="0"/>
                    <w:adjustRightInd w:val="0"/>
                    <w:snapToGrid w:val="0"/>
                    <w:spacing w:line="240" w:lineRule="auto"/>
                    <w:jc w:val="center"/>
                    <w:rPr>
                      <w:rFonts w:hint="default" w:ascii="Times New Roman" w:hAnsi="Times New Roman" w:eastAsia="Times New Roman" w:cs="Times New Roman"/>
                      <w:color w:val="auto"/>
                      <w:kern w:val="2"/>
                      <w:sz w:val="21"/>
                      <w:szCs w:val="18"/>
                      <w:lang w:val="en-US" w:eastAsia="zh-CN" w:bidi="ar-SA"/>
                    </w:rPr>
                  </w:pPr>
                  <w:r>
                    <w:rPr>
                      <w:rFonts w:hint="default" w:ascii="Times New Roman" w:hAnsi="Times New Roman" w:cs="Times New Roman"/>
                      <w:color w:val="auto"/>
                      <w:sz w:val="21"/>
                      <w:szCs w:val="18"/>
                    </w:rPr>
                    <w:t>1</w:t>
                  </w:r>
                  <w:r>
                    <w:rPr>
                      <w:rFonts w:hint="default" w:ascii="Times New Roman" w:hAnsi="Times New Roman" w:eastAsia="Times New Roman" w:cs="Times New Roman"/>
                      <w:color w:val="auto"/>
                      <w:sz w:val="21"/>
                      <w:szCs w:val="18"/>
                    </w:rPr>
                    <w:t>0</w:t>
                  </w:r>
                </w:p>
              </w:tc>
              <w:tc>
                <w:tcPr>
                  <w:tcW w:w="1532" w:type="pct"/>
                  <w:vMerge w:val="restart"/>
                  <w:tcBorders>
                    <w:tl2br w:val="nil"/>
                    <w:tr2bl w:val="nil"/>
                  </w:tcBorders>
                  <w:noWrap w:val="0"/>
                  <w:tcMar>
                    <w:top w:w="11" w:type="dxa"/>
                    <w:left w:w="11" w:type="dxa"/>
                    <w:bottom w:w="11" w:type="dxa"/>
                    <w:right w:w="11" w:type="dxa"/>
                  </w:tcMar>
                  <w:vAlign w:val="center"/>
                </w:tcPr>
                <w:p w14:paraId="1B58890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《山东省水泥行业超低排放改造实施方案》</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待改造完成后执行</w:t>
                  </w:r>
                </w:p>
              </w:tc>
            </w:tr>
            <w:tr w14:paraId="1B5FE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019BC00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shd w:val="clear" w:color="auto" w:fill="auto"/>
                  <w:noWrap w:val="0"/>
                  <w:tcMar>
                    <w:top w:w="11" w:type="dxa"/>
                    <w:left w:w="11" w:type="dxa"/>
                    <w:bottom w:w="11" w:type="dxa"/>
                    <w:right w:w="11" w:type="dxa"/>
                  </w:tcMar>
                  <w:vAlign w:val="center"/>
                </w:tcPr>
                <w:p w14:paraId="4EABB7C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980" w:type="pct"/>
                  <w:tcBorders>
                    <w:tl2br w:val="nil"/>
                    <w:tr2bl w:val="nil"/>
                  </w:tcBorders>
                  <w:shd w:val="clear" w:color="auto" w:fill="auto"/>
                  <w:noWrap w:val="0"/>
                  <w:tcMar>
                    <w:top w:w="11" w:type="dxa"/>
                    <w:left w:w="11" w:type="dxa"/>
                    <w:bottom w:w="11" w:type="dxa"/>
                    <w:right w:w="11" w:type="dxa"/>
                  </w:tcMar>
                  <w:vAlign w:val="center"/>
                </w:tcPr>
                <w:p w14:paraId="48520C3B">
                  <w:pPr>
                    <w:kinsoku w:val="0"/>
                    <w:autoSpaceDE w:val="0"/>
                    <w:autoSpaceDN w:val="0"/>
                    <w:adjustRightInd w:val="0"/>
                    <w:snapToGrid w:val="0"/>
                    <w:spacing w:line="240" w:lineRule="auto"/>
                    <w:jc w:val="center"/>
                    <w:rPr>
                      <w:rFonts w:hint="default" w:ascii="Times New Roman" w:hAnsi="Times New Roman" w:eastAsia="宋体" w:cs="Times New Roman"/>
                      <w:color w:val="auto"/>
                      <w:kern w:val="2"/>
                      <w:sz w:val="21"/>
                      <w:szCs w:val="18"/>
                      <w:lang w:val="en-US" w:eastAsia="zh-CN" w:bidi="ar-SA"/>
                    </w:rPr>
                  </w:pPr>
                  <w:r>
                    <w:rPr>
                      <w:rFonts w:hint="default" w:ascii="Times New Roman" w:hAnsi="Times New Roman" w:cs="Times New Roman"/>
                      <w:color w:val="auto"/>
                      <w:sz w:val="21"/>
                      <w:szCs w:val="18"/>
                    </w:rPr>
                    <w:t>35</w:t>
                  </w:r>
                </w:p>
              </w:tc>
              <w:tc>
                <w:tcPr>
                  <w:tcW w:w="1532" w:type="pct"/>
                  <w:vMerge w:val="continue"/>
                  <w:tcBorders>
                    <w:tl2br w:val="nil"/>
                    <w:tr2bl w:val="nil"/>
                  </w:tcBorders>
                  <w:noWrap w:val="0"/>
                  <w:tcMar>
                    <w:top w:w="11" w:type="dxa"/>
                    <w:left w:w="11" w:type="dxa"/>
                    <w:bottom w:w="11" w:type="dxa"/>
                    <w:right w:w="11" w:type="dxa"/>
                  </w:tcMar>
                  <w:vAlign w:val="center"/>
                </w:tcPr>
                <w:p w14:paraId="6A24EEA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35BB3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122F11D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shd w:val="clear" w:color="auto" w:fill="auto"/>
                  <w:noWrap w:val="0"/>
                  <w:tcMar>
                    <w:top w:w="11" w:type="dxa"/>
                    <w:left w:w="11" w:type="dxa"/>
                    <w:bottom w:w="11" w:type="dxa"/>
                    <w:right w:w="11" w:type="dxa"/>
                  </w:tcMar>
                  <w:vAlign w:val="center"/>
                </w:tcPr>
                <w:p w14:paraId="72F7E33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NOx</w:t>
                  </w:r>
                </w:p>
              </w:tc>
              <w:tc>
                <w:tcPr>
                  <w:tcW w:w="980" w:type="pct"/>
                  <w:tcBorders>
                    <w:tl2br w:val="nil"/>
                    <w:tr2bl w:val="nil"/>
                  </w:tcBorders>
                  <w:shd w:val="clear" w:color="auto" w:fill="auto"/>
                  <w:noWrap w:val="0"/>
                  <w:tcMar>
                    <w:top w:w="11" w:type="dxa"/>
                    <w:left w:w="11" w:type="dxa"/>
                    <w:bottom w:w="11" w:type="dxa"/>
                    <w:right w:w="11" w:type="dxa"/>
                  </w:tcMar>
                  <w:vAlign w:val="center"/>
                </w:tcPr>
                <w:p w14:paraId="299E662F">
                  <w:pPr>
                    <w:kinsoku w:val="0"/>
                    <w:autoSpaceDE w:val="0"/>
                    <w:autoSpaceDN w:val="0"/>
                    <w:adjustRightInd w:val="0"/>
                    <w:snapToGrid w:val="0"/>
                    <w:spacing w:line="240" w:lineRule="auto"/>
                    <w:jc w:val="center"/>
                    <w:rPr>
                      <w:rFonts w:hint="default" w:ascii="Times New Roman" w:hAnsi="Times New Roman" w:eastAsia="宋体" w:cs="Times New Roman"/>
                      <w:color w:val="auto"/>
                      <w:kern w:val="2"/>
                      <w:sz w:val="21"/>
                      <w:szCs w:val="18"/>
                      <w:lang w:val="en-US" w:eastAsia="zh-CN" w:bidi="ar-SA"/>
                    </w:rPr>
                  </w:pPr>
                  <w:r>
                    <w:rPr>
                      <w:rFonts w:hint="default" w:ascii="Times New Roman" w:hAnsi="Times New Roman" w:cs="Times New Roman"/>
                      <w:color w:val="auto"/>
                      <w:sz w:val="21"/>
                      <w:szCs w:val="18"/>
                    </w:rPr>
                    <w:t>50</w:t>
                  </w:r>
                </w:p>
              </w:tc>
              <w:tc>
                <w:tcPr>
                  <w:tcW w:w="1532" w:type="pct"/>
                  <w:vMerge w:val="continue"/>
                  <w:tcBorders>
                    <w:tl2br w:val="nil"/>
                    <w:tr2bl w:val="nil"/>
                  </w:tcBorders>
                  <w:noWrap w:val="0"/>
                  <w:tcMar>
                    <w:top w:w="11" w:type="dxa"/>
                    <w:left w:w="11" w:type="dxa"/>
                    <w:bottom w:w="11" w:type="dxa"/>
                    <w:right w:w="11" w:type="dxa"/>
                  </w:tcMar>
                  <w:vAlign w:val="center"/>
                </w:tcPr>
                <w:p w14:paraId="16B5CED7">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000AD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shd w:val="clear" w:color="auto" w:fill="auto"/>
                  <w:noWrap w:val="0"/>
                  <w:tcMar>
                    <w:top w:w="11" w:type="dxa"/>
                    <w:left w:w="11" w:type="dxa"/>
                    <w:bottom w:w="11" w:type="dxa"/>
                    <w:right w:w="11" w:type="dxa"/>
                  </w:tcMar>
                  <w:vAlign w:val="center"/>
                </w:tcPr>
                <w:p w14:paraId="1378CFC6">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DA091煤矸石地坑收尘排放口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2B32A85C">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1DB35438">
                  <w:pPr>
                    <w:kinsoku w:val="0"/>
                    <w:autoSpaceDE w:val="0"/>
                    <w:autoSpaceDN w:val="0"/>
                    <w:adjustRightInd w:val="0"/>
                    <w:snapToGrid w:val="0"/>
                    <w:spacing w:line="240" w:lineRule="auto"/>
                    <w:jc w:val="center"/>
                    <w:rPr>
                      <w:rFonts w:hint="default"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restart"/>
                  <w:tcBorders>
                    <w:tl2br w:val="nil"/>
                    <w:tr2bl w:val="nil"/>
                  </w:tcBorders>
                  <w:noWrap w:val="0"/>
                  <w:tcMar>
                    <w:top w:w="11" w:type="dxa"/>
                    <w:left w:w="11" w:type="dxa"/>
                    <w:bottom w:w="11" w:type="dxa"/>
                    <w:right w:w="11" w:type="dxa"/>
                  </w:tcMar>
                  <w:vAlign w:val="center"/>
                </w:tcPr>
                <w:p w14:paraId="4E839E7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r>
                    <w:rPr>
                      <w:rFonts w:hint="eastAsia" w:ascii="Times New Roman" w:cs="Times New Roman"/>
                      <w:color w:val="auto"/>
                      <w:sz w:val="21"/>
                      <w:szCs w:val="21"/>
                      <w:lang w:eastAsia="zh-CN"/>
                    </w:rPr>
                    <w:t>《水泥工业大气污染物排放标准》（GB4915-2013）表2</w:t>
                  </w:r>
                </w:p>
              </w:tc>
            </w:tr>
            <w:tr w14:paraId="5BFD5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4B7870B8">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DA131原材料入库北侧收尘器排放口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18CCF9B0">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0013491F">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0ECB891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40BBE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53595E98">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DA132石膏粉料下料口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055C214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6E731342">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1AD22F3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39D82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7E9A974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DA133</w:t>
                  </w:r>
                  <w:r>
                    <w:rPr>
                      <w:kern w:val="2"/>
                      <w:sz w:val="21"/>
                      <w:lang w:val="en-US" w:eastAsia="zh-CN" w:bidi="ar-SA"/>
                    </w:rPr>
                    <w:t>原材料入库西侧收尘器</w:t>
                  </w:r>
                  <w:r>
                    <w:rPr>
                      <w:rFonts w:hint="eastAsia"/>
                      <w:kern w:val="2"/>
                      <w:sz w:val="21"/>
                      <w:lang w:val="en-US" w:eastAsia="zh-CN" w:bidi="ar-SA"/>
                    </w:rPr>
                    <w:t>排放口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163A37B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37E53D42">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1B273F6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36119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17BBD0B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DA134</w:t>
                  </w:r>
                  <w:r>
                    <w:rPr>
                      <w:kern w:val="2"/>
                      <w:sz w:val="21"/>
                      <w:lang w:val="en-US" w:eastAsia="zh-CN" w:bidi="ar-SA"/>
                    </w:rPr>
                    <w:t>原材料入库转运收尘器</w:t>
                  </w:r>
                  <w:r>
                    <w:rPr>
                      <w:rFonts w:hint="eastAsia"/>
                      <w:kern w:val="2"/>
                      <w:sz w:val="21"/>
                      <w:lang w:val="en-US" w:eastAsia="zh-CN" w:bidi="ar-SA"/>
                    </w:rPr>
                    <w:t>排放口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3AB4B6A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55A0C040">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4B089247">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13F2B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22C7095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DA135原材料下料口收尘器排放口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20DFBB5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2F4F9946">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1C186DE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74627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157C93A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DA196煤粉仓收尘器排放口</w:t>
                  </w:r>
                </w:p>
              </w:tc>
              <w:tc>
                <w:tcPr>
                  <w:tcW w:w="1541" w:type="pct"/>
                  <w:tcBorders>
                    <w:tl2br w:val="nil"/>
                    <w:tr2bl w:val="nil"/>
                  </w:tcBorders>
                  <w:shd w:val="clear" w:color="auto" w:fill="auto"/>
                  <w:noWrap w:val="0"/>
                  <w:tcMar>
                    <w:top w:w="11" w:type="dxa"/>
                    <w:left w:w="11" w:type="dxa"/>
                    <w:bottom w:w="11" w:type="dxa"/>
                    <w:right w:w="11" w:type="dxa"/>
                  </w:tcMar>
                  <w:vAlign w:val="center"/>
                </w:tcPr>
                <w:p w14:paraId="47D36C7F">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61C76F4F">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2F447167">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52439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tcBorders>
                    <w:tl2br w:val="nil"/>
                    <w:tr2bl w:val="nil"/>
                  </w:tcBorders>
                  <w:noWrap w:val="0"/>
                  <w:tcMar>
                    <w:top w:w="11" w:type="dxa"/>
                    <w:left w:w="11" w:type="dxa"/>
                    <w:bottom w:w="11" w:type="dxa"/>
                    <w:right w:w="11" w:type="dxa"/>
                  </w:tcMar>
                  <w:vAlign w:val="center"/>
                </w:tcPr>
                <w:p w14:paraId="4659BB7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DA003RDF上料打散计量排气筒（海螺环保）</w:t>
                  </w:r>
                </w:p>
              </w:tc>
              <w:tc>
                <w:tcPr>
                  <w:tcW w:w="1541" w:type="pct"/>
                  <w:tcBorders>
                    <w:tl2br w:val="nil"/>
                    <w:tr2bl w:val="nil"/>
                  </w:tcBorders>
                  <w:shd w:val="clear" w:color="auto" w:fill="auto"/>
                  <w:noWrap w:val="0"/>
                  <w:tcMar>
                    <w:top w:w="11" w:type="dxa"/>
                    <w:left w:w="11" w:type="dxa"/>
                    <w:bottom w:w="11" w:type="dxa"/>
                    <w:right w:w="11" w:type="dxa"/>
                  </w:tcMar>
                  <w:vAlign w:val="center"/>
                </w:tcPr>
                <w:p w14:paraId="4506FC4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颗粒物</w:t>
                  </w:r>
                </w:p>
              </w:tc>
              <w:tc>
                <w:tcPr>
                  <w:tcW w:w="980" w:type="pct"/>
                  <w:tcBorders>
                    <w:tl2br w:val="nil"/>
                    <w:tr2bl w:val="nil"/>
                  </w:tcBorders>
                  <w:shd w:val="clear" w:color="auto" w:fill="auto"/>
                  <w:noWrap w:val="0"/>
                  <w:tcMar>
                    <w:top w:w="11" w:type="dxa"/>
                    <w:left w:w="11" w:type="dxa"/>
                    <w:bottom w:w="11" w:type="dxa"/>
                    <w:right w:w="11" w:type="dxa"/>
                  </w:tcMar>
                  <w:vAlign w:val="center"/>
                </w:tcPr>
                <w:p w14:paraId="78D6E243">
                  <w:pPr>
                    <w:kinsoku w:val="0"/>
                    <w:autoSpaceDE w:val="0"/>
                    <w:autoSpaceDN w:val="0"/>
                    <w:adjustRightInd w:val="0"/>
                    <w:snapToGrid w:val="0"/>
                    <w:spacing w:line="240" w:lineRule="auto"/>
                    <w:jc w:val="center"/>
                    <w:rPr>
                      <w:rFonts w:hint="eastAsia" w:ascii="Times New Roman" w:hAnsi="Times New Roman" w:eastAsia="宋体" w:cs="Times New Roman"/>
                      <w:color w:val="auto"/>
                      <w:kern w:val="2"/>
                      <w:sz w:val="21"/>
                      <w:szCs w:val="18"/>
                      <w:lang w:val="en-US" w:eastAsia="zh-CN" w:bidi="ar-SA"/>
                    </w:rPr>
                  </w:pPr>
                  <w:r>
                    <w:rPr>
                      <w:rFonts w:hint="eastAsia" w:cs="Times New Roman"/>
                      <w:color w:val="auto"/>
                      <w:sz w:val="21"/>
                      <w:szCs w:val="18"/>
                      <w:lang w:val="en-US" w:eastAsia="zh-CN"/>
                    </w:rPr>
                    <w:t>10</w:t>
                  </w:r>
                </w:p>
              </w:tc>
              <w:tc>
                <w:tcPr>
                  <w:tcW w:w="1532" w:type="pct"/>
                  <w:vMerge w:val="continue"/>
                  <w:tcBorders>
                    <w:tl2br w:val="nil"/>
                    <w:tr2bl w:val="nil"/>
                  </w:tcBorders>
                  <w:noWrap w:val="0"/>
                  <w:tcMar>
                    <w:top w:w="11" w:type="dxa"/>
                    <w:left w:w="11" w:type="dxa"/>
                    <w:bottom w:w="11" w:type="dxa"/>
                    <w:right w:w="11" w:type="dxa"/>
                  </w:tcMar>
                  <w:vAlign w:val="center"/>
                </w:tcPr>
                <w:p w14:paraId="0F91692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cs="Times New Roman"/>
                      <w:color w:val="auto"/>
                      <w:sz w:val="21"/>
                      <w:szCs w:val="21"/>
                      <w:lang w:eastAsia="zh-CN"/>
                    </w:rPr>
                  </w:pPr>
                </w:p>
              </w:tc>
            </w:tr>
            <w:tr w14:paraId="44C7C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restart"/>
                  <w:tcBorders>
                    <w:tl2br w:val="nil"/>
                    <w:tr2bl w:val="nil"/>
                  </w:tcBorders>
                  <w:noWrap w:val="0"/>
                  <w:tcMar>
                    <w:top w:w="11" w:type="dxa"/>
                    <w:left w:w="11" w:type="dxa"/>
                    <w:bottom w:w="11" w:type="dxa"/>
                    <w:right w:w="11" w:type="dxa"/>
                  </w:tcMar>
                  <w:vAlign w:val="center"/>
                </w:tcPr>
                <w:p w14:paraId="03B21C1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无组织</w:t>
                  </w:r>
                </w:p>
              </w:tc>
              <w:tc>
                <w:tcPr>
                  <w:tcW w:w="1541" w:type="pct"/>
                  <w:tcBorders>
                    <w:tl2br w:val="nil"/>
                    <w:tr2bl w:val="nil"/>
                  </w:tcBorders>
                  <w:noWrap w:val="0"/>
                  <w:tcMar>
                    <w:top w:w="11" w:type="dxa"/>
                    <w:left w:w="11" w:type="dxa"/>
                    <w:bottom w:w="11" w:type="dxa"/>
                    <w:right w:w="11" w:type="dxa"/>
                  </w:tcMar>
                  <w:vAlign w:val="center"/>
                </w:tcPr>
                <w:p w14:paraId="3A260BC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p>
              </w:tc>
              <w:tc>
                <w:tcPr>
                  <w:tcW w:w="980" w:type="pct"/>
                  <w:tcBorders>
                    <w:tl2br w:val="nil"/>
                    <w:tr2bl w:val="nil"/>
                  </w:tcBorders>
                  <w:noWrap w:val="0"/>
                  <w:tcMar>
                    <w:top w:w="11" w:type="dxa"/>
                    <w:left w:w="11" w:type="dxa"/>
                    <w:bottom w:w="11" w:type="dxa"/>
                    <w:right w:w="11" w:type="dxa"/>
                  </w:tcMar>
                  <w:vAlign w:val="center"/>
                </w:tcPr>
                <w:p w14:paraId="079ED76F">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532" w:type="pct"/>
                  <w:vMerge w:val="restart"/>
                  <w:tcBorders>
                    <w:tl2br w:val="nil"/>
                    <w:tr2bl w:val="nil"/>
                  </w:tcBorders>
                  <w:noWrap w:val="0"/>
                  <w:tcMar>
                    <w:top w:w="11" w:type="dxa"/>
                    <w:left w:w="11" w:type="dxa"/>
                    <w:bottom w:w="11" w:type="dxa"/>
                    <w:right w:w="11" w:type="dxa"/>
                  </w:tcMar>
                  <w:vAlign w:val="center"/>
                </w:tcPr>
                <w:p w14:paraId="0416998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r>
                    <w:rPr>
                      <w:rFonts w:hint="eastAsia" w:asci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建材工业大气污染物排放标准》（DB37/2373-2018）表</w:t>
                  </w:r>
                  <w:r>
                    <w:rPr>
                      <w:rFonts w:hint="default" w:ascii="Times New Roman" w:hAnsi="Times New Roman" w:eastAsia="宋体" w:cs="Times New Roman"/>
                      <w:color w:val="auto"/>
                      <w:sz w:val="21"/>
                      <w:szCs w:val="21"/>
                      <w:lang w:val="en-US" w:eastAsia="zh-CN"/>
                    </w:rPr>
                    <w:t>3</w:t>
                  </w:r>
                </w:p>
              </w:tc>
            </w:tr>
            <w:tr w14:paraId="51992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7A2CF36B">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34418E4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980" w:type="pct"/>
                  <w:tcBorders>
                    <w:tl2br w:val="nil"/>
                    <w:tr2bl w:val="nil"/>
                  </w:tcBorders>
                  <w:noWrap w:val="0"/>
                  <w:tcMar>
                    <w:top w:w="11" w:type="dxa"/>
                    <w:left w:w="11" w:type="dxa"/>
                    <w:bottom w:w="11" w:type="dxa"/>
                    <w:right w:w="11" w:type="dxa"/>
                  </w:tcMar>
                  <w:vAlign w:val="center"/>
                </w:tcPr>
                <w:p w14:paraId="4F57150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1532" w:type="pct"/>
                  <w:vMerge w:val="continue"/>
                  <w:tcBorders>
                    <w:tl2br w:val="nil"/>
                    <w:tr2bl w:val="nil"/>
                  </w:tcBorders>
                  <w:noWrap w:val="0"/>
                  <w:tcMar>
                    <w:top w:w="11" w:type="dxa"/>
                    <w:left w:w="11" w:type="dxa"/>
                    <w:bottom w:w="11" w:type="dxa"/>
                    <w:right w:w="11" w:type="dxa"/>
                  </w:tcMar>
                  <w:vAlign w:val="center"/>
                </w:tcPr>
                <w:p w14:paraId="045BCA60">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eastAsia="zh-CN"/>
                    </w:rPr>
                  </w:pPr>
                </w:p>
              </w:tc>
            </w:tr>
            <w:tr w14:paraId="1E903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644A26DE">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554622A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H</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S</w:t>
                  </w:r>
                </w:p>
              </w:tc>
              <w:tc>
                <w:tcPr>
                  <w:tcW w:w="980" w:type="pct"/>
                  <w:tcBorders>
                    <w:tl2br w:val="nil"/>
                    <w:tr2bl w:val="nil"/>
                  </w:tcBorders>
                  <w:noWrap w:val="0"/>
                  <w:tcMar>
                    <w:top w:w="11" w:type="dxa"/>
                    <w:left w:w="11" w:type="dxa"/>
                    <w:bottom w:w="11" w:type="dxa"/>
                    <w:right w:w="11" w:type="dxa"/>
                  </w:tcMar>
                  <w:vAlign w:val="center"/>
                </w:tcPr>
                <w:p w14:paraId="5FC5763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1532" w:type="pct"/>
                  <w:vMerge w:val="restart"/>
                  <w:tcBorders>
                    <w:tl2br w:val="nil"/>
                    <w:tr2bl w:val="nil"/>
                  </w:tcBorders>
                  <w:noWrap w:val="0"/>
                  <w:tcMar>
                    <w:top w:w="11" w:type="dxa"/>
                    <w:left w:w="11" w:type="dxa"/>
                    <w:bottom w:w="11" w:type="dxa"/>
                    <w:right w:w="11" w:type="dxa"/>
                  </w:tcMar>
                  <w:vAlign w:val="center"/>
                </w:tcPr>
                <w:p w14:paraId="05EBAB4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《恶臭污染物排放标准》（GB14554-93）表</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中二级新扩改标准</w:t>
                  </w:r>
                </w:p>
              </w:tc>
            </w:tr>
            <w:tr w14:paraId="1B81E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6" w:type="pct"/>
                  <w:vMerge w:val="continue"/>
                  <w:tcBorders>
                    <w:tl2br w:val="nil"/>
                    <w:tr2bl w:val="nil"/>
                  </w:tcBorders>
                  <w:noWrap w:val="0"/>
                  <w:tcMar>
                    <w:top w:w="11" w:type="dxa"/>
                    <w:left w:w="11" w:type="dxa"/>
                    <w:bottom w:w="11" w:type="dxa"/>
                    <w:right w:w="11" w:type="dxa"/>
                  </w:tcMar>
                  <w:vAlign w:val="center"/>
                </w:tcPr>
                <w:p w14:paraId="27FF282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p>
              </w:tc>
              <w:tc>
                <w:tcPr>
                  <w:tcW w:w="1541" w:type="pct"/>
                  <w:tcBorders>
                    <w:tl2br w:val="nil"/>
                    <w:tr2bl w:val="nil"/>
                  </w:tcBorders>
                  <w:noWrap w:val="0"/>
                  <w:tcMar>
                    <w:top w:w="11" w:type="dxa"/>
                    <w:left w:w="11" w:type="dxa"/>
                    <w:bottom w:w="11" w:type="dxa"/>
                    <w:right w:w="11" w:type="dxa"/>
                  </w:tcMar>
                  <w:vAlign w:val="center"/>
                </w:tcPr>
                <w:p w14:paraId="75FCC2A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臭气浓度</w:t>
                  </w:r>
                </w:p>
              </w:tc>
              <w:tc>
                <w:tcPr>
                  <w:tcW w:w="980" w:type="pct"/>
                  <w:tcBorders>
                    <w:tl2br w:val="nil"/>
                    <w:tr2bl w:val="nil"/>
                  </w:tcBorders>
                  <w:noWrap w:val="0"/>
                  <w:tcMar>
                    <w:top w:w="11" w:type="dxa"/>
                    <w:left w:w="11" w:type="dxa"/>
                    <w:bottom w:w="11" w:type="dxa"/>
                    <w:right w:w="11" w:type="dxa"/>
                  </w:tcMar>
                  <w:vAlign w:val="center"/>
                </w:tcPr>
                <w:p w14:paraId="7BFDDBD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20（无量纲）</w:t>
                  </w:r>
                </w:p>
              </w:tc>
              <w:tc>
                <w:tcPr>
                  <w:tcW w:w="1532" w:type="pct"/>
                  <w:vMerge w:val="continue"/>
                  <w:tcBorders>
                    <w:tl2br w:val="nil"/>
                    <w:tr2bl w:val="nil"/>
                  </w:tcBorders>
                  <w:noWrap w:val="0"/>
                  <w:tcMar>
                    <w:top w:w="11" w:type="dxa"/>
                    <w:left w:w="11" w:type="dxa"/>
                    <w:bottom w:w="11" w:type="dxa"/>
                    <w:right w:w="11" w:type="dxa"/>
                  </w:tcMar>
                  <w:vAlign w:val="center"/>
                </w:tcPr>
                <w:p w14:paraId="51E4DDA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default" w:ascii="Times New Roman" w:hAnsi="Times New Roman" w:eastAsia="宋体" w:cs="Times New Roman"/>
                      <w:color w:val="auto"/>
                      <w:sz w:val="21"/>
                      <w:szCs w:val="21"/>
                      <w:lang w:eastAsia="zh-CN"/>
                    </w:rPr>
                  </w:pPr>
                </w:p>
              </w:tc>
            </w:tr>
          </w:tbl>
          <w:p w14:paraId="4FBF8CE8">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lang w:val="en-US" w:eastAsia="zh-CN"/>
              </w:rPr>
              <w:t>三、</w:t>
            </w:r>
            <w:r>
              <w:rPr>
                <w:rFonts w:hint="default" w:ascii="Times New Roman" w:hAnsi="Times New Roman" w:eastAsia="宋体" w:cs="Times New Roman"/>
                <w:b/>
                <w:bCs w:val="0"/>
                <w:color w:val="auto"/>
              </w:rPr>
              <w:t>噪声</w:t>
            </w:r>
          </w:p>
          <w:p w14:paraId="404D18D4">
            <w:pPr>
              <w:numPr>
                <w:ilvl w:val="0"/>
                <w:numId w:val="0"/>
              </w:numPr>
              <w:ind w:firstLine="480" w:firstLineChars="200"/>
              <w:rPr>
                <w:rFonts w:hint="default" w:ascii="Times New Roman" w:hAnsi="Times New Roman" w:cs="Times New Roman"/>
                <w:color w:val="auto"/>
                <w:szCs w:val="32"/>
              </w:rPr>
            </w:pPr>
            <w:r>
              <w:rPr>
                <w:rFonts w:hint="default" w:ascii="Times New Roman" w:hAnsi="Times New Roman" w:cs="Times New Roman"/>
                <w:color w:val="auto"/>
                <w:szCs w:val="32"/>
              </w:rPr>
              <w:t>厂界噪声排放执行《工业企业厂界环境噪声排放标准》（GB12348-2008）</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rPr>
              <w:t>类标准。</w:t>
            </w:r>
          </w:p>
          <w:p w14:paraId="4A905FF5">
            <w:pPr>
              <w:pStyle w:val="45"/>
              <w:bidi w:val="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表3-</w:t>
            </w:r>
            <w:r>
              <w:rPr>
                <w:rFonts w:hint="eastAsia" w:ascii="Times New Roman" w:hAnsi="Times New Roman" w:eastAsia="宋体" w:cs="Times New Roman"/>
                <w:b/>
                <w:bCs w:val="0"/>
                <w:color w:val="auto"/>
                <w:lang w:val="en-US" w:eastAsia="zh-CN"/>
              </w:rPr>
              <w:t>5</w:t>
            </w:r>
            <w:r>
              <w:rPr>
                <w:rFonts w:hint="default" w:ascii="Times New Roman" w:hAnsi="Times New Roman" w:eastAsia="宋体" w:cs="Times New Roman"/>
                <w:b/>
                <w:bCs w:val="0"/>
                <w:color w:val="auto"/>
              </w:rPr>
              <w:t xml:space="preserve">  厂界噪声排放标准</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168"/>
              <w:gridCol w:w="3273"/>
            </w:tblGrid>
            <w:tr w14:paraId="305CA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trPr>
              <w:tc>
                <w:tcPr>
                  <w:tcW w:w="1066" w:type="pct"/>
                  <w:vMerge w:val="restart"/>
                  <w:tcBorders>
                    <w:tl2br w:val="nil"/>
                    <w:tr2bl w:val="nil"/>
                  </w:tcBorders>
                  <w:noWrap w:val="0"/>
                  <w:vAlign w:val="center"/>
                </w:tcPr>
                <w:p w14:paraId="070E78FB">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类别</w:t>
                  </w:r>
                </w:p>
              </w:tc>
              <w:tc>
                <w:tcPr>
                  <w:tcW w:w="3933" w:type="pct"/>
                  <w:gridSpan w:val="2"/>
                  <w:tcBorders>
                    <w:tl2br w:val="nil"/>
                    <w:tr2bl w:val="nil"/>
                  </w:tcBorders>
                  <w:noWrap w:val="0"/>
                  <w:vAlign w:val="center"/>
                </w:tcPr>
                <w:p w14:paraId="0648A938">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等效声级dB(A)</w:t>
                  </w:r>
                </w:p>
              </w:tc>
            </w:tr>
            <w:tr w14:paraId="19DFA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6" w:type="pct"/>
                  <w:vMerge w:val="continue"/>
                  <w:tcBorders>
                    <w:tl2br w:val="nil"/>
                    <w:tr2bl w:val="nil"/>
                  </w:tcBorders>
                  <w:noWrap w:val="0"/>
                  <w:vAlign w:val="center"/>
                </w:tcPr>
                <w:p w14:paraId="4F3D7852">
                  <w:pPr>
                    <w:spacing w:line="240" w:lineRule="auto"/>
                    <w:jc w:val="center"/>
                    <w:rPr>
                      <w:rFonts w:hint="default" w:ascii="Times New Roman" w:hAnsi="Times New Roman" w:cs="Times New Roman"/>
                      <w:color w:val="auto"/>
                      <w:sz w:val="21"/>
                    </w:rPr>
                  </w:pPr>
                </w:p>
              </w:tc>
              <w:tc>
                <w:tcPr>
                  <w:tcW w:w="1934" w:type="pct"/>
                  <w:tcBorders>
                    <w:tl2br w:val="nil"/>
                    <w:tr2bl w:val="nil"/>
                  </w:tcBorders>
                  <w:noWrap w:val="0"/>
                  <w:vAlign w:val="center"/>
                </w:tcPr>
                <w:p w14:paraId="0DCBF8C8">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昼间</w:t>
                  </w:r>
                </w:p>
              </w:tc>
              <w:tc>
                <w:tcPr>
                  <w:tcW w:w="1998" w:type="pct"/>
                  <w:tcBorders>
                    <w:tl2br w:val="nil"/>
                    <w:tr2bl w:val="nil"/>
                  </w:tcBorders>
                  <w:noWrap w:val="0"/>
                  <w:vAlign w:val="center"/>
                </w:tcPr>
                <w:p w14:paraId="5BF8CE50">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夜间</w:t>
                  </w:r>
                </w:p>
              </w:tc>
            </w:tr>
            <w:tr w14:paraId="7ACDD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6" w:type="pct"/>
                  <w:tcBorders>
                    <w:tl2br w:val="nil"/>
                    <w:tr2bl w:val="nil"/>
                  </w:tcBorders>
                  <w:noWrap w:val="0"/>
                  <w:vAlign w:val="center"/>
                </w:tcPr>
                <w:p w14:paraId="2AB20E44">
                  <w:pPr>
                    <w:spacing w:line="240" w:lineRule="auto"/>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lang w:val="en-US" w:eastAsia="zh-CN"/>
                    </w:rPr>
                    <w:t>2</w:t>
                  </w:r>
                </w:p>
              </w:tc>
              <w:tc>
                <w:tcPr>
                  <w:tcW w:w="1934" w:type="pct"/>
                  <w:tcBorders>
                    <w:tl2br w:val="nil"/>
                    <w:tr2bl w:val="nil"/>
                  </w:tcBorders>
                  <w:noWrap w:val="0"/>
                  <w:vAlign w:val="center"/>
                </w:tcPr>
                <w:p w14:paraId="0F899ABE">
                  <w:pPr>
                    <w:spacing w:line="240" w:lineRule="auto"/>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rPr>
                    <w:t>6</w:t>
                  </w:r>
                  <w:r>
                    <w:rPr>
                      <w:rFonts w:hint="default" w:ascii="Times New Roman" w:hAnsi="Times New Roman" w:cs="Times New Roman"/>
                      <w:color w:val="auto"/>
                      <w:sz w:val="21"/>
                      <w:lang w:val="en-US" w:eastAsia="zh-CN"/>
                    </w:rPr>
                    <w:t>0</w:t>
                  </w:r>
                </w:p>
              </w:tc>
              <w:tc>
                <w:tcPr>
                  <w:tcW w:w="1998" w:type="pct"/>
                  <w:tcBorders>
                    <w:tl2br w:val="nil"/>
                    <w:tr2bl w:val="nil"/>
                  </w:tcBorders>
                  <w:noWrap w:val="0"/>
                  <w:vAlign w:val="center"/>
                </w:tcPr>
                <w:p w14:paraId="7372E1F7">
                  <w:pPr>
                    <w:spacing w:line="240" w:lineRule="auto"/>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rPr>
                    <w:t>5</w:t>
                  </w:r>
                  <w:r>
                    <w:rPr>
                      <w:rFonts w:hint="default" w:ascii="Times New Roman" w:hAnsi="Times New Roman" w:cs="Times New Roman"/>
                      <w:color w:val="auto"/>
                      <w:sz w:val="21"/>
                      <w:lang w:val="en-US" w:eastAsia="zh-CN"/>
                    </w:rPr>
                    <w:t>0</w:t>
                  </w:r>
                </w:p>
              </w:tc>
            </w:tr>
          </w:tbl>
          <w:p w14:paraId="77FAABF3">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val="0"/>
                <w:color w:val="auto"/>
              </w:rPr>
            </w:pPr>
            <w:r>
              <w:rPr>
                <w:rStyle w:val="52"/>
                <w:rFonts w:hint="default" w:ascii="Times New Roman" w:hAnsi="Times New Roman" w:eastAsia="宋体" w:cs="Times New Roman"/>
                <w:b/>
                <w:bCs w:val="0"/>
                <w:color w:val="auto"/>
                <w:lang w:val="en-US" w:eastAsia="zh-CN"/>
              </w:rPr>
              <w:t>四</w:t>
            </w:r>
            <w:r>
              <w:rPr>
                <w:rStyle w:val="52"/>
                <w:rFonts w:hint="default" w:ascii="Times New Roman" w:hAnsi="Times New Roman" w:eastAsia="宋体" w:cs="Times New Roman"/>
                <w:b/>
                <w:bCs w:val="0"/>
                <w:color w:val="auto"/>
                <w:lang w:eastAsia="zh-CN"/>
              </w:rPr>
              <w:t>、</w:t>
            </w:r>
            <w:r>
              <w:rPr>
                <w:rStyle w:val="52"/>
                <w:rFonts w:hint="default" w:ascii="Times New Roman" w:hAnsi="Times New Roman" w:eastAsia="宋体" w:cs="Times New Roman"/>
                <w:b/>
                <w:bCs w:val="0"/>
                <w:color w:val="auto"/>
              </w:rPr>
              <w:t>固废</w:t>
            </w:r>
          </w:p>
          <w:p w14:paraId="3C6BB91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一般工业固体废物执行《中华人民共和国固体废物污染环境防治法》的相关要求并参照执行《一般工业固体废物贮存和填埋污染控制标准》（GB18599-2020），危险废物执行《危险废物贮存污染控制标准》（GB18597-2023）。</w:t>
            </w:r>
          </w:p>
          <w:p w14:paraId="662EB4F7">
            <w:pPr>
              <w:numPr>
                <w:ilvl w:val="0"/>
                <w:numId w:val="0"/>
              </w:numPr>
              <w:ind w:firstLine="480" w:firstLineChars="200"/>
              <w:rPr>
                <w:rFonts w:hint="default" w:ascii="Times New Roman" w:hAnsi="Times New Roman" w:cs="Times New Roman"/>
                <w:color w:val="auto"/>
              </w:rPr>
            </w:pPr>
          </w:p>
          <w:p w14:paraId="4008DDE1">
            <w:pPr>
              <w:numPr>
                <w:ilvl w:val="0"/>
                <w:numId w:val="0"/>
              </w:numPr>
              <w:ind w:firstLine="480" w:firstLineChars="200"/>
              <w:rPr>
                <w:rFonts w:hint="default" w:ascii="Times New Roman" w:hAnsi="Times New Roman" w:cs="Times New Roman"/>
                <w:color w:val="auto"/>
              </w:rPr>
            </w:pPr>
          </w:p>
          <w:p w14:paraId="2AFBC0C3">
            <w:pPr>
              <w:numPr>
                <w:ilvl w:val="0"/>
                <w:numId w:val="0"/>
              </w:numPr>
              <w:ind w:firstLine="480" w:firstLineChars="200"/>
              <w:rPr>
                <w:rFonts w:hint="default" w:ascii="Times New Roman" w:hAnsi="Times New Roman" w:cs="Times New Roman"/>
                <w:color w:val="auto"/>
              </w:rPr>
            </w:pPr>
          </w:p>
          <w:p w14:paraId="399DE433">
            <w:pPr>
              <w:numPr>
                <w:ilvl w:val="0"/>
                <w:numId w:val="0"/>
              </w:numPr>
              <w:ind w:firstLine="480" w:firstLineChars="200"/>
              <w:rPr>
                <w:rFonts w:hint="default" w:ascii="Times New Roman" w:hAnsi="Times New Roman" w:cs="Times New Roman"/>
                <w:color w:val="auto"/>
              </w:rPr>
            </w:pPr>
          </w:p>
          <w:p w14:paraId="54EB69CE">
            <w:pPr>
              <w:numPr>
                <w:ilvl w:val="0"/>
                <w:numId w:val="0"/>
              </w:numPr>
              <w:ind w:firstLine="480" w:firstLineChars="200"/>
              <w:rPr>
                <w:rFonts w:hint="default" w:ascii="Times New Roman" w:hAnsi="Times New Roman" w:cs="Times New Roman"/>
                <w:color w:val="auto"/>
              </w:rPr>
            </w:pPr>
          </w:p>
          <w:p w14:paraId="3BD3C9FE">
            <w:pPr>
              <w:numPr>
                <w:ilvl w:val="0"/>
                <w:numId w:val="0"/>
              </w:numPr>
              <w:ind w:firstLine="480" w:firstLineChars="200"/>
              <w:rPr>
                <w:rFonts w:hint="default" w:ascii="Times New Roman" w:hAnsi="Times New Roman" w:cs="Times New Roman"/>
                <w:color w:val="auto"/>
              </w:rPr>
            </w:pPr>
          </w:p>
          <w:p w14:paraId="756344EB">
            <w:pPr>
              <w:numPr>
                <w:ilvl w:val="0"/>
                <w:numId w:val="0"/>
              </w:numPr>
              <w:ind w:firstLine="480" w:firstLineChars="200"/>
              <w:rPr>
                <w:rFonts w:hint="default" w:ascii="Times New Roman" w:hAnsi="Times New Roman" w:cs="Times New Roman"/>
                <w:color w:val="auto"/>
              </w:rPr>
            </w:pPr>
          </w:p>
          <w:p w14:paraId="3E32070F">
            <w:pPr>
              <w:numPr>
                <w:ilvl w:val="0"/>
                <w:numId w:val="0"/>
              </w:numPr>
              <w:ind w:firstLine="480" w:firstLineChars="200"/>
              <w:rPr>
                <w:rFonts w:hint="default" w:ascii="Times New Roman" w:hAnsi="Times New Roman" w:cs="Times New Roman"/>
                <w:color w:val="auto"/>
              </w:rPr>
            </w:pPr>
          </w:p>
          <w:p w14:paraId="3A8D6088">
            <w:pPr>
              <w:numPr>
                <w:ilvl w:val="0"/>
                <w:numId w:val="0"/>
              </w:numPr>
              <w:ind w:firstLine="480" w:firstLineChars="200"/>
              <w:rPr>
                <w:rFonts w:hint="default" w:ascii="Times New Roman" w:hAnsi="Times New Roman" w:cs="Times New Roman"/>
                <w:color w:val="auto"/>
              </w:rPr>
            </w:pPr>
          </w:p>
          <w:p w14:paraId="08D6C3D5">
            <w:pPr>
              <w:numPr>
                <w:ilvl w:val="0"/>
                <w:numId w:val="0"/>
              </w:numPr>
              <w:ind w:firstLine="480" w:firstLineChars="200"/>
              <w:rPr>
                <w:rFonts w:hint="default" w:ascii="Times New Roman" w:hAnsi="Times New Roman" w:cs="Times New Roman"/>
                <w:color w:val="auto"/>
              </w:rPr>
            </w:pPr>
          </w:p>
          <w:p w14:paraId="786E0EB9">
            <w:pPr>
              <w:numPr>
                <w:ilvl w:val="0"/>
                <w:numId w:val="0"/>
              </w:numPr>
              <w:ind w:firstLine="480" w:firstLineChars="200"/>
              <w:rPr>
                <w:rFonts w:hint="default" w:ascii="Times New Roman" w:hAnsi="Times New Roman" w:cs="Times New Roman"/>
                <w:color w:val="auto"/>
              </w:rPr>
            </w:pPr>
          </w:p>
          <w:p w14:paraId="42FB38F5">
            <w:pPr>
              <w:numPr>
                <w:ilvl w:val="0"/>
                <w:numId w:val="0"/>
              </w:numPr>
              <w:ind w:firstLine="480" w:firstLineChars="200"/>
              <w:rPr>
                <w:rFonts w:hint="default" w:ascii="Times New Roman" w:hAnsi="Times New Roman" w:cs="Times New Roman"/>
                <w:color w:val="auto"/>
              </w:rPr>
            </w:pPr>
          </w:p>
          <w:p w14:paraId="30726161">
            <w:pPr>
              <w:numPr>
                <w:ilvl w:val="0"/>
                <w:numId w:val="0"/>
              </w:numPr>
              <w:rPr>
                <w:rFonts w:hint="default" w:ascii="Times New Roman" w:hAnsi="Times New Roman" w:eastAsia="宋体" w:cs="Times New Roman"/>
                <w:color w:val="auto"/>
                <w:kern w:val="0"/>
                <w:lang w:eastAsia="zh-CN"/>
              </w:rPr>
            </w:pPr>
          </w:p>
        </w:tc>
      </w:tr>
      <w:tr w14:paraId="6ECE7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626" w:type="dxa"/>
            <w:noWrap w:val="0"/>
            <w:vAlign w:val="center"/>
          </w:tcPr>
          <w:p w14:paraId="3FD9E44B">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总量</w:t>
            </w:r>
          </w:p>
          <w:p w14:paraId="5A54BC9E">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控制</w:t>
            </w:r>
          </w:p>
          <w:p w14:paraId="20998DB3">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szCs w:val="24"/>
              </w:rPr>
              <w:t>指标</w:t>
            </w:r>
          </w:p>
        </w:tc>
        <w:tc>
          <w:tcPr>
            <w:tcW w:w="8435" w:type="dxa"/>
            <w:noWrap w:val="0"/>
            <w:vAlign w:val="top"/>
          </w:tcPr>
          <w:p w14:paraId="085B6214">
            <w:pPr>
              <w:pStyle w:val="87"/>
              <w:ind w:firstLine="480"/>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根据《国家环境保护“十三五”规划基本思路》以及《关于印发〈建设项目主要污染物排放总量指标审核及管理暂行办法〉的通知》（环发〔2014〕197号）、《山东省建设项目主要大气污染物排放总量替代指标核算及管理办法》，“十三五”期间主要控制污染物为颗粒物、SO</w:t>
            </w:r>
            <w:r>
              <w:rPr>
                <w:rFonts w:hint="default" w:ascii="Times New Roman" w:hAnsi="Times New Roman" w:cs="Times New Roman"/>
                <w:color w:val="auto"/>
                <w:spacing w:val="0"/>
                <w:position w:val="0"/>
                <w:vertAlign w:val="subscript"/>
              </w:rPr>
              <w:t>2</w:t>
            </w:r>
            <w:r>
              <w:rPr>
                <w:rFonts w:hint="default" w:ascii="Times New Roman" w:hAnsi="Times New Roman" w:cs="Times New Roman"/>
                <w:color w:val="auto"/>
                <w:spacing w:val="0"/>
                <w:position w:val="0"/>
              </w:rPr>
              <w:t>、NOx、COD、氨氮以及挥发性有机物6项指标。</w:t>
            </w:r>
          </w:p>
          <w:p w14:paraId="7A61E31A">
            <w:pPr>
              <w:ind w:firstLine="480" w:firstLineChars="200"/>
              <w:rPr>
                <w:rFonts w:hint="eastAsia" w:eastAsia="宋体" w:cs="Times New Roman"/>
                <w:color w:val="auto"/>
                <w:spacing w:val="0"/>
                <w:position w:val="0"/>
                <w:highlight w:val="none"/>
                <w:vertAlign w:val="baseline"/>
                <w:lang w:val="en-US" w:eastAsia="zh-CN"/>
              </w:rPr>
            </w:pPr>
            <w:r>
              <w:rPr>
                <w:rFonts w:hint="eastAsia" w:cs="Times New Roman"/>
                <w:color w:val="auto"/>
                <w:spacing w:val="0"/>
                <w:position w:val="0"/>
                <w:highlight w:val="none"/>
                <w:lang w:val="en-US" w:eastAsia="zh-CN"/>
              </w:rPr>
              <w:t>大气污染物：根据工程分析，项目不新增颗粒物、</w:t>
            </w:r>
            <w:r>
              <w:rPr>
                <w:rFonts w:hint="default" w:ascii="Times New Roman" w:hAnsi="Times New Roman" w:cs="Times New Roman"/>
                <w:color w:val="auto"/>
                <w:spacing w:val="0"/>
                <w:position w:val="0"/>
              </w:rPr>
              <w:t>NOx</w:t>
            </w:r>
            <w:r>
              <w:rPr>
                <w:rFonts w:hint="eastAsia" w:ascii="Times New Roman" w:hAnsi="Times New Roman" w:cs="Times New Roman"/>
                <w:color w:val="auto"/>
                <w:spacing w:val="0"/>
                <w:position w:val="0"/>
                <w:lang w:val="en-US" w:eastAsia="zh-CN"/>
              </w:rPr>
              <w:t>和</w:t>
            </w:r>
            <w:r>
              <w:rPr>
                <w:rFonts w:hint="default" w:ascii="Times New Roman" w:hAnsi="Times New Roman" w:cs="Times New Roman"/>
                <w:color w:val="auto"/>
                <w:spacing w:val="0"/>
                <w:position w:val="0"/>
              </w:rPr>
              <w:t>挥发性有机物</w:t>
            </w:r>
            <w:r>
              <w:rPr>
                <w:rFonts w:hint="eastAsia" w:ascii="Times New Roman" w:hAnsi="Times New Roman" w:cs="Times New Roman"/>
                <w:color w:val="auto"/>
                <w:spacing w:val="0"/>
                <w:position w:val="0"/>
                <w:lang w:val="en-US" w:eastAsia="zh-CN"/>
              </w:rPr>
              <w:t>排放，项目实施后窑尾废气排气筒</w:t>
            </w:r>
            <w:r>
              <w:rPr>
                <w:rFonts w:hint="default" w:ascii="Times New Roman" w:hAnsi="Times New Roman" w:cs="Times New Roman"/>
                <w:color w:val="auto"/>
                <w:spacing w:val="0"/>
                <w:position w:val="0"/>
              </w:rPr>
              <w:t>SO</w:t>
            </w:r>
            <w:r>
              <w:rPr>
                <w:rFonts w:hint="default" w:ascii="Times New Roman" w:hAnsi="Times New Roman" w:cs="Times New Roman"/>
                <w:color w:val="auto"/>
                <w:spacing w:val="0"/>
                <w:position w:val="0"/>
                <w:vertAlign w:val="subscript"/>
              </w:rPr>
              <w:t>2</w:t>
            </w:r>
            <w:r>
              <w:rPr>
                <w:rFonts w:hint="eastAsia" w:ascii="Times New Roman" w:hAnsi="Times New Roman" w:cs="Times New Roman"/>
                <w:color w:val="auto"/>
                <w:spacing w:val="0"/>
                <w:position w:val="0"/>
                <w:vertAlign w:val="baseline"/>
                <w:lang w:val="en-US" w:eastAsia="zh-CN"/>
              </w:rPr>
              <w:t>排放量为37.504t/a，未突破企业现行排污许可证规定的</w:t>
            </w:r>
            <w:r>
              <w:rPr>
                <w:rFonts w:hint="eastAsia" w:ascii="Times New Roman" w:hAnsi="Times New Roman" w:cs="Times New Roman"/>
                <w:color w:val="auto"/>
                <w:spacing w:val="0"/>
                <w:position w:val="0"/>
                <w:lang w:val="en-US" w:eastAsia="zh-CN"/>
              </w:rPr>
              <w:t>窑尾废气排气筒</w:t>
            </w:r>
            <w:r>
              <w:rPr>
                <w:rFonts w:hint="default" w:ascii="Times New Roman" w:hAnsi="Times New Roman" w:cs="Times New Roman"/>
                <w:color w:val="auto"/>
                <w:spacing w:val="0"/>
                <w:position w:val="0"/>
              </w:rPr>
              <w:t>SO</w:t>
            </w:r>
            <w:r>
              <w:rPr>
                <w:rFonts w:hint="default" w:ascii="Times New Roman" w:hAnsi="Times New Roman" w:cs="Times New Roman"/>
                <w:color w:val="auto"/>
                <w:spacing w:val="0"/>
                <w:position w:val="0"/>
                <w:vertAlign w:val="subscript"/>
              </w:rPr>
              <w:t>2</w:t>
            </w:r>
            <w:r>
              <w:rPr>
                <w:rFonts w:hint="eastAsia" w:ascii="Times New Roman" w:hAnsi="Times New Roman" w:cs="Times New Roman"/>
                <w:color w:val="auto"/>
                <w:spacing w:val="0"/>
                <w:position w:val="0"/>
                <w:vertAlign w:val="baseline"/>
                <w:lang w:val="en-US" w:eastAsia="zh-CN"/>
              </w:rPr>
              <w:t>许可排放量281.3t/a，因此无需</w:t>
            </w:r>
            <w:r>
              <w:rPr>
                <w:spacing w:val="-1"/>
              </w:rPr>
              <w:t>申请大气污染物排放总量指标</w:t>
            </w:r>
            <w:r>
              <w:rPr>
                <w:rFonts w:hint="eastAsia"/>
                <w:spacing w:val="-1"/>
                <w:lang w:eastAsia="zh-CN"/>
              </w:rPr>
              <w:t>。</w:t>
            </w:r>
          </w:p>
          <w:p w14:paraId="77092231">
            <w:pPr>
              <w:pStyle w:val="87"/>
              <w:ind w:firstLine="480"/>
              <w:rPr>
                <w:rFonts w:hint="default" w:ascii="Times New Roman" w:hAnsi="Times New Roman" w:cs="Times New Roman"/>
                <w:color w:val="auto"/>
                <w:szCs w:val="24"/>
                <w:lang w:val="en-US" w:eastAsia="zh-CN"/>
              </w:rPr>
            </w:pPr>
            <w:r>
              <w:rPr>
                <w:rFonts w:hint="eastAsia" w:cs="Times New Roman"/>
                <w:color w:val="auto"/>
                <w:spacing w:val="0"/>
                <w:position w:val="0"/>
                <w:lang w:val="en-US" w:eastAsia="zh-CN"/>
              </w:rPr>
              <w:t>水污染物：项目无新增外排废水，</w:t>
            </w:r>
            <w:r>
              <w:rPr>
                <w:rFonts w:hint="default" w:ascii="Times New Roman" w:hAnsi="Times New Roman" w:cs="Times New Roman"/>
                <w:color w:val="auto"/>
                <w:sz w:val="24"/>
              </w:rPr>
              <w:t>无需申请废水总量指标</w:t>
            </w:r>
            <w:r>
              <w:rPr>
                <w:rFonts w:hint="eastAsia" w:ascii="Times New Roman" w:hAnsi="Times New Roman" w:cs="Times New Roman"/>
                <w:color w:val="auto"/>
                <w:spacing w:val="0"/>
                <w:position w:val="0"/>
                <w:sz w:val="24"/>
                <w:lang w:eastAsia="zh-CN"/>
              </w:rPr>
              <w:t>。</w:t>
            </w:r>
          </w:p>
          <w:p w14:paraId="1C88A94E">
            <w:pPr>
              <w:ind w:firstLine="480" w:firstLineChars="200"/>
              <w:rPr>
                <w:rFonts w:hint="default" w:ascii="Times New Roman" w:hAnsi="Times New Roman" w:cs="Times New Roman"/>
                <w:color w:val="auto"/>
                <w:szCs w:val="24"/>
                <w:lang w:val="en-US" w:eastAsia="zh-CN"/>
              </w:rPr>
            </w:pPr>
          </w:p>
          <w:p w14:paraId="2E533CB4">
            <w:pPr>
              <w:ind w:firstLine="480" w:firstLineChars="200"/>
              <w:rPr>
                <w:rFonts w:hint="default" w:ascii="Times New Roman" w:hAnsi="Times New Roman" w:cs="Times New Roman"/>
                <w:color w:val="auto"/>
                <w:szCs w:val="24"/>
                <w:lang w:val="en-US" w:eastAsia="zh-CN"/>
              </w:rPr>
            </w:pPr>
          </w:p>
          <w:p w14:paraId="131B22DC">
            <w:pPr>
              <w:ind w:firstLine="480" w:firstLineChars="200"/>
              <w:rPr>
                <w:rFonts w:hint="default" w:ascii="Times New Roman" w:hAnsi="Times New Roman" w:cs="Times New Roman"/>
                <w:color w:val="auto"/>
                <w:szCs w:val="24"/>
                <w:lang w:val="en-US" w:eastAsia="zh-CN"/>
              </w:rPr>
            </w:pPr>
          </w:p>
          <w:p w14:paraId="5A68677B">
            <w:pPr>
              <w:ind w:firstLine="480" w:firstLineChars="200"/>
              <w:rPr>
                <w:rFonts w:hint="default" w:ascii="Times New Roman" w:hAnsi="Times New Roman" w:cs="Times New Roman"/>
                <w:color w:val="auto"/>
                <w:szCs w:val="24"/>
              </w:rPr>
            </w:pPr>
          </w:p>
          <w:p w14:paraId="6526F7C3">
            <w:pPr>
              <w:ind w:firstLine="480" w:firstLineChars="200"/>
              <w:rPr>
                <w:rFonts w:hint="default" w:ascii="Times New Roman" w:hAnsi="Times New Roman" w:cs="Times New Roman"/>
                <w:color w:val="auto"/>
                <w:szCs w:val="24"/>
              </w:rPr>
            </w:pPr>
          </w:p>
          <w:p w14:paraId="5F59184D">
            <w:pPr>
              <w:ind w:firstLine="480" w:firstLineChars="200"/>
              <w:rPr>
                <w:rFonts w:hint="default" w:ascii="Times New Roman" w:hAnsi="Times New Roman" w:cs="Times New Roman"/>
                <w:color w:val="auto"/>
                <w:szCs w:val="24"/>
                <w:lang w:eastAsia="zh-CN"/>
              </w:rPr>
            </w:pPr>
          </w:p>
          <w:p w14:paraId="67EE0F77">
            <w:pPr>
              <w:ind w:firstLine="480" w:firstLineChars="200"/>
              <w:rPr>
                <w:rFonts w:hint="default" w:ascii="Times New Roman" w:hAnsi="Times New Roman" w:cs="Times New Roman"/>
                <w:color w:val="auto"/>
                <w:szCs w:val="24"/>
                <w:lang w:eastAsia="zh-CN"/>
              </w:rPr>
            </w:pPr>
          </w:p>
          <w:p w14:paraId="7A3C7744">
            <w:pPr>
              <w:ind w:firstLine="480" w:firstLineChars="200"/>
              <w:rPr>
                <w:rFonts w:hint="default" w:ascii="Times New Roman" w:hAnsi="Times New Roman" w:cs="Times New Roman"/>
                <w:color w:val="auto"/>
                <w:szCs w:val="24"/>
                <w:lang w:eastAsia="zh-CN"/>
              </w:rPr>
            </w:pPr>
          </w:p>
          <w:p w14:paraId="4003EA13">
            <w:pPr>
              <w:ind w:firstLine="480" w:firstLineChars="200"/>
              <w:rPr>
                <w:rFonts w:hint="default" w:ascii="Times New Roman" w:hAnsi="Times New Roman" w:cs="Times New Roman"/>
                <w:color w:val="auto"/>
                <w:szCs w:val="24"/>
                <w:lang w:eastAsia="zh-CN"/>
              </w:rPr>
            </w:pPr>
          </w:p>
          <w:p w14:paraId="053C7A3F">
            <w:pPr>
              <w:ind w:firstLine="480" w:firstLineChars="200"/>
              <w:rPr>
                <w:rFonts w:hint="default" w:ascii="Times New Roman" w:hAnsi="Times New Roman" w:cs="Times New Roman"/>
                <w:color w:val="auto"/>
                <w:szCs w:val="24"/>
                <w:lang w:eastAsia="zh-CN"/>
              </w:rPr>
            </w:pPr>
          </w:p>
          <w:p w14:paraId="0BC0CF18">
            <w:pPr>
              <w:ind w:firstLine="480" w:firstLineChars="200"/>
              <w:rPr>
                <w:rFonts w:hint="default" w:ascii="Times New Roman" w:hAnsi="Times New Roman" w:cs="Times New Roman"/>
                <w:color w:val="auto"/>
                <w:szCs w:val="24"/>
                <w:lang w:eastAsia="zh-CN"/>
              </w:rPr>
            </w:pPr>
          </w:p>
          <w:p w14:paraId="1FE57BFB">
            <w:pPr>
              <w:ind w:firstLine="480" w:firstLineChars="200"/>
              <w:rPr>
                <w:rFonts w:hint="default" w:ascii="Times New Roman" w:hAnsi="Times New Roman" w:cs="Times New Roman"/>
                <w:color w:val="auto"/>
                <w:szCs w:val="24"/>
                <w:lang w:eastAsia="zh-CN"/>
              </w:rPr>
            </w:pPr>
          </w:p>
          <w:p w14:paraId="111864A8">
            <w:pPr>
              <w:ind w:firstLine="480" w:firstLineChars="200"/>
              <w:rPr>
                <w:rFonts w:hint="default" w:ascii="Times New Roman" w:hAnsi="Times New Roman" w:cs="Times New Roman"/>
                <w:color w:val="auto"/>
                <w:szCs w:val="24"/>
                <w:lang w:eastAsia="zh-CN"/>
              </w:rPr>
            </w:pPr>
          </w:p>
          <w:p w14:paraId="0C4DA9C5">
            <w:pPr>
              <w:ind w:firstLine="480" w:firstLineChars="200"/>
              <w:rPr>
                <w:rFonts w:hint="default" w:ascii="Times New Roman" w:hAnsi="Times New Roman" w:cs="Times New Roman"/>
                <w:color w:val="auto"/>
                <w:szCs w:val="24"/>
                <w:lang w:eastAsia="zh-CN"/>
              </w:rPr>
            </w:pPr>
          </w:p>
          <w:p w14:paraId="4B53D96F">
            <w:pPr>
              <w:ind w:firstLine="480" w:firstLineChars="200"/>
              <w:rPr>
                <w:rFonts w:hint="default" w:ascii="Times New Roman" w:hAnsi="Times New Roman" w:cs="Times New Roman"/>
                <w:color w:val="auto"/>
                <w:szCs w:val="24"/>
                <w:lang w:eastAsia="zh-CN"/>
              </w:rPr>
            </w:pPr>
          </w:p>
          <w:p w14:paraId="70C6C087">
            <w:pPr>
              <w:ind w:firstLine="480" w:firstLineChars="200"/>
              <w:rPr>
                <w:rFonts w:hint="default" w:ascii="Times New Roman" w:hAnsi="Times New Roman" w:cs="Times New Roman"/>
                <w:color w:val="auto"/>
                <w:szCs w:val="24"/>
                <w:lang w:eastAsia="zh-CN"/>
              </w:rPr>
            </w:pPr>
          </w:p>
          <w:p w14:paraId="3EB1AD99">
            <w:pPr>
              <w:ind w:firstLine="480" w:firstLineChars="200"/>
              <w:rPr>
                <w:rFonts w:hint="default" w:ascii="Times New Roman" w:hAnsi="Times New Roman" w:cs="Times New Roman"/>
                <w:color w:val="auto"/>
                <w:szCs w:val="24"/>
                <w:lang w:eastAsia="zh-CN"/>
              </w:rPr>
            </w:pPr>
          </w:p>
          <w:p w14:paraId="152EAA47">
            <w:pPr>
              <w:ind w:firstLine="480" w:firstLineChars="200"/>
              <w:rPr>
                <w:rFonts w:hint="default" w:ascii="Times New Roman" w:hAnsi="Times New Roman" w:cs="Times New Roman"/>
                <w:color w:val="auto"/>
                <w:szCs w:val="24"/>
                <w:lang w:eastAsia="zh-CN"/>
              </w:rPr>
            </w:pPr>
          </w:p>
          <w:p w14:paraId="556C847A">
            <w:pPr>
              <w:rPr>
                <w:rFonts w:hint="default" w:ascii="Times New Roman" w:hAnsi="Times New Roman" w:cs="Times New Roman"/>
                <w:color w:val="auto"/>
              </w:rPr>
            </w:pPr>
          </w:p>
        </w:tc>
      </w:tr>
    </w:tbl>
    <w:p w14:paraId="7018F2F4">
      <w:pPr>
        <w:pStyle w:val="3"/>
        <w:bidi w:val="0"/>
        <w:rPr>
          <w:rFonts w:hint="default" w:ascii="Times New Roman" w:hAnsi="Times New Roman" w:cs="Times New Roman"/>
          <w:b/>
          <w:bCs/>
          <w:color w:val="auto"/>
          <w:sz w:val="30"/>
          <w:szCs w:val="30"/>
        </w:rPr>
      </w:pPr>
      <w:r>
        <w:rPr>
          <w:rFonts w:hint="default" w:ascii="Times New Roman" w:hAnsi="Times New Roman" w:cs="Times New Roman"/>
          <w:snapToGrid w:val="0"/>
          <w:color w:val="auto"/>
          <w:sz w:val="36"/>
          <w:szCs w:val="36"/>
        </w:rPr>
        <w:br w:type="page"/>
      </w:r>
      <w:r>
        <w:rPr>
          <w:rFonts w:hint="default" w:ascii="Times New Roman" w:hAnsi="Times New Roman" w:cs="Times New Roman"/>
          <w:color w:val="auto"/>
        </w:rPr>
        <w:t>四、主要环境影响和保护措施</w:t>
      </w:r>
    </w:p>
    <w:tbl>
      <w:tblPr>
        <w:tblStyle w:val="31"/>
        <w:tblW w:w="89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8107"/>
      </w:tblGrid>
      <w:tr w14:paraId="742FD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08" w:hRule="atLeast"/>
          <w:jc w:val="center"/>
        </w:trPr>
        <w:tc>
          <w:tcPr>
            <w:tcW w:w="874" w:type="dxa"/>
            <w:noWrap w:val="0"/>
            <w:tcMar>
              <w:left w:w="28" w:type="dxa"/>
              <w:right w:w="28" w:type="dxa"/>
            </w:tcMar>
            <w:vAlign w:val="center"/>
          </w:tcPr>
          <w:p w14:paraId="31AB7B58">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施工</w:t>
            </w:r>
          </w:p>
          <w:p w14:paraId="1143343A">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期环</w:t>
            </w:r>
          </w:p>
          <w:p w14:paraId="4832B88A">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境保</w:t>
            </w:r>
          </w:p>
          <w:p w14:paraId="6B836562">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护措</w:t>
            </w:r>
          </w:p>
          <w:p w14:paraId="64CEBCB5">
            <w:pPr>
              <w:pStyle w:val="25"/>
              <w:adjustRightInd w:val="0"/>
              <w:snapToGrid w:val="0"/>
              <w:spacing w:before="0" w:beforeAutospacing="0" w:after="0" w:afterAutospacing="0"/>
              <w:jc w:val="center"/>
              <w:rPr>
                <w:rFonts w:hint="default" w:ascii="Times New Roman" w:hAnsi="Times New Roman" w:cs="Times New Roman"/>
                <w:bCs/>
                <w:color w:val="auto"/>
                <w:kern w:val="2"/>
                <w:szCs w:val="24"/>
                <w:lang w:val="en-US" w:eastAsia="zh-CN"/>
              </w:rPr>
            </w:pPr>
            <w:r>
              <w:rPr>
                <w:rFonts w:hint="default" w:ascii="Times New Roman" w:hAnsi="Times New Roman" w:cs="Times New Roman"/>
                <w:color w:val="auto"/>
                <w:kern w:val="2"/>
                <w:szCs w:val="24"/>
                <w:lang w:val="en-US" w:eastAsia="zh-CN"/>
              </w:rPr>
              <w:t>施</w:t>
            </w:r>
          </w:p>
        </w:tc>
        <w:tc>
          <w:tcPr>
            <w:tcW w:w="8107" w:type="dxa"/>
            <w:noWrap w:val="0"/>
            <w:vAlign w:val="center"/>
          </w:tcPr>
          <w:p w14:paraId="68371031">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32"/>
                <w:lang w:val="en-US" w:eastAsia="zh-CN"/>
              </w:rPr>
            </w:pPr>
            <w:r>
              <w:rPr>
                <w:rFonts w:hint="eastAsia" w:ascii="Times New Roman"/>
                <w:color w:val="auto"/>
                <w:sz w:val="24"/>
                <w:szCs w:val="32"/>
              </w:rPr>
              <w:t>本项目</w:t>
            </w:r>
            <w:r>
              <w:rPr>
                <w:rFonts w:hint="eastAsia" w:ascii="Times New Roman"/>
                <w:color w:val="auto"/>
                <w:sz w:val="24"/>
                <w:szCs w:val="32"/>
                <w:lang w:val="en-US" w:eastAsia="zh-CN"/>
              </w:rPr>
              <w:t>依托现有厂房车间进行建设</w:t>
            </w:r>
            <w:r>
              <w:rPr>
                <w:rFonts w:hint="eastAsia"/>
                <w:color w:val="auto"/>
                <w:sz w:val="24"/>
                <w:szCs w:val="32"/>
                <w:lang w:val="en-US" w:eastAsia="zh-CN"/>
              </w:rPr>
              <w:t>，施工期无土建作业，主要依托现有生产设施，仅涉及少量新增设备的安装调试，故施工期主要环境影响为设备安装所引发的噪声污染、少量施工人员产生的生活污水和施工产生的施工垃圾。</w:t>
            </w:r>
          </w:p>
          <w:p w14:paraId="07AC44D2">
            <w:pPr>
              <w:keepNext w:val="0"/>
              <w:keepLines w:val="0"/>
              <w:pageBreakBefore w:val="0"/>
              <w:widowControl w:val="0"/>
              <w:tabs>
                <w:tab w:val="left" w:pos="900"/>
              </w:tabs>
              <w:kinsoku/>
              <w:wordWrap/>
              <w:overflowPunct/>
              <w:topLinePunct w:val="0"/>
              <w:autoSpaceDE/>
              <w:autoSpaceDN/>
              <w:bidi w:val="0"/>
              <w:adjustRightInd w:val="0"/>
              <w:snapToGrid/>
              <w:spacing w:line="360" w:lineRule="auto"/>
              <w:ind w:firstLine="480" w:firstLineChars="200"/>
              <w:textAlignment w:val="auto"/>
              <w:rPr>
                <w:rFonts w:hint="eastAsia"/>
                <w:color w:val="auto"/>
                <w:sz w:val="24"/>
                <w:szCs w:val="32"/>
                <w:lang w:val="en-US" w:eastAsia="zh-CN"/>
              </w:rPr>
            </w:pPr>
            <w:r>
              <w:rPr>
                <w:rFonts w:hint="eastAsia"/>
                <w:color w:val="auto"/>
                <w:sz w:val="24"/>
                <w:szCs w:val="32"/>
                <w:lang w:val="en-US" w:eastAsia="zh-CN"/>
              </w:rPr>
              <w:t>施工过程采用低噪声设备，通过隔音措施，并经过厂界距离衰减，对周围环境影响不大。且该项目工程较小，施工期较短，随着施工的结束，对周围声环境影响也会随之消失。</w:t>
            </w:r>
          </w:p>
          <w:p w14:paraId="5DE78CE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auto"/>
                <w:lang w:eastAsia="zh-CN"/>
              </w:rPr>
            </w:pPr>
            <w:r>
              <w:rPr>
                <w:rFonts w:hint="eastAsia"/>
                <w:color w:val="auto"/>
                <w:sz w:val="24"/>
                <w:szCs w:val="32"/>
                <w:lang w:val="en-US" w:eastAsia="zh-CN"/>
              </w:rPr>
              <w:t>施工人员产生的生活污水依托厂区现有</w:t>
            </w:r>
            <w:r>
              <w:rPr>
                <w:rFonts w:hint="default" w:ascii="Times New Roman" w:hAnsi="Times New Roman" w:cs="Times New Roman"/>
                <w:color w:val="auto"/>
                <w:lang w:val="en-US" w:eastAsia="zh-CN"/>
              </w:rPr>
              <w:t>经地埋式污水处理设施</w:t>
            </w:r>
            <w:r>
              <w:rPr>
                <w:rFonts w:hint="eastAsia" w:ascii="Times New Roman" w:hAnsi="Times New Roman" w:cs="Times New Roman"/>
                <w:color w:val="auto"/>
                <w:lang w:val="en-US" w:eastAsia="zh-CN"/>
              </w:rPr>
              <w:t>处理后用于厂区绿化及道路洒水等</w:t>
            </w:r>
            <w:r>
              <w:rPr>
                <w:rFonts w:hint="eastAsia"/>
                <w:color w:val="auto"/>
                <w:sz w:val="24"/>
                <w:szCs w:val="32"/>
                <w:lang w:val="en-US" w:eastAsia="zh-CN"/>
              </w:rPr>
              <w:t>。施工垃圾主要是废弃包装材料、金属塑料边角料等，由施工方收集后外售物资回收部门</w:t>
            </w:r>
            <w:r>
              <w:rPr>
                <w:rFonts w:hint="default" w:ascii="Times New Roman" w:hAnsi="Times New Roman" w:cs="Times New Roman"/>
                <w:color w:val="auto"/>
              </w:rPr>
              <w:t>。</w:t>
            </w:r>
          </w:p>
        </w:tc>
      </w:tr>
      <w:tr w14:paraId="784D2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9" w:hRule="atLeast"/>
          <w:jc w:val="center"/>
        </w:trPr>
        <w:tc>
          <w:tcPr>
            <w:tcW w:w="874" w:type="dxa"/>
            <w:noWrap w:val="0"/>
            <w:tcMar>
              <w:left w:w="28" w:type="dxa"/>
              <w:right w:w="28" w:type="dxa"/>
            </w:tcMar>
            <w:vAlign w:val="center"/>
          </w:tcPr>
          <w:p w14:paraId="4E2B1621">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运营</w:t>
            </w:r>
          </w:p>
          <w:p w14:paraId="5E6E3DD9">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期环</w:t>
            </w:r>
          </w:p>
          <w:p w14:paraId="28EC4A94">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境影</w:t>
            </w:r>
          </w:p>
          <w:p w14:paraId="34B7C10F">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响和</w:t>
            </w:r>
          </w:p>
          <w:p w14:paraId="79DCDB9B">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保护</w:t>
            </w:r>
          </w:p>
          <w:p w14:paraId="6AF82355">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措施</w:t>
            </w:r>
          </w:p>
        </w:tc>
        <w:tc>
          <w:tcPr>
            <w:tcW w:w="8107" w:type="dxa"/>
            <w:noWrap w:val="0"/>
            <w:vAlign w:val="top"/>
          </w:tcPr>
          <w:p w14:paraId="6701C595">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一、废气</w:t>
            </w:r>
          </w:p>
          <w:p w14:paraId="12E18277">
            <w:pPr>
              <w:pageBreakBefore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0"/>
                <w:szCs w:val="24"/>
                <w:highlight w:val="none"/>
                <w:lang w:val="en-US" w:eastAsia="zh-CN"/>
              </w:rPr>
              <w:t>根据《建设项目环境影响报告表编制技术指南（污染影响类）》，本项目属于排放废气含有毒有害污染物、二噁英且厂界外500米范围内有环境空气保护目标的建设项目，需开展大气环境专项评价</w:t>
            </w:r>
            <w:r>
              <w:rPr>
                <w:rFonts w:hint="default" w:ascii="Times New Roman" w:hAnsi="Times New Roman" w:cs="Times New Roman"/>
                <w:color w:val="auto"/>
                <w:highlight w:val="none"/>
                <w:lang w:val="en-US" w:eastAsia="zh-CN"/>
              </w:rPr>
              <w:t>。</w:t>
            </w:r>
          </w:p>
          <w:p w14:paraId="07E6FCFA">
            <w:pPr>
              <w:bidi w:val="0"/>
              <w:ind w:firstLine="480" w:firstLineChars="200"/>
              <w:rPr>
                <w:rFonts w:hint="default" w:ascii="Times New Roman" w:hAnsi="Times New Roman" w:cs="Times New Roman"/>
                <w:color w:val="auto"/>
                <w:lang w:val="en-US" w:eastAsia="zh-CN"/>
              </w:rPr>
            </w:pPr>
            <w:r>
              <w:rPr>
                <w:rFonts w:hint="eastAsia" w:cs="Times New Roman"/>
                <w:color w:val="auto"/>
                <w:lang w:val="en-US" w:eastAsia="zh-CN"/>
              </w:rPr>
              <w:t>根据</w:t>
            </w:r>
            <w:r>
              <w:rPr>
                <w:rFonts w:hint="default" w:ascii="Times New Roman" w:hAnsi="Times New Roman" w:cs="Times New Roman"/>
                <w:color w:val="auto"/>
                <w:kern w:val="0"/>
                <w:szCs w:val="24"/>
                <w:highlight w:val="none"/>
                <w:lang w:val="en-US" w:eastAsia="zh-CN"/>
              </w:rPr>
              <w:t>大气环境专项评价</w:t>
            </w:r>
            <w:r>
              <w:rPr>
                <w:rFonts w:hint="eastAsia" w:ascii="Times New Roman" w:hAnsi="Times New Roman" w:cs="Times New Roman"/>
                <w:color w:val="auto"/>
                <w:kern w:val="0"/>
                <w:szCs w:val="24"/>
                <w:highlight w:val="none"/>
                <w:lang w:val="en-US" w:eastAsia="zh-CN"/>
              </w:rPr>
              <w:t>报告，</w:t>
            </w:r>
            <w:r>
              <w:rPr>
                <w:rFonts w:hint="default" w:ascii="Times New Roman" w:hAnsi="Times New Roman" w:eastAsia="宋体" w:cs="Times New Roman"/>
                <w:caps w:val="0"/>
                <w:smallCaps w:val="0"/>
                <w:color w:val="auto"/>
                <w:sz w:val="24"/>
              </w:rPr>
              <w:t>由估算模式计算结果可知</w:t>
            </w:r>
            <w:r>
              <w:rPr>
                <w:rFonts w:hint="eastAsia" w:ascii="Times New Roman" w:hAnsi="Times New Roman" w:cs="Times New Roman"/>
                <w:caps w:val="0"/>
                <w:smallCaps w:val="0"/>
                <w:color w:val="auto"/>
                <w:sz w:val="24"/>
                <w:lang w:val="en-US" w:eastAsia="zh-CN"/>
              </w:rPr>
              <w:t>项目</w:t>
            </w:r>
            <w:r>
              <w:rPr>
                <w:rFonts w:hint="default" w:ascii="Times New Roman" w:hAnsi="Times New Roman" w:eastAsia="宋体" w:cs="Times New Roman"/>
                <w:caps w:val="0"/>
                <w:smallCaps w:val="0"/>
                <w:color w:val="auto"/>
                <w:sz w:val="24"/>
                <w:lang w:val="en-US" w:eastAsia="zh-CN"/>
              </w:rPr>
              <w:t>各污染源评价因子占标率</w:t>
            </w:r>
            <w:r>
              <w:rPr>
                <w:rFonts w:hint="default" w:ascii="Times New Roman" w:hAnsi="Times New Roman" w:eastAsia="宋体" w:cs="Times New Roman"/>
                <w:caps w:val="0"/>
                <w:smallCaps w:val="0"/>
                <w:color w:val="auto"/>
                <w:sz w:val="24"/>
              </w:rPr>
              <w:t>1％</w:t>
            </w:r>
            <w:r>
              <w:rPr>
                <w:rFonts w:hint="eastAsia" w:ascii="Times New Roman" w:hAnsi="Times New Roman" w:eastAsia="宋体" w:cs="Times New Roman"/>
                <w:caps w:val="0"/>
                <w:smallCaps w:val="0"/>
                <w:color w:val="auto"/>
                <w:sz w:val="24"/>
                <w:lang w:val="en-US" w:eastAsia="zh-CN"/>
              </w:rPr>
              <w:t>＜</w:t>
            </w:r>
            <w:r>
              <w:rPr>
                <w:rFonts w:hint="default" w:ascii="Times New Roman" w:hAnsi="Times New Roman" w:eastAsia="宋体" w:cs="Times New Roman"/>
                <w:caps w:val="0"/>
                <w:smallCaps w:val="0"/>
                <w:color w:val="auto"/>
                <w:sz w:val="24"/>
              </w:rPr>
              <w:t>P</w:t>
            </w:r>
            <w:r>
              <w:rPr>
                <w:rFonts w:hint="default" w:ascii="Times New Roman" w:hAnsi="Times New Roman" w:eastAsia="宋体" w:cs="Times New Roman"/>
                <w:caps w:val="0"/>
                <w:smallCaps w:val="0"/>
                <w:color w:val="auto"/>
                <w:sz w:val="24"/>
                <w:vertAlign w:val="subscript"/>
              </w:rPr>
              <w:t>max</w:t>
            </w:r>
            <w:r>
              <w:rPr>
                <w:rFonts w:hint="default" w:ascii="Times New Roman" w:hAnsi="Times New Roman" w:eastAsia="宋体" w:cs="Times New Roman"/>
                <w:caps w:val="0"/>
                <w:smallCaps w:val="0"/>
                <w:color w:val="auto"/>
                <w:sz w:val="24"/>
              </w:rPr>
              <w:t>＜1</w:t>
            </w:r>
            <w:r>
              <w:rPr>
                <w:rFonts w:hint="eastAsia" w:ascii="Times New Roman" w:hAnsi="Times New Roman" w:eastAsia="宋体" w:cs="Times New Roman"/>
                <w:caps w:val="0"/>
                <w:smallCaps w:val="0"/>
                <w:color w:val="auto"/>
                <w:sz w:val="24"/>
                <w:lang w:val="en-US" w:eastAsia="zh-CN"/>
              </w:rPr>
              <w:t>0</w:t>
            </w:r>
            <w:r>
              <w:rPr>
                <w:rFonts w:hint="default" w:ascii="Times New Roman" w:hAnsi="Times New Roman" w:eastAsia="宋体" w:cs="Times New Roman"/>
                <w:caps w:val="0"/>
                <w:smallCaps w:val="0"/>
                <w:color w:val="auto"/>
                <w:sz w:val="24"/>
              </w:rPr>
              <w:t>％</w:t>
            </w:r>
            <w:r>
              <w:rPr>
                <w:rFonts w:hint="default" w:ascii="Times New Roman" w:hAnsi="Times New Roman" w:eastAsia="宋体" w:cs="Times New Roman"/>
                <w:caps w:val="0"/>
                <w:smallCaps w:val="0"/>
                <w:color w:val="auto"/>
                <w:sz w:val="24"/>
                <w:lang w:eastAsia="zh-CN"/>
              </w:rPr>
              <w:t>，</w:t>
            </w:r>
            <w:r>
              <w:rPr>
                <w:rFonts w:hint="default" w:ascii="Times New Roman" w:hAnsi="Times New Roman" w:eastAsia="宋体" w:cs="Times New Roman"/>
                <w:caps w:val="0"/>
                <w:smallCaps w:val="0"/>
                <w:color w:val="auto"/>
                <w:sz w:val="24"/>
                <w:lang w:val="en-US" w:eastAsia="zh-CN"/>
              </w:rPr>
              <w:t>大气环境评价等级为</w:t>
            </w:r>
            <w:r>
              <w:rPr>
                <w:rFonts w:hint="eastAsia" w:ascii="Times New Roman" w:hAnsi="Times New Roman" w:eastAsia="宋体" w:cs="Times New Roman"/>
                <w:caps w:val="0"/>
                <w:smallCaps w:val="0"/>
                <w:color w:val="auto"/>
                <w:sz w:val="24"/>
                <w:lang w:val="en-US" w:eastAsia="zh-CN"/>
              </w:rPr>
              <w:t>二</w:t>
            </w:r>
            <w:r>
              <w:rPr>
                <w:rFonts w:hint="default" w:ascii="Times New Roman" w:hAnsi="Times New Roman" w:eastAsia="宋体" w:cs="Times New Roman"/>
                <w:caps w:val="0"/>
                <w:smallCaps w:val="0"/>
                <w:color w:val="auto"/>
                <w:sz w:val="24"/>
                <w:lang w:val="en-US" w:eastAsia="zh-CN"/>
              </w:rPr>
              <w:t>级，项目运行后，废气能够达标排放，采取的污染防治措施属于可行技术，对区域大气环境影响较小</w:t>
            </w:r>
            <w:r>
              <w:rPr>
                <w:rFonts w:hint="eastAsia" w:cs="Times New Roman"/>
                <w:color w:val="auto"/>
                <w:lang w:val="en-US" w:eastAsia="zh-CN"/>
              </w:rPr>
              <w:t>。</w:t>
            </w:r>
          </w:p>
          <w:p w14:paraId="4B05A8D2">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具体见</w:t>
            </w:r>
            <w:r>
              <w:rPr>
                <w:rFonts w:hint="default" w:ascii="Times New Roman" w:hAnsi="Times New Roman" w:cs="Times New Roman"/>
                <w:color w:val="auto"/>
                <w:kern w:val="0"/>
                <w:szCs w:val="24"/>
                <w:highlight w:val="none"/>
                <w:lang w:val="en-US" w:eastAsia="zh-CN"/>
              </w:rPr>
              <w:t>大气环境专项评价</w:t>
            </w:r>
            <w:r>
              <w:rPr>
                <w:rFonts w:hint="eastAsia" w:ascii="Times New Roman" w:hAnsi="Times New Roman" w:cs="Times New Roman"/>
                <w:color w:val="auto"/>
                <w:kern w:val="0"/>
                <w:szCs w:val="24"/>
                <w:highlight w:val="none"/>
                <w:lang w:val="en-US" w:eastAsia="zh-CN"/>
              </w:rPr>
              <w:t>报告。</w:t>
            </w:r>
          </w:p>
          <w:p w14:paraId="7DD7436E">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二、废水</w:t>
            </w:r>
          </w:p>
          <w:p w14:paraId="6C5507CD">
            <w:pPr>
              <w:bidi w:val="0"/>
              <w:ind w:firstLine="480" w:firstLineChars="200"/>
              <w:rPr>
                <w:rFonts w:hint="default" w:ascii="Times New Roman" w:hAnsi="Times New Roman" w:cs="Times New Roman"/>
                <w:color w:val="auto"/>
                <w:lang w:val="en-US"/>
              </w:rPr>
            </w:pPr>
            <w:r>
              <w:rPr>
                <w:rFonts w:hint="default" w:ascii="Times New Roman" w:hAnsi="Times New Roman" w:cs="Times New Roman"/>
                <w:color w:val="auto"/>
                <w:lang w:val="en-US" w:eastAsia="zh-CN"/>
              </w:rPr>
              <w:t>项目无</w:t>
            </w:r>
            <w:r>
              <w:rPr>
                <w:rFonts w:hint="eastAsia" w:cs="Times New Roman"/>
                <w:color w:val="auto"/>
                <w:lang w:val="en-US" w:eastAsia="zh-CN"/>
              </w:rPr>
              <w:t>新增</w:t>
            </w:r>
            <w:r>
              <w:rPr>
                <w:rFonts w:hint="default" w:ascii="Times New Roman" w:hAnsi="Times New Roman" w:cs="Times New Roman"/>
                <w:color w:val="auto"/>
                <w:lang w:val="en-US" w:eastAsia="zh-CN"/>
              </w:rPr>
              <w:t>废水产生。</w:t>
            </w:r>
          </w:p>
          <w:p w14:paraId="39C58B4A">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三、噪声</w:t>
            </w:r>
          </w:p>
          <w:p w14:paraId="782FAC04">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1、</w:t>
            </w:r>
            <w:r>
              <w:rPr>
                <w:rFonts w:hint="eastAsia" w:ascii="Times New Roman" w:hAnsi="Times New Roman" w:eastAsia="宋体" w:cs="Times New Roman"/>
                <w:b/>
                <w:bCs w:val="0"/>
                <w:color w:val="auto"/>
                <w:lang w:val="en-US" w:eastAsia="zh-CN"/>
              </w:rPr>
              <w:t>源强</w:t>
            </w:r>
            <w:r>
              <w:rPr>
                <w:rFonts w:hint="default" w:ascii="Times New Roman" w:hAnsi="Times New Roman" w:eastAsia="宋体" w:cs="Times New Roman"/>
                <w:b/>
                <w:bCs w:val="0"/>
                <w:color w:val="auto"/>
              </w:rPr>
              <w:t>分析</w:t>
            </w:r>
          </w:p>
          <w:p w14:paraId="44BCD93C">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szCs w:val="24"/>
              </w:rPr>
              <w:t>项目</w:t>
            </w:r>
            <w:r>
              <w:rPr>
                <w:rFonts w:hint="eastAsia" w:cs="Times New Roman"/>
                <w:color w:val="auto"/>
                <w:szCs w:val="24"/>
                <w:lang w:val="en-US" w:eastAsia="zh-CN"/>
              </w:rPr>
              <w:t>新增噪声源为新增替代燃料气体输送投加系统生产设备罗茨风机、喂料铰刀、封料泵等产生的设备噪声，项目主要噪声源识别见表4-1</w:t>
            </w:r>
            <w:r>
              <w:rPr>
                <w:rFonts w:hint="default" w:ascii="Times New Roman" w:hAnsi="Times New Roman" w:cs="Times New Roman"/>
                <w:color w:val="auto"/>
              </w:rPr>
              <w:t>。</w:t>
            </w:r>
          </w:p>
          <w:p w14:paraId="0F537877">
            <w:pPr>
              <w:rPr>
                <w:rFonts w:hint="default" w:ascii="Times New Roman" w:hAnsi="Times New Roman" w:eastAsia="宋体" w:cs="Times New Roman"/>
                <w:color w:val="auto"/>
                <w:lang w:eastAsia="zh-CN"/>
              </w:rPr>
            </w:pPr>
          </w:p>
        </w:tc>
      </w:tr>
    </w:tbl>
    <w:p w14:paraId="35B15F89">
      <w:pPr>
        <w:rPr>
          <w:rFonts w:hint="default" w:ascii="Times New Roman" w:hAnsi="Times New Roman"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60D2A674">
      <w:pPr>
        <w:pStyle w:val="44"/>
        <w:bidi w:val="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w:t>
      </w:r>
      <w:r>
        <w:rPr>
          <w:rFonts w:hint="default" w:ascii="Times New Roman" w:hAnsi="Times New Roman" w:eastAsia="宋体" w:cs="Times New Roman"/>
          <w:b/>
          <w:bCs w:val="0"/>
          <w:color w:val="auto"/>
          <w:lang w:val="en-US" w:eastAsia="zh-CN"/>
        </w:rPr>
        <w:t>4-</w:t>
      </w:r>
      <w:r>
        <w:rPr>
          <w:rFonts w:hint="eastAsia" w:eastAsia="宋体" w:cs="Times New Roman"/>
          <w:b/>
          <w:bCs w:val="0"/>
          <w:color w:val="auto"/>
          <w:lang w:val="en-US" w:eastAsia="zh-CN"/>
        </w:rPr>
        <w:t>1</w:t>
      </w:r>
      <w:r>
        <w:rPr>
          <w:rFonts w:hint="default"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lang w:eastAsia="zh-CN"/>
        </w:rPr>
        <w:t>工业企业噪声源强调查清单（室</w:t>
      </w:r>
      <w:r>
        <w:rPr>
          <w:rFonts w:hint="default" w:ascii="Times New Roman" w:hAnsi="Times New Roman" w:eastAsia="宋体" w:cs="Times New Roman"/>
          <w:b/>
          <w:bCs w:val="0"/>
          <w:color w:val="auto"/>
          <w:lang w:val="en-US" w:eastAsia="zh-CN"/>
        </w:rPr>
        <w:t>内</w:t>
      </w:r>
      <w:r>
        <w:rPr>
          <w:rFonts w:hint="default" w:ascii="Times New Roman" w:hAnsi="Times New Roman" w:eastAsia="宋体" w:cs="Times New Roman"/>
          <w:b/>
          <w:bCs w:val="0"/>
          <w:color w:val="auto"/>
          <w:lang w:eastAsia="zh-CN"/>
        </w:rPr>
        <w:t>声源）</w:t>
      </w:r>
      <w:r>
        <w:rPr>
          <w:rFonts w:hint="default" w:ascii="Times New Roman" w:hAnsi="Times New Roman" w:eastAsia="宋体" w:cs="Times New Roman"/>
          <w:b/>
          <w:bCs w:val="0"/>
          <w:color w:val="auto"/>
        </w:rPr>
        <w:t>单位：dB（A）</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41"/>
        <w:gridCol w:w="1001"/>
        <w:gridCol w:w="694"/>
        <w:gridCol w:w="615"/>
        <w:gridCol w:w="569"/>
        <w:gridCol w:w="546"/>
        <w:gridCol w:w="567"/>
        <w:gridCol w:w="448"/>
        <w:gridCol w:w="495"/>
        <w:gridCol w:w="448"/>
        <w:gridCol w:w="506"/>
        <w:gridCol w:w="440"/>
        <w:gridCol w:w="440"/>
        <w:gridCol w:w="440"/>
        <w:gridCol w:w="474"/>
        <w:gridCol w:w="551"/>
        <w:gridCol w:w="426"/>
        <w:gridCol w:w="426"/>
        <w:gridCol w:w="426"/>
        <w:gridCol w:w="464"/>
        <w:gridCol w:w="448"/>
        <w:gridCol w:w="448"/>
        <w:gridCol w:w="448"/>
        <w:gridCol w:w="448"/>
        <w:gridCol w:w="649"/>
      </w:tblGrid>
      <w:tr w14:paraId="63768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 w:type="pct"/>
            <w:vMerge w:val="restart"/>
            <w:tcBorders>
              <w:tl2br w:val="nil"/>
              <w:tr2bl w:val="nil"/>
            </w:tcBorders>
            <w:noWrap w:val="0"/>
            <w:vAlign w:val="center"/>
          </w:tcPr>
          <w:p w14:paraId="3D327E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28" w:type="pct"/>
            <w:vMerge w:val="restart"/>
            <w:tcBorders>
              <w:tl2br w:val="nil"/>
              <w:tr2bl w:val="nil"/>
            </w:tcBorders>
            <w:noWrap w:val="0"/>
            <w:vAlign w:val="center"/>
          </w:tcPr>
          <w:p w14:paraId="05CFC9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建筑物名称</w:t>
            </w:r>
          </w:p>
        </w:tc>
        <w:tc>
          <w:tcPr>
            <w:tcW w:w="378" w:type="pct"/>
            <w:vMerge w:val="restart"/>
            <w:tcBorders>
              <w:tl2br w:val="nil"/>
              <w:tr2bl w:val="nil"/>
            </w:tcBorders>
            <w:noWrap w:val="0"/>
            <w:vAlign w:val="center"/>
          </w:tcPr>
          <w:p w14:paraId="320BB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声源名称</w:t>
            </w:r>
          </w:p>
        </w:tc>
        <w:tc>
          <w:tcPr>
            <w:tcW w:w="262" w:type="pct"/>
            <w:tcBorders>
              <w:tl2br w:val="nil"/>
              <w:tr2bl w:val="nil"/>
            </w:tcBorders>
            <w:noWrap w:val="0"/>
            <w:vAlign w:val="center"/>
          </w:tcPr>
          <w:p w14:paraId="233BBA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声源源强</w:t>
            </w:r>
          </w:p>
        </w:tc>
        <w:tc>
          <w:tcPr>
            <w:tcW w:w="232" w:type="pct"/>
            <w:vMerge w:val="restart"/>
            <w:tcBorders>
              <w:tl2br w:val="nil"/>
              <w:tr2bl w:val="nil"/>
            </w:tcBorders>
            <w:noWrap w:val="0"/>
            <w:vAlign w:val="center"/>
          </w:tcPr>
          <w:p w14:paraId="5DC2E6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声源控制措施</w:t>
            </w:r>
          </w:p>
        </w:tc>
        <w:tc>
          <w:tcPr>
            <w:tcW w:w="635" w:type="pct"/>
            <w:gridSpan w:val="3"/>
            <w:tcBorders>
              <w:tl2br w:val="nil"/>
              <w:tr2bl w:val="nil"/>
            </w:tcBorders>
            <w:noWrap w:val="0"/>
            <w:vAlign w:val="center"/>
          </w:tcPr>
          <w:p w14:paraId="5C289B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空间相对位置/m</w:t>
            </w:r>
          </w:p>
        </w:tc>
        <w:tc>
          <w:tcPr>
            <w:tcW w:w="717" w:type="pct"/>
            <w:gridSpan w:val="4"/>
            <w:tcBorders>
              <w:tl2br w:val="nil"/>
              <w:tr2bl w:val="nil"/>
            </w:tcBorders>
            <w:noWrap w:val="0"/>
            <w:vAlign w:val="center"/>
          </w:tcPr>
          <w:p w14:paraId="1AC73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距室内边界距离/m</w:t>
            </w:r>
          </w:p>
        </w:tc>
        <w:tc>
          <w:tcPr>
            <w:tcW w:w="678" w:type="pct"/>
            <w:gridSpan w:val="4"/>
            <w:tcBorders>
              <w:tl2br w:val="nil"/>
              <w:tr2bl w:val="nil"/>
            </w:tcBorders>
            <w:noWrap w:val="0"/>
            <w:vAlign w:val="center"/>
          </w:tcPr>
          <w:p w14:paraId="2DB26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室内边界声级/dB(A)</w:t>
            </w:r>
          </w:p>
        </w:tc>
        <w:tc>
          <w:tcPr>
            <w:tcW w:w="208" w:type="pct"/>
            <w:vMerge w:val="restart"/>
            <w:tcBorders>
              <w:tl2br w:val="nil"/>
              <w:tr2bl w:val="nil"/>
            </w:tcBorders>
            <w:noWrap w:val="0"/>
            <w:vAlign w:val="center"/>
          </w:tcPr>
          <w:p w14:paraId="1B17C0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运行时段</w:t>
            </w:r>
            <w:r>
              <w:rPr>
                <w:rFonts w:ascii="Arial" w:hAnsi="Arial" w:eastAsia="Arial" w:cs="Arial"/>
                <w:sz w:val="20"/>
              </w:rPr>
              <w:t>24.0</w:t>
            </w:r>
          </w:p>
        </w:tc>
        <w:tc>
          <w:tcPr>
            <w:tcW w:w="658" w:type="pct"/>
            <w:gridSpan w:val="4"/>
            <w:tcBorders>
              <w:tl2br w:val="nil"/>
              <w:tr2bl w:val="nil"/>
            </w:tcBorders>
            <w:noWrap w:val="0"/>
            <w:vAlign w:val="center"/>
          </w:tcPr>
          <w:p w14:paraId="66435B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建筑物插入损失 / dB(A)</w:t>
            </w:r>
          </w:p>
        </w:tc>
        <w:tc>
          <w:tcPr>
            <w:tcW w:w="922" w:type="pct"/>
            <w:gridSpan w:val="5"/>
            <w:tcBorders>
              <w:tl2br w:val="nil"/>
              <w:tr2bl w:val="nil"/>
            </w:tcBorders>
            <w:noWrap w:val="0"/>
            <w:vAlign w:val="center"/>
          </w:tcPr>
          <w:p w14:paraId="47606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建筑物外噪声声压级/dB(A)</w:t>
            </w:r>
          </w:p>
        </w:tc>
      </w:tr>
      <w:tr w14:paraId="670FC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 w:type="pct"/>
            <w:vMerge w:val="continue"/>
            <w:tcBorders>
              <w:tl2br w:val="nil"/>
              <w:tr2bl w:val="nil"/>
            </w:tcBorders>
            <w:noWrap w:val="0"/>
            <w:tcMar>
              <w:top w:w="0" w:type="dxa"/>
              <w:left w:w="0" w:type="dxa"/>
              <w:bottom w:w="0" w:type="dxa"/>
              <w:right w:w="0" w:type="dxa"/>
            </w:tcMar>
            <w:vAlign w:val="center"/>
          </w:tcPr>
          <w:p w14:paraId="163F5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28" w:type="pct"/>
            <w:vMerge w:val="continue"/>
            <w:tcBorders>
              <w:tl2br w:val="nil"/>
              <w:tr2bl w:val="nil"/>
            </w:tcBorders>
            <w:noWrap w:val="0"/>
            <w:tcMar>
              <w:top w:w="0" w:type="dxa"/>
              <w:left w:w="0" w:type="dxa"/>
              <w:bottom w:w="0" w:type="dxa"/>
              <w:right w:w="0" w:type="dxa"/>
            </w:tcMar>
            <w:vAlign w:val="center"/>
          </w:tcPr>
          <w:p w14:paraId="51FF9A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78" w:type="pct"/>
            <w:vMerge w:val="continue"/>
            <w:tcBorders>
              <w:tl2br w:val="nil"/>
              <w:tr2bl w:val="nil"/>
            </w:tcBorders>
            <w:noWrap w:val="0"/>
            <w:tcMar>
              <w:top w:w="0" w:type="dxa"/>
              <w:left w:w="0" w:type="dxa"/>
              <w:bottom w:w="0" w:type="dxa"/>
              <w:right w:w="0" w:type="dxa"/>
            </w:tcMar>
            <w:vAlign w:val="center"/>
          </w:tcPr>
          <w:p w14:paraId="03E54C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p>
        </w:tc>
        <w:tc>
          <w:tcPr>
            <w:tcW w:w="262" w:type="pct"/>
            <w:tcBorders>
              <w:tl2br w:val="nil"/>
              <w:tr2bl w:val="nil"/>
            </w:tcBorders>
            <w:noWrap w:val="0"/>
            <w:tcMar>
              <w:top w:w="0" w:type="dxa"/>
              <w:left w:w="0" w:type="dxa"/>
              <w:bottom w:w="0" w:type="dxa"/>
              <w:right w:w="0" w:type="dxa"/>
            </w:tcMar>
            <w:vAlign w:val="center"/>
          </w:tcPr>
          <w:p w14:paraId="7667E6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声功率级/dB(A)</w:t>
            </w:r>
          </w:p>
        </w:tc>
        <w:tc>
          <w:tcPr>
            <w:tcW w:w="232" w:type="pct"/>
            <w:vMerge w:val="continue"/>
            <w:tcBorders>
              <w:tl2br w:val="nil"/>
              <w:tr2bl w:val="nil"/>
            </w:tcBorders>
            <w:noWrap w:val="0"/>
            <w:tcMar>
              <w:top w:w="0" w:type="dxa"/>
              <w:left w:w="0" w:type="dxa"/>
              <w:bottom w:w="0" w:type="dxa"/>
              <w:right w:w="0" w:type="dxa"/>
            </w:tcMar>
            <w:vAlign w:val="center"/>
          </w:tcPr>
          <w:p w14:paraId="29257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p>
        </w:tc>
        <w:tc>
          <w:tcPr>
            <w:tcW w:w="215" w:type="pct"/>
            <w:tcBorders>
              <w:tl2br w:val="nil"/>
              <w:tr2bl w:val="nil"/>
            </w:tcBorders>
            <w:noWrap w:val="0"/>
            <w:tcMar>
              <w:top w:w="0" w:type="dxa"/>
              <w:left w:w="0" w:type="dxa"/>
              <w:bottom w:w="0" w:type="dxa"/>
              <w:right w:w="0" w:type="dxa"/>
            </w:tcMar>
            <w:vAlign w:val="center"/>
          </w:tcPr>
          <w:p w14:paraId="01D822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X</w:t>
            </w:r>
          </w:p>
        </w:tc>
        <w:tc>
          <w:tcPr>
            <w:tcW w:w="206" w:type="pct"/>
            <w:tcBorders>
              <w:tl2br w:val="nil"/>
              <w:tr2bl w:val="nil"/>
            </w:tcBorders>
            <w:noWrap w:val="0"/>
            <w:tcMar>
              <w:top w:w="0" w:type="dxa"/>
              <w:left w:w="0" w:type="dxa"/>
              <w:bottom w:w="0" w:type="dxa"/>
              <w:right w:w="0" w:type="dxa"/>
            </w:tcMar>
            <w:vAlign w:val="center"/>
          </w:tcPr>
          <w:p w14:paraId="5AACBD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Y</w:t>
            </w:r>
          </w:p>
        </w:tc>
        <w:tc>
          <w:tcPr>
            <w:tcW w:w="214" w:type="pct"/>
            <w:tcBorders>
              <w:tl2br w:val="nil"/>
              <w:tr2bl w:val="nil"/>
            </w:tcBorders>
            <w:noWrap w:val="0"/>
            <w:tcMar>
              <w:top w:w="0" w:type="dxa"/>
              <w:left w:w="0" w:type="dxa"/>
              <w:bottom w:w="0" w:type="dxa"/>
              <w:right w:w="0" w:type="dxa"/>
            </w:tcMar>
            <w:vAlign w:val="center"/>
          </w:tcPr>
          <w:p w14:paraId="7E9C15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Z</w:t>
            </w:r>
          </w:p>
        </w:tc>
        <w:tc>
          <w:tcPr>
            <w:tcW w:w="169" w:type="pct"/>
            <w:tcBorders>
              <w:tl2br w:val="nil"/>
              <w:tr2bl w:val="nil"/>
            </w:tcBorders>
            <w:noWrap w:val="0"/>
            <w:tcMar>
              <w:top w:w="0" w:type="dxa"/>
              <w:left w:w="0" w:type="dxa"/>
              <w:bottom w:w="0" w:type="dxa"/>
              <w:right w:w="0" w:type="dxa"/>
            </w:tcMar>
            <w:vAlign w:val="center"/>
          </w:tcPr>
          <w:p w14:paraId="735B05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东</w:t>
            </w:r>
          </w:p>
        </w:tc>
        <w:tc>
          <w:tcPr>
            <w:tcW w:w="187" w:type="pct"/>
            <w:tcBorders>
              <w:tl2br w:val="nil"/>
              <w:tr2bl w:val="nil"/>
            </w:tcBorders>
            <w:noWrap w:val="0"/>
            <w:tcMar>
              <w:top w:w="0" w:type="dxa"/>
              <w:left w:w="0" w:type="dxa"/>
              <w:bottom w:w="0" w:type="dxa"/>
              <w:right w:w="0" w:type="dxa"/>
            </w:tcMar>
            <w:vAlign w:val="center"/>
          </w:tcPr>
          <w:p w14:paraId="519B2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南</w:t>
            </w:r>
          </w:p>
        </w:tc>
        <w:tc>
          <w:tcPr>
            <w:tcW w:w="169" w:type="pct"/>
            <w:tcBorders>
              <w:tl2br w:val="nil"/>
              <w:tr2bl w:val="nil"/>
            </w:tcBorders>
            <w:noWrap w:val="0"/>
            <w:tcMar>
              <w:top w:w="0" w:type="dxa"/>
              <w:left w:w="0" w:type="dxa"/>
              <w:bottom w:w="0" w:type="dxa"/>
              <w:right w:w="0" w:type="dxa"/>
            </w:tcMar>
            <w:vAlign w:val="center"/>
          </w:tcPr>
          <w:p w14:paraId="4D85D4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西</w:t>
            </w:r>
          </w:p>
        </w:tc>
        <w:tc>
          <w:tcPr>
            <w:tcW w:w="191" w:type="pct"/>
            <w:tcBorders>
              <w:tl2br w:val="nil"/>
              <w:tr2bl w:val="nil"/>
            </w:tcBorders>
            <w:noWrap w:val="0"/>
            <w:tcMar>
              <w:top w:w="0" w:type="dxa"/>
              <w:left w:w="0" w:type="dxa"/>
              <w:bottom w:w="0" w:type="dxa"/>
              <w:right w:w="0" w:type="dxa"/>
            </w:tcMar>
            <w:vAlign w:val="center"/>
          </w:tcPr>
          <w:p w14:paraId="19D90A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北</w:t>
            </w:r>
          </w:p>
        </w:tc>
        <w:tc>
          <w:tcPr>
            <w:tcW w:w="166" w:type="pct"/>
            <w:tcBorders>
              <w:tl2br w:val="nil"/>
              <w:tr2bl w:val="nil"/>
            </w:tcBorders>
            <w:noWrap w:val="0"/>
            <w:tcMar>
              <w:top w:w="0" w:type="dxa"/>
              <w:left w:w="0" w:type="dxa"/>
              <w:bottom w:w="0" w:type="dxa"/>
              <w:right w:w="0" w:type="dxa"/>
            </w:tcMar>
            <w:vAlign w:val="center"/>
          </w:tcPr>
          <w:p w14:paraId="66452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东</w:t>
            </w:r>
          </w:p>
        </w:tc>
        <w:tc>
          <w:tcPr>
            <w:tcW w:w="166" w:type="pct"/>
            <w:tcBorders>
              <w:tl2br w:val="nil"/>
              <w:tr2bl w:val="nil"/>
            </w:tcBorders>
            <w:noWrap w:val="0"/>
            <w:tcMar>
              <w:top w:w="0" w:type="dxa"/>
              <w:left w:w="0" w:type="dxa"/>
              <w:bottom w:w="0" w:type="dxa"/>
              <w:right w:w="0" w:type="dxa"/>
            </w:tcMar>
            <w:vAlign w:val="center"/>
          </w:tcPr>
          <w:p w14:paraId="73763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南</w:t>
            </w:r>
          </w:p>
        </w:tc>
        <w:tc>
          <w:tcPr>
            <w:tcW w:w="166" w:type="pct"/>
            <w:tcBorders>
              <w:tl2br w:val="nil"/>
              <w:tr2bl w:val="nil"/>
            </w:tcBorders>
            <w:noWrap w:val="0"/>
            <w:tcMar>
              <w:top w:w="0" w:type="dxa"/>
              <w:left w:w="0" w:type="dxa"/>
              <w:bottom w:w="0" w:type="dxa"/>
              <w:right w:w="0" w:type="dxa"/>
            </w:tcMar>
            <w:vAlign w:val="center"/>
          </w:tcPr>
          <w:p w14:paraId="311667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西</w:t>
            </w:r>
          </w:p>
        </w:tc>
        <w:tc>
          <w:tcPr>
            <w:tcW w:w="179" w:type="pct"/>
            <w:tcBorders>
              <w:tl2br w:val="nil"/>
              <w:tr2bl w:val="nil"/>
            </w:tcBorders>
            <w:noWrap w:val="0"/>
            <w:tcMar>
              <w:top w:w="0" w:type="dxa"/>
              <w:left w:w="0" w:type="dxa"/>
              <w:bottom w:w="0" w:type="dxa"/>
              <w:right w:w="0" w:type="dxa"/>
            </w:tcMar>
            <w:vAlign w:val="center"/>
          </w:tcPr>
          <w:p w14:paraId="1B7435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北</w:t>
            </w:r>
          </w:p>
        </w:tc>
        <w:tc>
          <w:tcPr>
            <w:tcW w:w="208" w:type="pct"/>
            <w:vMerge w:val="continue"/>
            <w:tcBorders>
              <w:tl2br w:val="nil"/>
              <w:tr2bl w:val="nil"/>
            </w:tcBorders>
            <w:noWrap w:val="0"/>
            <w:tcMar>
              <w:top w:w="0" w:type="dxa"/>
              <w:left w:w="0" w:type="dxa"/>
              <w:bottom w:w="0" w:type="dxa"/>
              <w:right w:w="0" w:type="dxa"/>
            </w:tcMar>
            <w:vAlign w:val="center"/>
          </w:tcPr>
          <w:p w14:paraId="53FF9F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p>
        </w:tc>
        <w:tc>
          <w:tcPr>
            <w:tcW w:w="161" w:type="pct"/>
            <w:tcBorders>
              <w:tl2br w:val="nil"/>
              <w:tr2bl w:val="nil"/>
            </w:tcBorders>
            <w:noWrap w:val="0"/>
            <w:tcMar>
              <w:top w:w="0" w:type="dxa"/>
              <w:left w:w="0" w:type="dxa"/>
              <w:bottom w:w="0" w:type="dxa"/>
              <w:right w:w="0" w:type="dxa"/>
            </w:tcMar>
            <w:vAlign w:val="center"/>
          </w:tcPr>
          <w:p w14:paraId="0ED878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东</w:t>
            </w:r>
          </w:p>
        </w:tc>
        <w:tc>
          <w:tcPr>
            <w:tcW w:w="161" w:type="pct"/>
            <w:tcBorders>
              <w:tl2br w:val="nil"/>
              <w:tr2bl w:val="nil"/>
            </w:tcBorders>
            <w:noWrap w:val="0"/>
            <w:tcMar>
              <w:top w:w="0" w:type="dxa"/>
              <w:left w:w="0" w:type="dxa"/>
              <w:bottom w:w="0" w:type="dxa"/>
              <w:right w:w="0" w:type="dxa"/>
            </w:tcMar>
            <w:vAlign w:val="center"/>
          </w:tcPr>
          <w:p w14:paraId="02C42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南</w:t>
            </w:r>
          </w:p>
        </w:tc>
        <w:tc>
          <w:tcPr>
            <w:tcW w:w="161" w:type="pct"/>
            <w:tcBorders>
              <w:tl2br w:val="nil"/>
              <w:tr2bl w:val="nil"/>
            </w:tcBorders>
            <w:noWrap w:val="0"/>
            <w:tcMar>
              <w:top w:w="0" w:type="dxa"/>
              <w:left w:w="0" w:type="dxa"/>
              <w:bottom w:w="0" w:type="dxa"/>
              <w:right w:w="0" w:type="dxa"/>
            </w:tcMar>
            <w:vAlign w:val="center"/>
          </w:tcPr>
          <w:p w14:paraId="3929C6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西</w:t>
            </w:r>
          </w:p>
        </w:tc>
        <w:tc>
          <w:tcPr>
            <w:tcW w:w="175" w:type="pct"/>
            <w:tcBorders>
              <w:tl2br w:val="nil"/>
              <w:tr2bl w:val="nil"/>
            </w:tcBorders>
            <w:noWrap w:val="0"/>
            <w:tcMar>
              <w:top w:w="0" w:type="dxa"/>
              <w:left w:w="0" w:type="dxa"/>
              <w:bottom w:w="0" w:type="dxa"/>
              <w:right w:w="0" w:type="dxa"/>
            </w:tcMar>
            <w:vAlign w:val="center"/>
          </w:tcPr>
          <w:p w14:paraId="6AC32C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北</w:t>
            </w:r>
          </w:p>
        </w:tc>
        <w:tc>
          <w:tcPr>
            <w:tcW w:w="169" w:type="pct"/>
            <w:tcBorders>
              <w:tl2br w:val="nil"/>
              <w:tr2bl w:val="nil"/>
            </w:tcBorders>
            <w:noWrap w:val="0"/>
            <w:tcMar>
              <w:top w:w="0" w:type="dxa"/>
              <w:left w:w="0" w:type="dxa"/>
              <w:bottom w:w="0" w:type="dxa"/>
              <w:right w:w="0" w:type="dxa"/>
            </w:tcMar>
            <w:vAlign w:val="center"/>
          </w:tcPr>
          <w:p w14:paraId="4FD530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东</w:t>
            </w:r>
          </w:p>
        </w:tc>
        <w:tc>
          <w:tcPr>
            <w:tcW w:w="169" w:type="pct"/>
            <w:tcBorders>
              <w:tl2br w:val="nil"/>
              <w:tr2bl w:val="nil"/>
            </w:tcBorders>
            <w:noWrap w:val="0"/>
            <w:tcMar>
              <w:top w:w="0" w:type="dxa"/>
              <w:left w:w="0" w:type="dxa"/>
              <w:bottom w:w="0" w:type="dxa"/>
              <w:right w:w="0" w:type="dxa"/>
            </w:tcMar>
            <w:vAlign w:val="center"/>
          </w:tcPr>
          <w:p w14:paraId="2C5BF1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南</w:t>
            </w:r>
          </w:p>
        </w:tc>
        <w:tc>
          <w:tcPr>
            <w:tcW w:w="169" w:type="pct"/>
            <w:tcBorders>
              <w:tl2br w:val="nil"/>
              <w:tr2bl w:val="nil"/>
            </w:tcBorders>
            <w:noWrap w:val="0"/>
            <w:tcMar>
              <w:top w:w="0" w:type="dxa"/>
              <w:left w:w="0" w:type="dxa"/>
              <w:bottom w:w="0" w:type="dxa"/>
              <w:right w:w="0" w:type="dxa"/>
            </w:tcMar>
            <w:vAlign w:val="center"/>
          </w:tcPr>
          <w:p w14:paraId="38F613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西</w:t>
            </w:r>
          </w:p>
        </w:tc>
        <w:tc>
          <w:tcPr>
            <w:tcW w:w="169" w:type="pct"/>
            <w:tcBorders>
              <w:tl2br w:val="nil"/>
              <w:tr2bl w:val="nil"/>
            </w:tcBorders>
            <w:noWrap w:val="0"/>
            <w:tcMar>
              <w:top w:w="0" w:type="dxa"/>
              <w:left w:w="0" w:type="dxa"/>
              <w:bottom w:w="0" w:type="dxa"/>
              <w:right w:w="0" w:type="dxa"/>
            </w:tcMar>
            <w:vAlign w:val="center"/>
          </w:tcPr>
          <w:p w14:paraId="6CBDC0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lang w:val="en-US" w:eastAsia="zh-CN"/>
              </w:rPr>
              <w:t>北</w:t>
            </w:r>
          </w:p>
        </w:tc>
        <w:tc>
          <w:tcPr>
            <w:tcW w:w="245" w:type="pct"/>
            <w:tcBorders>
              <w:tl2br w:val="nil"/>
              <w:tr2bl w:val="nil"/>
            </w:tcBorders>
            <w:noWrap w:val="0"/>
            <w:tcMar>
              <w:top w:w="0" w:type="dxa"/>
              <w:left w:w="0" w:type="dxa"/>
              <w:bottom w:w="0" w:type="dxa"/>
              <w:right w:w="0" w:type="dxa"/>
            </w:tcMar>
            <w:vAlign w:val="center"/>
          </w:tcPr>
          <w:p w14:paraId="650F8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建筑物外距离</w:t>
            </w:r>
          </w:p>
        </w:tc>
      </w:tr>
      <w:tr w14:paraId="790A7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 w:type="pct"/>
            <w:tcBorders>
              <w:tl2br w:val="nil"/>
              <w:tr2bl w:val="nil"/>
            </w:tcBorders>
            <w:noWrap w:val="0"/>
            <w:tcMar>
              <w:top w:w="0" w:type="dxa"/>
              <w:left w:w="0" w:type="dxa"/>
              <w:bottom w:w="0" w:type="dxa"/>
              <w:right w:w="0" w:type="dxa"/>
            </w:tcMar>
            <w:vAlign w:val="center"/>
          </w:tcPr>
          <w:p w14:paraId="4AE6F4F5">
            <w:pPr>
              <w:pStyle w:val="43"/>
              <w:bidi w:val="0"/>
              <w:rPr>
                <w:rFonts w:hint="default" w:ascii="Times New Roman" w:hAnsi="Times New Roman" w:cs="Times New Roman"/>
                <w:color w:val="auto"/>
              </w:rPr>
            </w:pPr>
            <w:r>
              <w:rPr>
                <w:rFonts w:hint="default" w:ascii="Times New Roman" w:hAnsi="Times New Roman" w:cs="Times New Roman"/>
                <w:color w:val="auto"/>
              </w:rPr>
              <w:t>1</w:t>
            </w:r>
          </w:p>
        </w:tc>
        <w:tc>
          <w:tcPr>
            <w:tcW w:w="128" w:type="pct"/>
            <w:vMerge w:val="restart"/>
            <w:tcBorders>
              <w:tl2br w:val="nil"/>
              <w:tr2bl w:val="nil"/>
            </w:tcBorders>
            <w:noWrap w:val="0"/>
            <w:tcMar>
              <w:top w:w="0" w:type="dxa"/>
              <w:left w:w="0" w:type="dxa"/>
              <w:bottom w:w="0" w:type="dxa"/>
              <w:right w:w="0" w:type="dxa"/>
            </w:tcMar>
            <w:vAlign w:val="center"/>
          </w:tcPr>
          <w:p w14:paraId="4AA66120">
            <w:pPr>
              <w:pStyle w:val="43"/>
              <w:bidi w:val="0"/>
              <w:rPr>
                <w:rFonts w:hint="default" w:ascii="Times New Roman" w:hAnsi="Times New Roman" w:cs="Times New Roman"/>
                <w:color w:val="auto"/>
              </w:rPr>
            </w:pPr>
            <w:r>
              <w:rPr>
                <w:rFonts w:hint="default" w:ascii="Times New Roman" w:hAnsi="Times New Roman" w:cs="Times New Roman"/>
                <w:color w:val="auto"/>
              </w:rPr>
              <w:t>固废暂存间II</w:t>
            </w:r>
          </w:p>
        </w:tc>
        <w:tc>
          <w:tcPr>
            <w:tcW w:w="378" w:type="pct"/>
            <w:tcBorders>
              <w:tl2br w:val="nil"/>
              <w:tr2bl w:val="nil"/>
            </w:tcBorders>
            <w:shd w:val="clear" w:color="auto" w:fill="FFFFFF"/>
            <w:noWrap w:val="0"/>
            <w:tcMar>
              <w:top w:w="0" w:type="dxa"/>
              <w:left w:w="0" w:type="dxa"/>
              <w:bottom w:w="0" w:type="dxa"/>
              <w:right w:w="0" w:type="dxa"/>
            </w:tcMar>
            <w:vAlign w:val="center"/>
          </w:tcPr>
          <w:p w14:paraId="6F50F2F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罗茨风机</w:t>
            </w:r>
          </w:p>
        </w:tc>
        <w:tc>
          <w:tcPr>
            <w:tcW w:w="262" w:type="pct"/>
            <w:tcBorders>
              <w:tl2br w:val="nil"/>
              <w:tr2bl w:val="nil"/>
            </w:tcBorders>
            <w:shd w:val="clear" w:color="auto" w:fill="FFFFFF"/>
            <w:noWrap w:val="0"/>
            <w:tcMar>
              <w:top w:w="0" w:type="dxa"/>
              <w:left w:w="0" w:type="dxa"/>
              <w:bottom w:w="0" w:type="dxa"/>
              <w:right w:w="0" w:type="dxa"/>
            </w:tcMar>
            <w:vAlign w:val="center"/>
          </w:tcPr>
          <w:p w14:paraId="5EDB2B41">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80</w:t>
            </w:r>
          </w:p>
        </w:tc>
        <w:tc>
          <w:tcPr>
            <w:tcW w:w="232" w:type="pct"/>
            <w:vMerge w:val="restart"/>
            <w:tcBorders>
              <w:tl2br w:val="nil"/>
              <w:tr2bl w:val="nil"/>
            </w:tcBorders>
            <w:noWrap w:val="0"/>
            <w:tcMar>
              <w:top w:w="0" w:type="dxa"/>
              <w:left w:w="0" w:type="dxa"/>
              <w:bottom w:w="0" w:type="dxa"/>
              <w:right w:w="0" w:type="dxa"/>
            </w:tcMar>
            <w:vAlign w:val="center"/>
          </w:tcPr>
          <w:p w14:paraId="5CD21E1E">
            <w:pPr>
              <w:pStyle w:val="43"/>
              <w:bidi w:val="0"/>
              <w:rPr>
                <w:rFonts w:hint="eastAsia" w:ascii="Times New Roman" w:hAnsi="Times New Roman" w:eastAsia="宋体" w:cs="Times New Roman"/>
                <w:color w:val="auto"/>
                <w:lang w:val="en-US" w:eastAsia="zh-CN"/>
              </w:rPr>
            </w:pPr>
            <w:r>
              <w:rPr>
                <w:rFonts w:hint="default" w:ascii="Times New Roman" w:hAnsi="Times New Roman" w:cs="Times New Roman"/>
                <w:color w:val="auto"/>
              </w:rPr>
              <w:t>隔声、</w:t>
            </w:r>
            <w:r>
              <w:rPr>
                <w:rFonts w:hint="eastAsia" w:cs="Times New Roman"/>
                <w:color w:val="auto"/>
                <w:lang w:val="en-US" w:eastAsia="zh-CN"/>
              </w:rPr>
              <w:t>减振</w:t>
            </w:r>
          </w:p>
        </w:tc>
        <w:tc>
          <w:tcPr>
            <w:tcW w:w="215" w:type="pct"/>
            <w:tcBorders>
              <w:tl2br w:val="nil"/>
              <w:tr2bl w:val="nil"/>
            </w:tcBorders>
            <w:shd w:val="clear" w:color="auto" w:fill="FFFFFF"/>
            <w:noWrap w:val="0"/>
            <w:tcMar>
              <w:top w:w="0" w:type="dxa"/>
              <w:left w:w="0" w:type="dxa"/>
              <w:bottom w:w="0" w:type="dxa"/>
              <w:right w:w="0" w:type="dxa"/>
            </w:tcMar>
            <w:vAlign w:val="center"/>
          </w:tcPr>
          <w:p w14:paraId="493849C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159.2</w:t>
            </w:r>
          </w:p>
        </w:tc>
        <w:tc>
          <w:tcPr>
            <w:tcW w:w="206" w:type="pct"/>
            <w:tcBorders>
              <w:tl2br w:val="nil"/>
              <w:tr2bl w:val="nil"/>
            </w:tcBorders>
            <w:shd w:val="clear" w:color="auto" w:fill="FFFFFF"/>
            <w:noWrap w:val="0"/>
            <w:tcMar>
              <w:top w:w="0" w:type="dxa"/>
              <w:left w:w="0" w:type="dxa"/>
              <w:bottom w:w="0" w:type="dxa"/>
              <w:right w:w="0" w:type="dxa"/>
            </w:tcMar>
            <w:vAlign w:val="center"/>
          </w:tcPr>
          <w:p w14:paraId="46BB9FAE">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-91.3</w:t>
            </w:r>
          </w:p>
        </w:tc>
        <w:tc>
          <w:tcPr>
            <w:tcW w:w="214" w:type="pct"/>
            <w:tcBorders>
              <w:tl2br w:val="nil"/>
              <w:tr2bl w:val="nil"/>
            </w:tcBorders>
            <w:shd w:val="clear" w:color="auto" w:fill="FFFFFF"/>
            <w:noWrap w:val="0"/>
            <w:tcMar>
              <w:top w:w="0" w:type="dxa"/>
              <w:left w:w="0" w:type="dxa"/>
              <w:bottom w:w="0" w:type="dxa"/>
              <w:right w:w="0" w:type="dxa"/>
            </w:tcMar>
            <w:vAlign w:val="center"/>
          </w:tcPr>
          <w:p w14:paraId="507C470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1.2</w:t>
            </w:r>
          </w:p>
        </w:tc>
        <w:tc>
          <w:tcPr>
            <w:tcW w:w="169" w:type="pct"/>
            <w:tcBorders>
              <w:tl2br w:val="nil"/>
              <w:tr2bl w:val="nil"/>
            </w:tcBorders>
            <w:shd w:val="clear" w:color="auto" w:fill="FFFFFF"/>
            <w:noWrap w:val="0"/>
            <w:tcMar>
              <w:top w:w="0" w:type="dxa"/>
              <w:left w:w="0" w:type="dxa"/>
              <w:bottom w:w="0" w:type="dxa"/>
              <w:right w:w="0" w:type="dxa"/>
            </w:tcMar>
            <w:vAlign w:val="center"/>
          </w:tcPr>
          <w:p w14:paraId="7725FD3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110.2</w:t>
            </w:r>
          </w:p>
        </w:tc>
        <w:tc>
          <w:tcPr>
            <w:tcW w:w="187" w:type="pct"/>
            <w:tcBorders>
              <w:tl2br w:val="nil"/>
              <w:tr2bl w:val="nil"/>
            </w:tcBorders>
            <w:shd w:val="clear" w:color="auto" w:fill="FFFFFF"/>
            <w:noWrap w:val="0"/>
            <w:tcMar>
              <w:top w:w="0" w:type="dxa"/>
              <w:left w:w="0" w:type="dxa"/>
              <w:bottom w:w="0" w:type="dxa"/>
              <w:right w:w="0" w:type="dxa"/>
            </w:tcMar>
            <w:vAlign w:val="center"/>
          </w:tcPr>
          <w:p w14:paraId="4035870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6.4</w:t>
            </w:r>
          </w:p>
        </w:tc>
        <w:tc>
          <w:tcPr>
            <w:tcW w:w="169" w:type="pct"/>
            <w:tcBorders>
              <w:tl2br w:val="nil"/>
              <w:tr2bl w:val="nil"/>
            </w:tcBorders>
            <w:shd w:val="clear" w:color="auto" w:fill="FFFFFF"/>
            <w:noWrap w:val="0"/>
            <w:tcMar>
              <w:top w:w="0" w:type="dxa"/>
              <w:left w:w="0" w:type="dxa"/>
              <w:bottom w:w="0" w:type="dxa"/>
              <w:right w:w="0" w:type="dxa"/>
            </w:tcMar>
            <w:vAlign w:val="center"/>
          </w:tcPr>
          <w:p w14:paraId="3FF7CAAE">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10.9</w:t>
            </w:r>
          </w:p>
        </w:tc>
        <w:tc>
          <w:tcPr>
            <w:tcW w:w="191" w:type="pct"/>
            <w:tcBorders>
              <w:tl2br w:val="nil"/>
              <w:tr2bl w:val="nil"/>
            </w:tcBorders>
            <w:shd w:val="clear" w:color="auto" w:fill="FFFFFF"/>
            <w:noWrap w:val="0"/>
            <w:tcMar>
              <w:top w:w="0" w:type="dxa"/>
              <w:left w:w="0" w:type="dxa"/>
              <w:bottom w:w="0" w:type="dxa"/>
              <w:right w:w="0" w:type="dxa"/>
            </w:tcMar>
            <w:vAlign w:val="center"/>
          </w:tcPr>
          <w:p w14:paraId="08CA74A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25.9</w:t>
            </w:r>
          </w:p>
        </w:tc>
        <w:tc>
          <w:tcPr>
            <w:tcW w:w="166" w:type="pct"/>
            <w:tcBorders>
              <w:tl2br w:val="nil"/>
              <w:tr2bl w:val="nil"/>
            </w:tcBorders>
            <w:shd w:val="clear" w:color="auto" w:fill="FFFFFF"/>
            <w:noWrap w:val="0"/>
            <w:tcMar>
              <w:top w:w="0" w:type="dxa"/>
              <w:left w:w="0" w:type="dxa"/>
              <w:bottom w:w="0" w:type="dxa"/>
              <w:right w:w="0" w:type="dxa"/>
            </w:tcMar>
            <w:vAlign w:val="center"/>
          </w:tcPr>
          <w:p w14:paraId="274F290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66.1</w:t>
            </w:r>
          </w:p>
        </w:tc>
        <w:tc>
          <w:tcPr>
            <w:tcW w:w="166" w:type="pct"/>
            <w:tcBorders>
              <w:tl2br w:val="nil"/>
              <w:tr2bl w:val="nil"/>
            </w:tcBorders>
            <w:shd w:val="clear" w:color="auto" w:fill="FFFFFF"/>
            <w:noWrap w:val="0"/>
            <w:tcMar>
              <w:top w:w="0" w:type="dxa"/>
              <w:left w:w="0" w:type="dxa"/>
              <w:bottom w:w="0" w:type="dxa"/>
              <w:right w:w="0" w:type="dxa"/>
            </w:tcMar>
            <w:vAlign w:val="center"/>
          </w:tcPr>
          <w:p w14:paraId="5FE3AE6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66.3</w:t>
            </w:r>
          </w:p>
        </w:tc>
        <w:tc>
          <w:tcPr>
            <w:tcW w:w="166" w:type="pct"/>
            <w:tcBorders>
              <w:tl2br w:val="nil"/>
              <w:tr2bl w:val="nil"/>
            </w:tcBorders>
            <w:shd w:val="clear" w:color="auto" w:fill="FFFFFF"/>
            <w:noWrap w:val="0"/>
            <w:tcMar>
              <w:top w:w="0" w:type="dxa"/>
              <w:left w:w="0" w:type="dxa"/>
              <w:bottom w:w="0" w:type="dxa"/>
              <w:right w:w="0" w:type="dxa"/>
            </w:tcMar>
            <w:vAlign w:val="center"/>
          </w:tcPr>
          <w:p w14:paraId="6C17FDCE">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66.2</w:t>
            </w:r>
          </w:p>
        </w:tc>
        <w:tc>
          <w:tcPr>
            <w:tcW w:w="179" w:type="pct"/>
            <w:tcBorders>
              <w:tl2br w:val="nil"/>
              <w:tr2bl w:val="nil"/>
            </w:tcBorders>
            <w:shd w:val="clear" w:color="auto" w:fill="FFFFFF"/>
            <w:noWrap w:val="0"/>
            <w:tcMar>
              <w:top w:w="0" w:type="dxa"/>
              <w:left w:w="0" w:type="dxa"/>
              <w:bottom w:w="0" w:type="dxa"/>
              <w:right w:w="0" w:type="dxa"/>
            </w:tcMar>
            <w:vAlign w:val="center"/>
          </w:tcPr>
          <w:p w14:paraId="64358DD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66.1</w:t>
            </w:r>
          </w:p>
        </w:tc>
        <w:tc>
          <w:tcPr>
            <w:tcW w:w="208" w:type="pct"/>
            <w:vMerge w:val="restart"/>
            <w:tcBorders>
              <w:tl2br w:val="nil"/>
              <w:tr2bl w:val="nil"/>
            </w:tcBorders>
            <w:shd w:val="clear" w:color="auto" w:fill="FFFFFF"/>
            <w:noWrap w:val="0"/>
            <w:tcMar>
              <w:top w:w="0" w:type="dxa"/>
              <w:left w:w="0" w:type="dxa"/>
              <w:bottom w:w="0" w:type="dxa"/>
              <w:right w:w="0" w:type="dxa"/>
            </w:tcMar>
            <w:vAlign w:val="center"/>
          </w:tcPr>
          <w:p w14:paraId="1FC54097">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24.0</w:t>
            </w:r>
          </w:p>
          <w:p w14:paraId="4AEC5590">
            <w:pPr>
              <w:pStyle w:val="43"/>
              <w:bidi w:val="0"/>
              <w:rPr>
                <w:rFonts w:hint="default" w:ascii="Times New Roman" w:hAnsi="Times New Roman" w:eastAsia="宋体" w:cs="Times New Roman"/>
                <w:color w:val="auto"/>
              </w:rPr>
            </w:pPr>
          </w:p>
        </w:tc>
        <w:tc>
          <w:tcPr>
            <w:tcW w:w="161" w:type="pct"/>
            <w:tcBorders>
              <w:tl2br w:val="nil"/>
              <w:tr2bl w:val="nil"/>
            </w:tcBorders>
            <w:shd w:val="clear" w:color="auto" w:fill="FFFFFF"/>
            <w:noWrap w:val="0"/>
            <w:tcMar>
              <w:top w:w="0" w:type="dxa"/>
              <w:left w:w="0" w:type="dxa"/>
              <w:bottom w:w="0" w:type="dxa"/>
              <w:right w:w="0" w:type="dxa"/>
            </w:tcMar>
            <w:vAlign w:val="center"/>
          </w:tcPr>
          <w:p w14:paraId="4D3618E7">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1" w:type="pct"/>
            <w:tcBorders>
              <w:tl2br w:val="nil"/>
              <w:tr2bl w:val="nil"/>
            </w:tcBorders>
            <w:shd w:val="clear" w:color="auto" w:fill="FFFFFF"/>
            <w:noWrap w:val="0"/>
            <w:tcMar>
              <w:top w:w="0" w:type="dxa"/>
              <w:left w:w="0" w:type="dxa"/>
              <w:bottom w:w="0" w:type="dxa"/>
              <w:right w:w="0" w:type="dxa"/>
            </w:tcMar>
            <w:vAlign w:val="center"/>
          </w:tcPr>
          <w:p w14:paraId="6879F1E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1" w:type="pct"/>
            <w:tcBorders>
              <w:tl2br w:val="nil"/>
              <w:tr2bl w:val="nil"/>
            </w:tcBorders>
            <w:shd w:val="clear" w:color="auto" w:fill="FFFFFF"/>
            <w:noWrap w:val="0"/>
            <w:tcMar>
              <w:top w:w="0" w:type="dxa"/>
              <w:left w:w="0" w:type="dxa"/>
              <w:bottom w:w="0" w:type="dxa"/>
              <w:right w:w="0" w:type="dxa"/>
            </w:tcMar>
            <w:vAlign w:val="center"/>
          </w:tcPr>
          <w:p w14:paraId="36314A9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75" w:type="pct"/>
            <w:tcBorders>
              <w:tl2br w:val="nil"/>
              <w:tr2bl w:val="nil"/>
            </w:tcBorders>
            <w:shd w:val="clear" w:color="auto" w:fill="FFFFFF"/>
            <w:noWrap w:val="0"/>
            <w:tcMar>
              <w:top w:w="0" w:type="dxa"/>
              <w:left w:w="0" w:type="dxa"/>
              <w:bottom w:w="0" w:type="dxa"/>
              <w:right w:w="0" w:type="dxa"/>
            </w:tcMar>
            <w:vAlign w:val="center"/>
          </w:tcPr>
          <w:p w14:paraId="1D70476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9" w:type="pct"/>
            <w:tcBorders>
              <w:tl2br w:val="nil"/>
              <w:tr2bl w:val="nil"/>
            </w:tcBorders>
            <w:shd w:val="clear" w:color="auto" w:fill="FFFFFF"/>
            <w:noWrap w:val="0"/>
            <w:tcMar>
              <w:top w:w="0" w:type="dxa"/>
              <w:left w:w="0" w:type="dxa"/>
              <w:bottom w:w="0" w:type="dxa"/>
              <w:right w:w="0" w:type="dxa"/>
            </w:tcMar>
            <w:vAlign w:val="center"/>
          </w:tcPr>
          <w:p w14:paraId="6DB7CB4C">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41.1</w:t>
            </w:r>
          </w:p>
        </w:tc>
        <w:tc>
          <w:tcPr>
            <w:tcW w:w="169" w:type="pct"/>
            <w:tcBorders>
              <w:tl2br w:val="nil"/>
              <w:tr2bl w:val="nil"/>
            </w:tcBorders>
            <w:shd w:val="clear" w:color="auto" w:fill="FFFFFF"/>
            <w:noWrap w:val="0"/>
            <w:tcMar>
              <w:top w:w="0" w:type="dxa"/>
              <w:left w:w="0" w:type="dxa"/>
              <w:bottom w:w="0" w:type="dxa"/>
              <w:right w:w="0" w:type="dxa"/>
            </w:tcMar>
            <w:vAlign w:val="center"/>
          </w:tcPr>
          <w:p w14:paraId="37DFB6D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41.3</w:t>
            </w:r>
          </w:p>
        </w:tc>
        <w:tc>
          <w:tcPr>
            <w:tcW w:w="169" w:type="pct"/>
            <w:tcBorders>
              <w:tl2br w:val="nil"/>
              <w:tr2bl w:val="nil"/>
            </w:tcBorders>
            <w:shd w:val="clear" w:color="auto" w:fill="FFFFFF"/>
            <w:noWrap w:val="0"/>
            <w:tcMar>
              <w:top w:w="0" w:type="dxa"/>
              <w:left w:w="0" w:type="dxa"/>
              <w:bottom w:w="0" w:type="dxa"/>
              <w:right w:w="0" w:type="dxa"/>
            </w:tcMar>
            <w:vAlign w:val="center"/>
          </w:tcPr>
          <w:p w14:paraId="3D40EC5A">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41.2</w:t>
            </w:r>
          </w:p>
        </w:tc>
        <w:tc>
          <w:tcPr>
            <w:tcW w:w="169" w:type="pct"/>
            <w:tcBorders>
              <w:tl2br w:val="nil"/>
              <w:tr2bl w:val="nil"/>
            </w:tcBorders>
            <w:shd w:val="clear" w:color="auto" w:fill="FFFFFF"/>
            <w:noWrap w:val="0"/>
            <w:tcMar>
              <w:top w:w="0" w:type="dxa"/>
              <w:left w:w="0" w:type="dxa"/>
              <w:bottom w:w="0" w:type="dxa"/>
              <w:right w:w="0" w:type="dxa"/>
            </w:tcMar>
            <w:vAlign w:val="center"/>
          </w:tcPr>
          <w:p w14:paraId="3F50C64C">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41.1</w:t>
            </w:r>
          </w:p>
        </w:tc>
        <w:tc>
          <w:tcPr>
            <w:tcW w:w="245" w:type="pct"/>
            <w:tcBorders>
              <w:tl2br w:val="nil"/>
              <w:tr2bl w:val="nil"/>
            </w:tcBorders>
            <w:noWrap w:val="0"/>
            <w:tcMar>
              <w:top w:w="0" w:type="dxa"/>
              <w:left w:w="0" w:type="dxa"/>
              <w:bottom w:w="0" w:type="dxa"/>
              <w:right w:w="0" w:type="dxa"/>
            </w:tcMar>
            <w:vAlign w:val="center"/>
          </w:tcPr>
          <w:p w14:paraId="0D0544B1">
            <w:pPr>
              <w:pStyle w:val="43"/>
              <w:bidi w:val="0"/>
              <w:rPr>
                <w:rFonts w:hint="default" w:ascii="Times New Roman" w:hAnsi="Times New Roman" w:cs="Times New Roman"/>
                <w:color w:val="auto"/>
              </w:rPr>
            </w:pPr>
            <w:r>
              <w:rPr>
                <w:rFonts w:hint="default" w:ascii="Times New Roman" w:hAnsi="Times New Roman" w:cs="Times New Roman"/>
                <w:color w:val="auto"/>
              </w:rPr>
              <w:t>1</w:t>
            </w:r>
          </w:p>
        </w:tc>
      </w:tr>
      <w:tr w14:paraId="21EAB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 w:type="pct"/>
            <w:tcBorders>
              <w:tl2br w:val="nil"/>
              <w:tr2bl w:val="nil"/>
            </w:tcBorders>
            <w:noWrap w:val="0"/>
            <w:tcMar>
              <w:top w:w="0" w:type="dxa"/>
              <w:left w:w="0" w:type="dxa"/>
              <w:bottom w:w="0" w:type="dxa"/>
              <w:right w:w="0" w:type="dxa"/>
            </w:tcMar>
            <w:vAlign w:val="center"/>
          </w:tcPr>
          <w:p w14:paraId="0829FD08">
            <w:pPr>
              <w:pStyle w:val="43"/>
              <w:bidi w:val="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2</w:t>
            </w:r>
          </w:p>
        </w:tc>
        <w:tc>
          <w:tcPr>
            <w:tcW w:w="128" w:type="pct"/>
            <w:vMerge w:val="continue"/>
            <w:tcBorders>
              <w:tl2br w:val="nil"/>
              <w:tr2bl w:val="nil"/>
            </w:tcBorders>
            <w:noWrap w:val="0"/>
            <w:tcMar>
              <w:top w:w="0" w:type="dxa"/>
              <w:left w:w="0" w:type="dxa"/>
              <w:bottom w:w="0" w:type="dxa"/>
              <w:right w:w="0" w:type="dxa"/>
            </w:tcMar>
            <w:vAlign w:val="center"/>
          </w:tcPr>
          <w:p w14:paraId="18CFFFBC">
            <w:pPr>
              <w:pStyle w:val="43"/>
              <w:bidi w:val="0"/>
              <w:rPr>
                <w:rFonts w:hint="default" w:ascii="Times New Roman" w:hAnsi="Times New Roman" w:cs="Times New Roman"/>
                <w:color w:val="auto"/>
              </w:rPr>
            </w:pPr>
          </w:p>
        </w:tc>
        <w:tc>
          <w:tcPr>
            <w:tcW w:w="378" w:type="pct"/>
            <w:tcBorders>
              <w:tl2br w:val="nil"/>
              <w:tr2bl w:val="nil"/>
            </w:tcBorders>
            <w:shd w:val="clear" w:color="auto" w:fill="FFFFFF"/>
            <w:noWrap w:val="0"/>
            <w:tcMar>
              <w:top w:w="0" w:type="dxa"/>
              <w:left w:w="0" w:type="dxa"/>
              <w:bottom w:w="0" w:type="dxa"/>
              <w:right w:w="0" w:type="dxa"/>
            </w:tcMar>
            <w:vAlign w:val="center"/>
          </w:tcPr>
          <w:p w14:paraId="6DCDDA54">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喂料铰刀</w:t>
            </w:r>
          </w:p>
        </w:tc>
        <w:tc>
          <w:tcPr>
            <w:tcW w:w="262" w:type="pct"/>
            <w:tcBorders>
              <w:tl2br w:val="nil"/>
              <w:tr2bl w:val="nil"/>
            </w:tcBorders>
            <w:shd w:val="clear" w:color="auto" w:fill="FFFFFF"/>
            <w:noWrap w:val="0"/>
            <w:tcMar>
              <w:top w:w="0" w:type="dxa"/>
              <w:left w:w="0" w:type="dxa"/>
              <w:bottom w:w="0" w:type="dxa"/>
              <w:right w:w="0" w:type="dxa"/>
            </w:tcMar>
            <w:vAlign w:val="center"/>
          </w:tcPr>
          <w:p w14:paraId="2AE833F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75</w:t>
            </w:r>
          </w:p>
        </w:tc>
        <w:tc>
          <w:tcPr>
            <w:tcW w:w="232" w:type="pct"/>
            <w:vMerge w:val="continue"/>
            <w:tcBorders>
              <w:tl2br w:val="nil"/>
              <w:tr2bl w:val="nil"/>
            </w:tcBorders>
            <w:noWrap w:val="0"/>
            <w:tcMar>
              <w:top w:w="0" w:type="dxa"/>
              <w:left w:w="0" w:type="dxa"/>
              <w:bottom w:w="0" w:type="dxa"/>
              <w:right w:w="0" w:type="dxa"/>
            </w:tcMar>
            <w:vAlign w:val="center"/>
          </w:tcPr>
          <w:p w14:paraId="2460CCD6">
            <w:pPr>
              <w:pStyle w:val="43"/>
              <w:bidi w:val="0"/>
              <w:rPr>
                <w:rFonts w:hint="default" w:ascii="Times New Roman" w:hAnsi="Times New Roman" w:cs="Times New Roman"/>
                <w:color w:val="auto"/>
              </w:rPr>
            </w:pPr>
          </w:p>
        </w:tc>
        <w:tc>
          <w:tcPr>
            <w:tcW w:w="215" w:type="pct"/>
            <w:tcBorders>
              <w:tl2br w:val="nil"/>
              <w:tr2bl w:val="nil"/>
            </w:tcBorders>
            <w:shd w:val="clear" w:color="auto" w:fill="FFFFFF"/>
            <w:noWrap w:val="0"/>
            <w:tcMar>
              <w:top w:w="0" w:type="dxa"/>
              <w:left w:w="0" w:type="dxa"/>
              <w:bottom w:w="0" w:type="dxa"/>
              <w:right w:w="0" w:type="dxa"/>
            </w:tcMar>
            <w:vAlign w:val="center"/>
          </w:tcPr>
          <w:p w14:paraId="55A068FA">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175.4</w:t>
            </w:r>
          </w:p>
        </w:tc>
        <w:tc>
          <w:tcPr>
            <w:tcW w:w="206" w:type="pct"/>
            <w:tcBorders>
              <w:tl2br w:val="nil"/>
              <w:tr2bl w:val="nil"/>
            </w:tcBorders>
            <w:shd w:val="clear" w:color="auto" w:fill="FFFFFF"/>
            <w:noWrap w:val="0"/>
            <w:tcMar>
              <w:top w:w="0" w:type="dxa"/>
              <w:left w:w="0" w:type="dxa"/>
              <w:bottom w:w="0" w:type="dxa"/>
              <w:right w:w="0" w:type="dxa"/>
            </w:tcMar>
            <w:vAlign w:val="center"/>
          </w:tcPr>
          <w:p w14:paraId="2A1E14DA">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-79.4</w:t>
            </w:r>
          </w:p>
        </w:tc>
        <w:tc>
          <w:tcPr>
            <w:tcW w:w="214" w:type="pct"/>
            <w:tcBorders>
              <w:tl2br w:val="nil"/>
              <w:tr2bl w:val="nil"/>
            </w:tcBorders>
            <w:shd w:val="clear" w:color="auto" w:fill="FFFFFF"/>
            <w:noWrap w:val="0"/>
            <w:tcMar>
              <w:top w:w="0" w:type="dxa"/>
              <w:left w:w="0" w:type="dxa"/>
              <w:bottom w:w="0" w:type="dxa"/>
              <w:right w:w="0" w:type="dxa"/>
            </w:tcMar>
            <w:vAlign w:val="center"/>
          </w:tcPr>
          <w:p w14:paraId="1DFEFBA8">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1.2</w:t>
            </w:r>
          </w:p>
        </w:tc>
        <w:tc>
          <w:tcPr>
            <w:tcW w:w="169" w:type="pct"/>
            <w:tcBorders>
              <w:tl2br w:val="nil"/>
              <w:tr2bl w:val="nil"/>
            </w:tcBorders>
            <w:shd w:val="clear" w:color="auto" w:fill="FFFFFF"/>
            <w:noWrap w:val="0"/>
            <w:tcMar>
              <w:top w:w="0" w:type="dxa"/>
              <w:left w:w="0" w:type="dxa"/>
              <w:bottom w:w="0" w:type="dxa"/>
              <w:right w:w="0" w:type="dxa"/>
            </w:tcMar>
            <w:vAlign w:val="center"/>
          </w:tcPr>
          <w:p w14:paraId="7EAB4A1F">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102.7</w:t>
            </w:r>
          </w:p>
        </w:tc>
        <w:tc>
          <w:tcPr>
            <w:tcW w:w="187" w:type="pct"/>
            <w:tcBorders>
              <w:tl2br w:val="nil"/>
              <w:tr2bl w:val="nil"/>
            </w:tcBorders>
            <w:shd w:val="clear" w:color="auto" w:fill="FFFFFF"/>
            <w:noWrap w:val="0"/>
            <w:tcMar>
              <w:top w:w="0" w:type="dxa"/>
              <w:left w:w="0" w:type="dxa"/>
              <w:bottom w:w="0" w:type="dxa"/>
              <w:right w:w="0" w:type="dxa"/>
            </w:tcMar>
            <w:vAlign w:val="center"/>
          </w:tcPr>
          <w:p w14:paraId="1E80FF9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25.6</w:t>
            </w:r>
          </w:p>
        </w:tc>
        <w:tc>
          <w:tcPr>
            <w:tcW w:w="169" w:type="pct"/>
            <w:tcBorders>
              <w:tl2br w:val="nil"/>
              <w:tr2bl w:val="nil"/>
            </w:tcBorders>
            <w:shd w:val="clear" w:color="auto" w:fill="FFFFFF"/>
            <w:noWrap w:val="0"/>
            <w:tcMar>
              <w:top w:w="0" w:type="dxa"/>
              <w:left w:w="0" w:type="dxa"/>
              <w:bottom w:w="0" w:type="dxa"/>
              <w:right w:w="0" w:type="dxa"/>
            </w:tcMar>
            <w:vAlign w:val="center"/>
          </w:tcPr>
          <w:p w14:paraId="5DAA6334">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16.5</w:t>
            </w:r>
          </w:p>
        </w:tc>
        <w:tc>
          <w:tcPr>
            <w:tcW w:w="191" w:type="pct"/>
            <w:tcBorders>
              <w:tl2br w:val="nil"/>
              <w:tr2bl w:val="nil"/>
            </w:tcBorders>
            <w:shd w:val="clear" w:color="auto" w:fill="FFFFFF"/>
            <w:noWrap w:val="0"/>
            <w:tcMar>
              <w:top w:w="0" w:type="dxa"/>
              <w:left w:w="0" w:type="dxa"/>
              <w:bottom w:w="0" w:type="dxa"/>
              <w:right w:w="0" w:type="dxa"/>
            </w:tcMar>
            <w:vAlign w:val="center"/>
          </w:tcPr>
          <w:p w14:paraId="0E89223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6.9</w:t>
            </w:r>
          </w:p>
        </w:tc>
        <w:tc>
          <w:tcPr>
            <w:tcW w:w="166" w:type="pct"/>
            <w:tcBorders>
              <w:tl2br w:val="nil"/>
              <w:tr2bl w:val="nil"/>
            </w:tcBorders>
            <w:shd w:val="clear" w:color="auto" w:fill="FFFFFF"/>
            <w:noWrap w:val="0"/>
            <w:tcMar>
              <w:top w:w="0" w:type="dxa"/>
              <w:left w:w="0" w:type="dxa"/>
              <w:bottom w:w="0" w:type="dxa"/>
              <w:right w:w="0" w:type="dxa"/>
            </w:tcMar>
            <w:vAlign w:val="center"/>
          </w:tcPr>
          <w:p w14:paraId="7026510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61.1</w:t>
            </w:r>
          </w:p>
        </w:tc>
        <w:tc>
          <w:tcPr>
            <w:tcW w:w="166" w:type="pct"/>
            <w:tcBorders>
              <w:tl2br w:val="nil"/>
              <w:tr2bl w:val="nil"/>
            </w:tcBorders>
            <w:shd w:val="clear" w:color="auto" w:fill="FFFFFF"/>
            <w:noWrap w:val="0"/>
            <w:tcMar>
              <w:top w:w="0" w:type="dxa"/>
              <w:left w:w="0" w:type="dxa"/>
              <w:bottom w:w="0" w:type="dxa"/>
              <w:right w:w="0" w:type="dxa"/>
            </w:tcMar>
            <w:vAlign w:val="center"/>
          </w:tcPr>
          <w:p w14:paraId="0A1EC6EC">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61.1</w:t>
            </w:r>
          </w:p>
        </w:tc>
        <w:tc>
          <w:tcPr>
            <w:tcW w:w="166" w:type="pct"/>
            <w:tcBorders>
              <w:tl2br w:val="nil"/>
              <w:tr2bl w:val="nil"/>
            </w:tcBorders>
            <w:shd w:val="clear" w:color="auto" w:fill="FFFFFF"/>
            <w:noWrap w:val="0"/>
            <w:tcMar>
              <w:top w:w="0" w:type="dxa"/>
              <w:left w:w="0" w:type="dxa"/>
              <w:bottom w:w="0" w:type="dxa"/>
              <w:right w:w="0" w:type="dxa"/>
            </w:tcMar>
            <w:vAlign w:val="center"/>
          </w:tcPr>
          <w:p w14:paraId="1347DE5E">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61.1</w:t>
            </w:r>
          </w:p>
        </w:tc>
        <w:tc>
          <w:tcPr>
            <w:tcW w:w="179" w:type="pct"/>
            <w:tcBorders>
              <w:tl2br w:val="nil"/>
              <w:tr2bl w:val="nil"/>
            </w:tcBorders>
            <w:shd w:val="clear" w:color="auto" w:fill="FFFFFF"/>
            <w:noWrap w:val="0"/>
            <w:tcMar>
              <w:top w:w="0" w:type="dxa"/>
              <w:left w:w="0" w:type="dxa"/>
              <w:bottom w:w="0" w:type="dxa"/>
              <w:right w:w="0" w:type="dxa"/>
            </w:tcMar>
            <w:vAlign w:val="center"/>
          </w:tcPr>
          <w:p w14:paraId="1BAD02B7">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61.3</w:t>
            </w:r>
          </w:p>
        </w:tc>
        <w:tc>
          <w:tcPr>
            <w:tcW w:w="208" w:type="pct"/>
            <w:vMerge w:val="continue"/>
            <w:tcBorders>
              <w:tl2br w:val="nil"/>
              <w:tr2bl w:val="nil"/>
            </w:tcBorders>
            <w:shd w:val="clear" w:color="auto" w:fill="FFFFFF"/>
            <w:noWrap w:val="0"/>
            <w:tcMar>
              <w:top w:w="0" w:type="dxa"/>
              <w:left w:w="0" w:type="dxa"/>
              <w:bottom w:w="0" w:type="dxa"/>
              <w:right w:w="0" w:type="dxa"/>
            </w:tcMar>
            <w:vAlign w:val="center"/>
          </w:tcPr>
          <w:p w14:paraId="2217D74C">
            <w:pPr>
              <w:pStyle w:val="43"/>
              <w:bidi w:val="0"/>
              <w:rPr>
                <w:rFonts w:hint="default" w:ascii="Times New Roman" w:hAnsi="Times New Roman" w:eastAsia="宋体" w:cs="Times New Roman"/>
                <w:color w:val="auto"/>
              </w:rPr>
            </w:pPr>
          </w:p>
        </w:tc>
        <w:tc>
          <w:tcPr>
            <w:tcW w:w="161" w:type="pct"/>
            <w:tcBorders>
              <w:tl2br w:val="nil"/>
              <w:tr2bl w:val="nil"/>
            </w:tcBorders>
            <w:shd w:val="clear" w:color="auto" w:fill="FFFFFF"/>
            <w:noWrap w:val="0"/>
            <w:tcMar>
              <w:top w:w="0" w:type="dxa"/>
              <w:left w:w="0" w:type="dxa"/>
              <w:bottom w:w="0" w:type="dxa"/>
              <w:right w:w="0" w:type="dxa"/>
            </w:tcMar>
            <w:vAlign w:val="center"/>
          </w:tcPr>
          <w:p w14:paraId="43143D4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1" w:type="pct"/>
            <w:tcBorders>
              <w:tl2br w:val="nil"/>
              <w:tr2bl w:val="nil"/>
            </w:tcBorders>
            <w:shd w:val="clear" w:color="auto" w:fill="FFFFFF"/>
            <w:noWrap w:val="0"/>
            <w:tcMar>
              <w:top w:w="0" w:type="dxa"/>
              <w:left w:w="0" w:type="dxa"/>
              <w:bottom w:w="0" w:type="dxa"/>
              <w:right w:w="0" w:type="dxa"/>
            </w:tcMar>
            <w:vAlign w:val="center"/>
          </w:tcPr>
          <w:p w14:paraId="34A8B6CF">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1" w:type="pct"/>
            <w:tcBorders>
              <w:tl2br w:val="nil"/>
              <w:tr2bl w:val="nil"/>
            </w:tcBorders>
            <w:shd w:val="clear" w:color="auto" w:fill="FFFFFF"/>
            <w:noWrap w:val="0"/>
            <w:tcMar>
              <w:top w:w="0" w:type="dxa"/>
              <w:left w:w="0" w:type="dxa"/>
              <w:bottom w:w="0" w:type="dxa"/>
              <w:right w:w="0" w:type="dxa"/>
            </w:tcMar>
            <w:vAlign w:val="center"/>
          </w:tcPr>
          <w:p w14:paraId="41887B6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75" w:type="pct"/>
            <w:tcBorders>
              <w:tl2br w:val="nil"/>
              <w:tr2bl w:val="nil"/>
            </w:tcBorders>
            <w:shd w:val="clear" w:color="auto" w:fill="FFFFFF"/>
            <w:noWrap w:val="0"/>
            <w:tcMar>
              <w:top w:w="0" w:type="dxa"/>
              <w:left w:w="0" w:type="dxa"/>
              <w:bottom w:w="0" w:type="dxa"/>
              <w:right w:w="0" w:type="dxa"/>
            </w:tcMar>
            <w:vAlign w:val="center"/>
          </w:tcPr>
          <w:p w14:paraId="0272CD99">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9" w:type="pct"/>
            <w:tcBorders>
              <w:tl2br w:val="nil"/>
              <w:tr2bl w:val="nil"/>
            </w:tcBorders>
            <w:shd w:val="clear" w:color="auto" w:fill="FFFFFF"/>
            <w:noWrap w:val="0"/>
            <w:tcMar>
              <w:top w:w="0" w:type="dxa"/>
              <w:left w:w="0" w:type="dxa"/>
              <w:bottom w:w="0" w:type="dxa"/>
              <w:right w:w="0" w:type="dxa"/>
            </w:tcMar>
            <w:vAlign w:val="center"/>
          </w:tcPr>
          <w:p w14:paraId="285099B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36.1</w:t>
            </w:r>
          </w:p>
        </w:tc>
        <w:tc>
          <w:tcPr>
            <w:tcW w:w="169" w:type="pct"/>
            <w:tcBorders>
              <w:tl2br w:val="nil"/>
              <w:tr2bl w:val="nil"/>
            </w:tcBorders>
            <w:shd w:val="clear" w:color="auto" w:fill="FFFFFF"/>
            <w:noWrap w:val="0"/>
            <w:tcMar>
              <w:top w:w="0" w:type="dxa"/>
              <w:left w:w="0" w:type="dxa"/>
              <w:bottom w:w="0" w:type="dxa"/>
              <w:right w:w="0" w:type="dxa"/>
            </w:tcMar>
            <w:vAlign w:val="center"/>
          </w:tcPr>
          <w:p w14:paraId="29D0F4C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36.1</w:t>
            </w:r>
          </w:p>
        </w:tc>
        <w:tc>
          <w:tcPr>
            <w:tcW w:w="169" w:type="pct"/>
            <w:tcBorders>
              <w:tl2br w:val="nil"/>
              <w:tr2bl w:val="nil"/>
            </w:tcBorders>
            <w:shd w:val="clear" w:color="auto" w:fill="FFFFFF"/>
            <w:noWrap w:val="0"/>
            <w:tcMar>
              <w:top w:w="0" w:type="dxa"/>
              <w:left w:w="0" w:type="dxa"/>
              <w:bottom w:w="0" w:type="dxa"/>
              <w:right w:w="0" w:type="dxa"/>
            </w:tcMar>
            <w:vAlign w:val="center"/>
          </w:tcPr>
          <w:p w14:paraId="5DCF308A">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36.1</w:t>
            </w:r>
          </w:p>
        </w:tc>
        <w:tc>
          <w:tcPr>
            <w:tcW w:w="169" w:type="pct"/>
            <w:tcBorders>
              <w:tl2br w:val="nil"/>
              <w:tr2bl w:val="nil"/>
            </w:tcBorders>
            <w:shd w:val="clear" w:color="auto" w:fill="FFFFFF"/>
            <w:noWrap w:val="0"/>
            <w:tcMar>
              <w:top w:w="0" w:type="dxa"/>
              <w:left w:w="0" w:type="dxa"/>
              <w:bottom w:w="0" w:type="dxa"/>
              <w:right w:w="0" w:type="dxa"/>
            </w:tcMar>
            <w:vAlign w:val="center"/>
          </w:tcPr>
          <w:p w14:paraId="073A1AE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36.3</w:t>
            </w:r>
          </w:p>
        </w:tc>
        <w:tc>
          <w:tcPr>
            <w:tcW w:w="245" w:type="pct"/>
            <w:tcBorders>
              <w:tl2br w:val="nil"/>
              <w:tr2bl w:val="nil"/>
            </w:tcBorders>
            <w:noWrap w:val="0"/>
            <w:tcMar>
              <w:top w:w="0" w:type="dxa"/>
              <w:left w:w="0" w:type="dxa"/>
              <w:bottom w:w="0" w:type="dxa"/>
              <w:right w:w="0" w:type="dxa"/>
            </w:tcMar>
            <w:vAlign w:val="center"/>
          </w:tcPr>
          <w:p w14:paraId="28C5ED67">
            <w:pPr>
              <w:pStyle w:val="43"/>
              <w:bidi w:val="0"/>
              <w:rPr>
                <w:rFonts w:hint="default" w:ascii="Times New Roman" w:hAnsi="Times New Roman" w:cs="Times New Roman"/>
                <w:color w:val="auto"/>
              </w:rPr>
            </w:pPr>
            <w:r>
              <w:rPr>
                <w:rFonts w:hint="default" w:ascii="Times New Roman" w:hAnsi="Times New Roman" w:cs="Times New Roman"/>
                <w:color w:val="auto"/>
              </w:rPr>
              <w:t>1</w:t>
            </w:r>
          </w:p>
        </w:tc>
      </w:tr>
      <w:tr w14:paraId="36531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 w:type="pct"/>
            <w:tcBorders>
              <w:tl2br w:val="nil"/>
              <w:tr2bl w:val="nil"/>
            </w:tcBorders>
            <w:noWrap w:val="0"/>
            <w:tcMar>
              <w:top w:w="0" w:type="dxa"/>
              <w:left w:w="0" w:type="dxa"/>
              <w:bottom w:w="0" w:type="dxa"/>
              <w:right w:w="0" w:type="dxa"/>
            </w:tcMar>
            <w:vAlign w:val="center"/>
          </w:tcPr>
          <w:p w14:paraId="35761421">
            <w:pPr>
              <w:pStyle w:val="43"/>
              <w:bidi w:val="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3</w:t>
            </w:r>
          </w:p>
        </w:tc>
        <w:tc>
          <w:tcPr>
            <w:tcW w:w="128" w:type="pct"/>
            <w:vMerge w:val="continue"/>
            <w:tcBorders>
              <w:tl2br w:val="nil"/>
              <w:tr2bl w:val="nil"/>
            </w:tcBorders>
            <w:noWrap w:val="0"/>
            <w:tcMar>
              <w:top w:w="0" w:type="dxa"/>
              <w:left w:w="0" w:type="dxa"/>
              <w:bottom w:w="0" w:type="dxa"/>
              <w:right w:w="0" w:type="dxa"/>
            </w:tcMar>
            <w:vAlign w:val="center"/>
          </w:tcPr>
          <w:p w14:paraId="57A364AE">
            <w:pPr>
              <w:pStyle w:val="43"/>
              <w:bidi w:val="0"/>
              <w:rPr>
                <w:rFonts w:hint="default" w:ascii="Times New Roman" w:hAnsi="Times New Roman" w:cs="Times New Roman"/>
                <w:color w:val="auto"/>
              </w:rPr>
            </w:pPr>
          </w:p>
        </w:tc>
        <w:tc>
          <w:tcPr>
            <w:tcW w:w="378" w:type="pct"/>
            <w:tcBorders>
              <w:tl2br w:val="nil"/>
              <w:tr2bl w:val="nil"/>
            </w:tcBorders>
            <w:shd w:val="clear" w:color="auto" w:fill="FFFFFF"/>
            <w:noWrap w:val="0"/>
            <w:tcMar>
              <w:top w:w="0" w:type="dxa"/>
              <w:left w:w="0" w:type="dxa"/>
              <w:bottom w:w="0" w:type="dxa"/>
              <w:right w:w="0" w:type="dxa"/>
            </w:tcMar>
            <w:vAlign w:val="center"/>
          </w:tcPr>
          <w:p w14:paraId="12B413D4">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料封泵</w:t>
            </w:r>
          </w:p>
        </w:tc>
        <w:tc>
          <w:tcPr>
            <w:tcW w:w="262" w:type="pct"/>
            <w:tcBorders>
              <w:tl2br w:val="nil"/>
              <w:tr2bl w:val="nil"/>
            </w:tcBorders>
            <w:shd w:val="clear" w:color="auto" w:fill="FFFFFF"/>
            <w:noWrap w:val="0"/>
            <w:tcMar>
              <w:top w:w="0" w:type="dxa"/>
              <w:left w:w="0" w:type="dxa"/>
              <w:bottom w:w="0" w:type="dxa"/>
              <w:right w:w="0" w:type="dxa"/>
            </w:tcMar>
            <w:vAlign w:val="center"/>
          </w:tcPr>
          <w:p w14:paraId="25860B2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75</w:t>
            </w:r>
          </w:p>
        </w:tc>
        <w:tc>
          <w:tcPr>
            <w:tcW w:w="232" w:type="pct"/>
            <w:vMerge w:val="continue"/>
            <w:tcBorders>
              <w:tl2br w:val="nil"/>
              <w:tr2bl w:val="nil"/>
            </w:tcBorders>
            <w:noWrap w:val="0"/>
            <w:tcMar>
              <w:top w:w="0" w:type="dxa"/>
              <w:left w:w="0" w:type="dxa"/>
              <w:bottom w:w="0" w:type="dxa"/>
              <w:right w:w="0" w:type="dxa"/>
            </w:tcMar>
            <w:vAlign w:val="center"/>
          </w:tcPr>
          <w:p w14:paraId="3017DA33">
            <w:pPr>
              <w:pStyle w:val="43"/>
              <w:bidi w:val="0"/>
              <w:rPr>
                <w:rFonts w:hint="default" w:ascii="Times New Roman" w:hAnsi="Times New Roman" w:cs="Times New Roman"/>
                <w:color w:val="auto"/>
              </w:rPr>
            </w:pPr>
          </w:p>
        </w:tc>
        <w:tc>
          <w:tcPr>
            <w:tcW w:w="215" w:type="pct"/>
            <w:tcBorders>
              <w:tl2br w:val="nil"/>
              <w:tr2bl w:val="nil"/>
            </w:tcBorders>
            <w:shd w:val="clear" w:color="auto" w:fill="FFFFFF"/>
            <w:noWrap w:val="0"/>
            <w:tcMar>
              <w:top w:w="0" w:type="dxa"/>
              <w:left w:w="0" w:type="dxa"/>
              <w:bottom w:w="0" w:type="dxa"/>
              <w:right w:w="0" w:type="dxa"/>
            </w:tcMar>
            <w:vAlign w:val="center"/>
          </w:tcPr>
          <w:p w14:paraId="0A77668D">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168.2</w:t>
            </w:r>
          </w:p>
        </w:tc>
        <w:tc>
          <w:tcPr>
            <w:tcW w:w="206" w:type="pct"/>
            <w:tcBorders>
              <w:tl2br w:val="nil"/>
              <w:tr2bl w:val="nil"/>
            </w:tcBorders>
            <w:shd w:val="clear" w:color="auto" w:fill="FFFFFF"/>
            <w:noWrap w:val="0"/>
            <w:tcMar>
              <w:top w:w="0" w:type="dxa"/>
              <w:left w:w="0" w:type="dxa"/>
              <w:bottom w:w="0" w:type="dxa"/>
              <w:right w:w="0" w:type="dxa"/>
            </w:tcMar>
            <w:vAlign w:val="center"/>
          </w:tcPr>
          <w:p w14:paraId="1DBA9387">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-74.1</w:t>
            </w:r>
          </w:p>
        </w:tc>
        <w:tc>
          <w:tcPr>
            <w:tcW w:w="214" w:type="pct"/>
            <w:tcBorders>
              <w:tl2br w:val="nil"/>
              <w:tr2bl w:val="nil"/>
            </w:tcBorders>
            <w:shd w:val="clear" w:color="auto" w:fill="FFFFFF"/>
            <w:noWrap w:val="0"/>
            <w:tcMar>
              <w:top w:w="0" w:type="dxa"/>
              <w:left w:w="0" w:type="dxa"/>
              <w:bottom w:w="0" w:type="dxa"/>
              <w:right w:w="0" w:type="dxa"/>
            </w:tcMar>
            <w:vAlign w:val="center"/>
          </w:tcPr>
          <w:p w14:paraId="2D195D78">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1.2</w:t>
            </w:r>
          </w:p>
        </w:tc>
        <w:tc>
          <w:tcPr>
            <w:tcW w:w="169" w:type="pct"/>
            <w:tcBorders>
              <w:tl2br w:val="nil"/>
              <w:tr2bl w:val="nil"/>
            </w:tcBorders>
            <w:shd w:val="clear" w:color="auto" w:fill="FFFFFF"/>
            <w:noWrap w:val="0"/>
            <w:tcMar>
              <w:top w:w="0" w:type="dxa"/>
              <w:left w:w="0" w:type="dxa"/>
              <w:bottom w:w="0" w:type="dxa"/>
              <w:right w:w="0" w:type="dxa"/>
            </w:tcMar>
            <w:vAlign w:val="center"/>
          </w:tcPr>
          <w:p w14:paraId="3CF92DF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111.6</w:t>
            </w:r>
          </w:p>
        </w:tc>
        <w:tc>
          <w:tcPr>
            <w:tcW w:w="187" w:type="pct"/>
            <w:tcBorders>
              <w:tl2br w:val="nil"/>
              <w:tr2bl w:val="nil"/>
            </w:tcBorders>
            <w:shd w:val="clear" w:color="auto" w:fill="FFFFFF"/>
            <w:noWrap w:val="0"/>
            <w:tcMar>
              <w:top w:w="0" w:type="dxa"/>
              <w:left w:w="0" w:type="dxa"/>
              <w:bottom w:w="0" w:type="dxa"/>
              <w:right w:w="0" w:type="dxa"/>
            </w:tcMar>
            <w:vAlign w:val="center"/>
          </w:tcPr>
          <w:p w14:paraId="2B63A0EB">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25.6</w:t>
            </w:r>
          </w:p>
        </w:tc>
        <w:tc>
          <w:tcPr>
            <w:tcW w:w="169" w:type="pct"/>
            <w:tcBorders>
              <w:tl2br w:val="nil"/>
              <w:tr2bl w:val="nil"/>
            </w:tcBorders>
            <w:shd w:val="clear" w:color="auto" w:fill="FFFFFF"/>
            <w:noWrap w:val="0"/>
            <w:tcMar>
              <w:top w:w="0" w:type="dxa"/>
              <w:left w:w="0" w:type="dxa"/>
              <w:bottom w:w="0" w:type="dxa"/>
              <w:right w:w="0" w:type="dxa"/>
            </w:tcMar>
            <w:vAlign w:val="center"/>
          </w:tcPr>
          <w:p w14:paraId="23C9CB9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7.6</w:t>
            </w:r>
          </w:p>
        </w:tc>
        <w:tc>
          <w:tcPr>
            <w:tcW w:w="191" w:type="pct"/>
            <w:tcBorders>
              <w:tl2br w:val="nil"/>
              <w:tr2bl w:val="nil"/>
            </w:tcBorders>
            <w:shd w:val="clear" w:color="auto" w:fill="FFFFFF"/>
            <w:noWrap w:val="0"/>
            <w:tcMar>
              <w:top w:w="0" w:type="dxa"/>
              <w:left w:w="0" w:type="dxa"/>
              <w:bottom w:w="0" w:type="dxa"/>
              <w:right w:w="0" w:type="dxa"/>
            </w:tcMar>
            <w:vAlign w:val="center"/>
          </w:tcPr>
          <w:p w14:paraId="3F7B4F4E">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6.6</w:t>
            </w:r>
          </w:p>
        </w:tc>
        <w:tc>
          <w:tcPr>
            <w:tcW w:w="166" w:type="pct"/>
            <w:tcBorders>
              <w:tl2br w:val="nil"/>
              <w:tr2bl w:val="nil"/>
            </w:tcBorders>
            <w:shd w:val="clear" w:color="auto" w:fill="FFFFFF"/>
            <w:noWrap w:val="0"/>
            <w:tcMar>
              <w:top w:w="0" w:type="dxa"/>
              <w:left w:w="0" w:type="dxa"/>
              <w:bottom w:w="0" w:type="dxa"/>
              <w:right w:w="0" w:type="dxa"/>
            </w:tcMar>
            <w:vAlign w:val="center"/>
          </w:tcPr>
          <w:p w14:paraId="66E34547">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61.1</w:t>
            </w:r>
          </w:p>
        </w:tc>
        <w:tc>
          <w:tcPr>
            <w:tcW w:w="166" w:type="pct"/>
            <w:tcBorders>
              <w:tl2br w:val="nil"/>
              <w:tr2bl w:val="nil"/>
            </w:tcBorders>
            <w:shd w:val="clear" w:color="auto" w:fill="FFFFFF"/>
            <w:noWrap w:val="0"/>
            <w:tcMar>
              <w:top w:w="0" w:type="dxa"/>
              <w:left w:w="0" w:type="dxa"/>
              <w:bottom w:w="0" w:type="dxa"/>
              <w:right w:w="0" w:type="dxa"/>
            </w:tcMar>
            <w:vAlign w:val="center"/>
          </w:tcPr>
          <w:p w14:paraId="0854FD5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61.1</w:t>
            </w:r>
          </w:p>
        </w:tc>
        <w:tc>
          <w:tcPr>
            <w:tcW w:w="166" w:type="pct"/>
            <w:tcBorders>
              <w:tl2br w:val="nil"/>
              <w:tr2bl w:val="nil"/>
            </w:tcBorders>
            <w:shd w:val="clear" w:color="auto" w:fill="FFFFFF"/>
            <w:noWrap w:val="0"/>
            <w:tcMar>
              <w:top w:w="0" w:type="dxa"/>
              <w:left w:w="0" w:type="dxa"/>
              <w:bottom w:w="0" w:type="dxa"/>
              <w:right w:w="0" w:type="dxa"/>
            </w:tcMar>
            <w:vAlign w:val="center"/>
          </w:tcPr>
          <w:p w14:paraId="1D74C0B2">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61.2</w:t>
            </w:r>
          </w:p>
        </w:tc>
        <w:tc>
          <w:tcPr>
            <w:tcW w:w="179" w:type="pct"/>
            <w:tcBorders>
              <w:tl2br w:val="nil"/>
              <w:tr2bl w:val="nil"/>
            </w:tcBorders>
            <w:shd w:val="clear" w:color="auto" w:fill="FFFFFF"/>
            <w:noWrap w:val="0"/>
            <w:tcMar>
              <w:top w:w="0" w:type="dxa"/>
              <w:left w:w="0" w:type="dxa"/>
              <w:bottom w:w="0" w:type="dxa"/>
              <w:right w:w="0" w:type="dxa"/>
            </w:tcMar>
            <w:vAlign w:val="center"/>
          </w:tcPr>
          <w:p w14:paraId="49D19A7E">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61.3</w:t>
            </w:r>
          </w:p>
        </w:tc>
        <w:tc>
          <w:tcPr>
            <w:tcW w:w="208" w:type="pct"/>
            <w:vMerge w:val="continue"/>
            <w:tcBorders>
              <w:tl2br w:val="nil"/>
              <w:tr2bl w:val="nil"/>
            </w:tcBorders>
            <w:shd w:val="clear" w:color="auto" w:fill="FFFFFF"/>
            <w:noWrap w:val="0"/>
            <w:tcMar>
              <w:top w:w="0" w:type="dxa"/>
              <w:left w:w="0" w:type="dxa"/>
              <w:bottom w:w="0" w:type="dxa"/>
              <w:right w:w="0" w:type="dxa"/>
            </w:tcMar>
            <w:vAlign w:val="center"/>
          </w:tcPr>
          <w:p w14:paraId="7B4CCCBB">
            <w:pPr>
              <w:pStyle w:val="43"/>
              <w:bidi w:val="0"/>
              <w:rPr>
                <w:rFonts w:hint="default" w:ascii="Times New Roman" w:hAnsi="Times New Roman" w:eastAsia="宋体" w:cs="Times New Roman"/>
                <w:color w:val="auto"/>
                <w:lang w:val="en-US" w:eastAsia="zh-CN"/>
              </w:rPr>
            </w:pPr>
          </w:p>
        </w:tc>
        <w:tc>
          <w:tcPr>
            <w:tcW w:w="161" w:type="pct"/>
            <w:tcBorders>
              <w:tl2br w:val="nil"/>
              <w:tr2bl w:val="nil"/>
            </w:tcBorders>
            <w:shd w:val="clear" w:color="auto" w:fill="FFFFFF"/>
            <w:noWrap w:val="0"/>
            <w:tcMar>
              <w:top w:w="0" w:type="dxa"/>
              <w:left w:w="0" w:type="dxa"/>
              <w:bottom w:w="0" w:type="dxa"/>
              <w:right w:w="0" w:type="dxa"/>
            </w:tcMar>
            <w:vAlign w:val="center"/>
          </w:tcPr>
          <w:p w14:paraId="4F3BA1E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1" w:type="pct"/>
            <w:tcBorders>
              <w:tl2br w:val="nil"/>
              <w:tr2bl w:val="nil"/>
            </w:tcBorders>
            <w:shd w:val="clear" w:color="auto" w:fill="FFFFFF"/>
            <w:noWrap w:val="0"/>
            <w:tcMar>
              <w:top w:w="0" w:type="dxa"/>
              <w:left w:w="0" w:type="dxa"/>
              <w:bottom w:w="0" w:type="dxa"/>
              <w:right w:w="0" w:type="dxa"/>
            </w:tcMar>
            <w:vAlign w:val="center"/>
          </w:tcPr>
          <w:p w14:paraId="28A31636">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1" w:type="pct"/>
            <w:tcBorders>
              <w:tl2br w:val="nil"/>
              <w:tr2bl w:val="nil"/>
            </w:tcBorders>
            <w:shd w:val="clear" w:color="auto" w:fill="FFFFFF"/>
            <w:noWrap w:val="0"/>
            <w:tcMar>
              <w:top w:w="0" w:type="dxa"/>
              <w:left w:w="0" w:type="dxa"/>
              <w:bottom w:w="0" w:type="dxa"/>
              <w:right w:w="0" w:type="dxa"/>
            </w:tcMar>
            <w:vAlign w:val="center"/>
          </w:tcPr>
          <w:p w14:paraId="0666FB80">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75" w:type="pct"/>
            <w:tcBorders>
              <w:tl2br w:val="nil"/>
              <w:tr2bl w:val="nil"/>
            </w:tcBorders>
            <w:shd w:val="clear" w:color="auto" w:fill="FFFFFF"/>
            <w:noWrap w:val="0"/>
            <w:tcMar>
              <w:top w:w="0" w:type="dxa"/>
              <w:left w:w="0" w:type="dxa"/>
              <w:bottom w:w="0" w:type="dxa"/>
              <w:right w:w="0" w:type="dxa"/>
            </w:tcMar>
            <w:vAlign w:val="center"/>
          </w:tcPr>
          <w:p w14:paraId="397151D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25.0</w:t>
            </w:r>
          </w:p>
        </w:tc>
        <w:tc>
          <w:tcPr>
            <w:tcW w:w="169" w:type="pct"/>
            <w:tcBorders>
              <w:tl2br w:val="nil"/>
              <w:tr2bl w:val="nil"/>
            </w:tcBorders>
            <w:shd w:val="clear" w:color="auto" w:fill="FFFFFF"/>
            <w:noWrap w:val="0"/>
            <w:tcMar>
              <w:top w:w="0" w:type="dxa"/>
              <w:left w:w="0" w:type="dxa"/>
              <w:bottom w:w="0" w:type="dxa"/>
              <w:right w:w="0" w:type="dxa"/>
            </w:tcMar>
            <w:vAlign w:val="center"/>
          </w:tcPr>
          <w:p w14:paraId="3BD659C5">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36.1</w:t>
            </w:r>
          </w:p>
        </w:tc>
        <w:tc>
          <w:tcPr>
            <w:tcW w:w="169" w:type="pct"/>
            <w:tcBorders>
              <w:tl2br w:val="nil"/>
              <w:tr2bl w:val="nil"/>
            </w:tcBorders>
            <w:shd w:val="clear" w:color="auto" w:fill="FFFFFF"/>
            <w:noWrap w:val="0"/>
            <w:tcMar>
              <w:top w:w="0" w:type="dxa"/>
              <w:left w:w="0" w:type="dxa"/>
              <w:bottom w:w="0" w:type="dxa"/>
              <w:right w:w="0" w:type="dxa"/>
            </w:tcMar>
            <w:vAlign w:val="center"/>
          </w:tcPr>
          <w:p w14:paraId="30F886F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36.1</w:t>
            </w:r>
          </w:p>
        </w:tc>
        <w:tc>
          <w:tcPr>
            <w:tcW w:w="169" w:type="pct"/>
            <w:tcBorders>
              <w:tl2br w:val="nil"/>
              <w:tr2bl w:val="nil"/>
            </w:tcBorders>
            <w:shd w:val="clear" w:color="auto" w:fill="FFFFFF"/>
            <w:noWrap w:val="0"/>
            <w:tcMar>
              <w:top w:w="0" w:type="dxa"/>
              <w:left w:w="0" w:type="dxa"/>
              <w:bottom w:w="0" w:type="dxa"/>
              <w:right w:w="0" w:type="dxa"/>
            </w:tcMar>
            <w:vAlign w:val="center"/>
          </w:tcPr>
          <w:p w14:paraId="192B5F14">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36.2</w:t>
            </w:r>
          </w:p>
        </w:tc>
        <w:tc>
          <w:tcPr>
            <w:tcW w:w="169" w:type="pct"/>
            <w:tcBorders>
              <w:tl2br w:val="nil"/>
              <w:tr2bl w:val="nil"/>
            </w:tcBorders>
            <w:shd w:val="clear" w:color="auto" w:fill="FFFFFF"/>
            <w:noWrap w:val="0"/>
            <w:tcMar>
              <w:top w:w="0" w:type="dxa"/>
              <w:left w:w="0" w:type="dxa"/>
              <w:bottom w:w="0" w:type="dxa"/>
              <w:right w:w="0" w:type="dxa"/>
            </w:tcMar>
            <w:vAlign w:val="center"/>
          </w:tcPr>
          <w:p w14:paraId="3BC98CC3">
            <w:pPr>
              <w:pStyle w:val="4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36.3</w:t>
            </w:r>
          </w:p>
        </w:tc>
        <w:tc>
          <w:tcPr>
            <w:tcW w:w="245" w:type="pct"/>
            <w:tcBorders>
              <w:tl2br w:val="nil"/>
              <w:tr2bl w:val="nil"/>
            </w:tcBorders>
            <w:noWrap w:val="0"/>
            <w:tcMar>
              <w:top w:w="0" w:type="dxa"/>
              <w:left w:w="0" w:type="dxa"/>
              <w:bottom w:w="0" w:type="dxa"/>
              <w:right w:w="0" w:type="dxa"/>
            </w:tcMar>
            <w:vAlign w:val="center"/>
          </w:tcPr>
          <w:p w14:paraId="671334AB">
            <w:pPr>
              <w:pStyle w:val="43"/>
              <w:bidi w:val="0"/>
              <w:rPr>
                <w:rFonts w:hint="default" w:ascii="Times New Roman" w:hAnsi="Times New Roman" w:cs="Times New Roman"/>
                <w:color w:val="auto"/>
              </w:rPr>
            </w:pPr>
            <w:r>
              <w:rPr>
                <w:rFonts w:hint="default" w:ascii="Times New Roman" w:hAnsi="Times New Roman" w:cs="Times New Roman"/>
                <w:color w:val="auto"/>
              </w:rPr>
              <w:t>1</w:t>
            </w:r>
          </w:p>
        </w:tc>
      </w:tr>
    </w:tbl>
    <w:p w14:paraId="55DF0976">
      <w:pPr>
        <w:pStyle w:val="44"/>
        <w:bidi w:val="0"/>
        <w:jc w:val="both"/>
        <w:rPr>
          <w:rFonts w:hint="default" w:ascii="Times New Roman" w:hAnsi="Times New Roman" w:eastAsia="宋体" w:cs="Times New Roman"/>
          <w:color w:val="auto"/>
          <w:sz w:val="22"/>
          <w:szCs w:val="28"/>
          <w:lang w:val="en-US" w:eastAsia="zh-CN"/>
        </w:rPr>
      </w:pPr>
      <w:r>
        <w:rPr>
          <w:rFonts w:hint="default" w:ascii="Times New Roman" w:hAnsi="Times New Roman" w:eastAsia="宋体" w:cs="Times New Roman"/>
          <w:color w:val="auto"/>
          <w:sz w:val="22"/>
          <w:szCs w:val="28"/>
          <w:lang w:val="en-US" w:eastAsia="zh-CN"/>
        </w:rPr>
        <w:t>备注：表中坐标以厂界中心（117.441276,35.614643）为坐标原点，正东向为X轴正方向，正北向为Y轴正方向。</w:t>
      </w:r>
    </w:p>
    <w:p w14:paraId="2B0DB526">
      <w:pPr>
        <w:pStyle w:val="44"/>
        <w:bidi w:val="0"/>
        <w:jc w:val="both"/>
        <w:rPr>
          <w:rFonts w:hint="default" w:ascii="Times New Roman" w:hAnsi="Times New Roman" w:cs="Times New Roman"/>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1"/>
        <w:tblW w:w="89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8235"/>
      </w:tblGrid>
      <w:tr w14:paraId="3B71E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9" w:hRule="atLeast"/>
          <w:jc w:val="center"/>
        </w:trPr>
        <w:tc>
          <w:tcPr>
            <w:tcW w:w="746" w:type="dxa"/>
            <w:noWrap w:val="0"/>
            <w:tcMar>
              <w:left w:w="28" w:type="dxa"/>
              <w:right w:w="28" w:type="dxa"/>
            </w:tcMar>
            <w:vAlign w:val="center"/>
          </w:tcPr>
          <w:p w14:paraId="221640A6">
            <w:pPr>
              <w:pStyle w:val="25"/>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p>
        </w:tc>
        <w:tc>
          <w:tcPr>
            <w:tcW w:w="8235" w:type="dxa"/>
            <w:noWrap w:val="0"/>
            <w:vAlign w:val="top"/>
          </w:tcPr>
          <w:p w14:paraId="09749D30">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w:t>
            </w:r>
            <w:r>
              <w:rPr>
                <w:rFonts w:hint="eastAsia" w:ascii="Times New Roman" w:hAnsi="Times New Roman" w:eastAsia="宋体" w:cs="Times New Roman"/>
                <w:b/>
                <w:bCs w:val="0"/>
                <w:color w:val="auto"/>
                <w:lang w:val="en-US" w:eastAsia="zh-CN"/>
              </w:rPr>
              <w:t>噪声预测</w:t>
            </w:r>
          </w:p>
          <w:p w14:paraId="74BF74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预测模型</w:t>
            </w:r>
          </w:p>
          <w:p w14:paraId="0205F2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根据项目建设内容及《环境影响评价技术导则—声环境》（HJ2.4-2021）的要求，项目环评采用的模型为《环境影响评价技术导则 声环境》(HJ2.4.2021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附录A（规范性附录）户外声传播的衰减和附录B（规范性附录）中“B.1工业噪声预测计算模型”。</w:t>
            </w:r>
          </w:p>
          <w:p w14:paraId="5DE29A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噪声源强</w:t>
            </w:r>
          </w:p>
          <w:p w14:paraId="1AE3B96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rPr>
            </w:pPr>
            <w:r>
              <w:rPr>
                <w:rFonts w:hint="eastAsia" w:ascii="Times New Roman" w:hAnsi="Times New Roman" w:eastAsia="宋体" w:cs="Times New Roman"/>
                <w:color w:val="auto"/>
                <w:kern w:val="0"/>
                <w:sz w:val="24"/>
                <w:szCs w:val="24"/>
                <w:lang w:val="en-US" w:eastAsia="zh-CN"/>
              </w:rPr>
              <w:t>除</w:t>
            </w:r>
            <w:r>
              <w:rPr>
                <w:rFonts w:hint="eastAsia" w:cs="Times New Roman"/>
                <w:color w:val="auto"/>
                <w:kern w:val="0"/>
                <w:sz w:val="24"/>
                <w:szCs w:val="24"/>
                <w:lang w:val="en-US" w:eastAsia="zh-CN"/>
              </w:rPr>
              <w:t>废气处理设施</w:t>
            </w:r>
            <w:r>
              <w:rPr>
                <w:rFonts w:hint="eastAsia" w:ascii="Times New Roman" w:hAnsi="Times New Roman" w:eastAsia="宋体" w:cs="Times New Roman"/>
                <w:color w:val="auto"/>
                <w:kern w:val="0"/>
                <w:sz w:val="24"/>
                <w:szCs w:val="24"/>
                <w:lang w:val="en-US" w:eastAsia="zh-CN"/>
              </w:rPr>
              <w:t>外</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kern w:val="0"/>
                <w:sz w:val="24"/>
                <w:szCs w:val="24"/>
                <w:lang w:val="en-US" w:eastAsia="zh-CN"/>
              </w:rPr>
              <w:t>其他</w:t>
            </w:r>
            <w:r>
              <w:rPr>
                <w:rFonts w:hint="default" w:ascii="Times New Roman" w:hAnsi="Times New Roman" w:eastAsia="宋体" w:cs="Times New Roman"/>
                <w:color w:val="auto"/>
                <w:kern w:val="0"/>
                <w:sz w:val="24"/>
                <w:szCs w:val="24"/>
              </w:rPr>
              <w:t>高噪声设备均安置在室内，</w:t>
            </w:r>
            <w:r>
              <w:rPr>
                <w:rFonts w:hint="eastAsia" w:ascii="Times New Roman" w:hAnsi="Times New Roman" w:eastAsia="宋体" w:cs="Times New Roman"/>
                <w:color w:val="auto"/>
                <w:kern w:val="0"/>
                <w:sz w:val="24"/>
                <w:szCs w:val="24"/>
                <w:lang w:val="en-US" w:eastAsia="zh-CN"/>
              </w:rPr>
              <w:t>对于</w:t>
            </w:r>
            <w:r>
              <w:rPr>
                <w:rFonts w:hint="default" w:ascii="Times New Roman" w:hAnsi="Times New Roman" w:eastAsia="宋体" w:cs="Times New Roman"/>
                <w:color w:val="auto"/>
                <w:sz w:val="24"/>
                <w:szCs w:val="24"/>
              </w:rPr>
              <w:t>相同设备数量较多且分布集中，有大致相同的强度和离地面高度，到接收点有相同的传播条件，从单一等效点声源到接收点间的距离d超过声源的最大尺寸二倍</w:t>
            </w:r>
            <w:r>
              <w:rPr>
                <w:rFonts w:hint="eastAsia" w:ascii="Times New Roman" w:hAnsi="Times New Roman" w:eastAsia="宋体" w:cs="Times New Roman"/>
                <w:color w:val="auto"/>
                <w:sz w:val="24"/>
                <w:szCs w:val="24"/>
                <w:lang w:val="en-US" w:eastAsia="zh-CN"/>
              </w:rPr>
              <w:t>的噪声源</w:t>
            </w:r>
            <w:r>
              <w:rPr>
                <w:rFonts w:hint="default" w:ascii="Times New Roman" w:hAnsi="Times New Roman" w:eastAsia="宋体" w:cs="Times New Roman"/>
                <w:color w:val="auto"/>
                <w:sz w:val="24"/>
                <w:szCs w:val="24"/>
              </w:rPr>
              <w:t>，以点声源组进行调查分析。室</w:t>
            </w:r>
            <w:r>
              <w:rPr>
                <w:rFonts w:hint="eastAsia" w:ascii="Times New Roman" w:hAnsi="Times New Roman" w:eastAsia="宋体" w:cs="Times New Roman"/>
                <w:color w:val="auto"/>
                <w:sz w:val="24"/>
                <w:szCs w:val="24"/>
                <w:lang w:val="en-US" w:eastAsia="zh-CN"/>
              </w:rPr>
              <w:t>内</w:t>
            </w:r>
            <w:r>
              <w:rPr>
                <w:rFonts w:hint="default" w:ascii="Times New Roman" w:hAnsi="Times New Roman" w:eastAsia="宋体" w:cs="Times New Roman"/>
                <w:color w:val="auto"/>
                <w:sz w:val="24"/>
                <w:szCs w:val="24"/>
              </w:rPr>
              <w:t>噪声源强调查清单见</w:t>
            </w:r>
            <w:r>
              <w:rPr>
                <w:rFonts w:hint="default" w:ascii="Times New Roman" w:hAnsi="Times New Roman" w:eastAsia="宋体" w:cs="Times New Roman"/>
                <w:color w:val="auto"/>
                <w:sz w:val="24"/>
                <w:szCs w:val="24"/>
                <w:lang w:eastAsia="zh-CN"/>
              </w:rPr>
              <w:t>表</w:t>
            </w:r>
            <w:r>
              <w:rPr>
                <w:rFonts w:hint="default" w:ascii="Times New Roman" w:hAnsi="Times New Roman" w:eastAsia="宋体" w:cs="Times New Roman"/>
                <w:color w:val="auto"/>
                <w:sz w:val="24"/>
                <w:szCs w:val="24"/>
                <w:lang w:val="en-US" w:eastAsia="zh-CN"/>
              </w:rPr>
              <w:t>4-</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w:t>
            </w:r>
          </w:p>
          <w:p w14:paraId="65056CD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③预测结果</w:t>
            </w:r>
          </w:p>
          <w:p w14:paraId="0C532946">
            <w:pPr>
              <w:pStyle w:val="25"/>
              <w:widowControl w:val="0"/>
              <w:adjustRightInd w:val="0"/>
              <w:snapToGrid w:val="0"/>
              <w:spacing w:before="0" w:beforeAutospacing="0" w:after="0" w:afterAutospacing="0"/>
              <w:ind w:right="-120"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rPr>
              <w:t>选择</w:t>
            </w:r>
            <w:r>
              <w:rPr>
                <w:rFonts w:hint="default" w:ascii="Times New Roman" w:hAnsi="Times New Roman" w:eastAsia="宋体" w:cs="Times New Roman"/>
                <w:color w:val="auto"/>
                <w:kern w:val="0"/>
                <w:sz w:val="24"/>
                <w:szCs w:val="24"/>
                <w:lang w:val="en-US" w:eastAsia="zh-CN"/>
              </w:rPr>
              <w:t>项目</w:t>
            </w:r>
            <w:r>
              <w:rPr>
                <w:rFonts w:hint="default" w:ascii="Times New Roman" w:hAnsi="Times New Roman" w:eastAsia="宋体" w:cs="Times New Roman"/>
                <w:color w:val="auto"/>
                <w:kern w:val="0"/>
                <w:sz w:val="24"/>
                <w:szCs w:val="24"/>
              </w:rPr>
              <w:t>东、南、西、北厂界作为关心点，项目东、南、西、北厂界的昼夜间噪声预测</w:t>
            </w:r>
            <w:r>
              <w:rPr>
                <w:rFonts w:hint="default" w:ascii="Times New Roman" w:hAnsi="Times New Roman" w:eastAsia="宋体" w:cs="Times New Roman"/>
                <w:color w:val="auto"/>
                <w:kern w:val="0"/>
                <w:sz w:val="24"/>
                <w:szCs w:val="24"/>
                <w:lang w:val="en-US" w:eastAsia="zh-CN"/>
              </w:rPr>
              <w:t>贡献</w:t>
            </w:r>
            <w:r>
              <w:rPr>
                <w:rFonts w:hint="default" w:ascii="Times New Roman" w:hAnsi="Times New Roman" w:eastAsia="宋体" w:cs="Times New Roman"/>
                <w:color w:val="auto"/>
                <w:kern w:val="0"/>
                <w:sz w:val="24"/>
                <w:szCs w:val="24"/>
              </w:rPr>
              <w:t>值见下表：</w:t>
            </w:r>
          </w:p>
          <w:p w14:paraId="2E009911">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w:t>
            </w:r>
            <w:r>
              <w:rPr>
                <w:rFonts w:hint="eastAsia" w:eastAsia="宋体" w:cs="Times New Roman"/>
                <w:b/>
                <w:bCs w:val="0"/>
                <w:color w:val="auto"/>
                <w:lang w:val="en-US" w:eastAsia="zh-CN"/>
              </w:rPr>
              <w:t>2</w:t>
            </w:r>
            <w:r>
              <w:rPr>
                <w:rFonts w:hint="default"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rPr>
              <w:t>厂界噪声预测结果与达标分析表</w:t>
            </w:r>
            <w:r>
              <w:rPr>
                <w:rFonts w:hint="eastAsia" w:ascii="Times New Roman" w:hAnsi="Times New Roman" w:eastAsia="宋体" w:cs="Times New Roman"/>
                <w:b/>
                <w:bCs w:val="0"/>
                <w:color w:val="auto"/>
                <w:lang w:val="en-US" w:eastAsia="zh-CN"/>
              </w:rPr>
              <w:t xml:space="preserve">  </w:t>
            </w:r>
            <w:r>
              <w:rPr>
                <w:rFonts w:hint="eastAsia" w:ascii="Times New Roman" w:hAnsi="Times New Roman" w:eastAsia="宋体" w:cs="Times New Roman"/>
                <w:b/>
                <w:bCs w:val="0"/>
                <w:color w:val="auto"/>
                <w:sz w:val="24"/>
                <w:szCs w:val="24"/>
                <w:lang w:val="en-US" w:eastAsia="zh-CN"/>
              </w:rPr>
              <w:t xml:space="preserve"> dB(A)</w:t>
            </w:r>
          </w:p>
          <w:tbl>
            <w:tblPr>
              <w:tblStyle w:val="31"/>
              <w:tblW w:w="8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25"/>
              <w:gridCol w:w="820"/>
              <w:gridCol w:w="634"/>
              <w:gridCol w:w="696"/>
              <w:gridCol w:w="950"/>
              <w:gridCol w:w="901"/>
              <w:gridCol w:w="930"/>
              <w:gridCol w:w="1001"/>
              <w:gridCol w:w="659"/>
            </w:tblGrid>
            <w:tr w14:paraId="41502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17" w:type="dxa"/>
                  <w:vMerge w:val="restart"/>
                  <w:tcBorders>
                    <w:tl2br w:val="nil"/>
                    <w:tr2bl w:val="nil"/>
                  </w:tcBorders>
                  <w:noWrap w:val="0"/>
                  <w:vAlign w:val="center"/>
                </w:tcPr>
                <w:p w14:paraId="08F160D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预测方位</w:t>
                  </w:r>
                </w:p>
              </w:tc>
              <w:tc>
                <w:tcPr>
                  <w:tcW w:w="2279" w:type="dxa"/>
                  <w:gridSpan w:val="3"/>
                  <w:tcBorders>
                    <w:tl2br w:val="nil"/>
                    <w:tr2bl w:val="nil"/>
                  </w:tcBorders>
                  <w:noWrap w:val="0"/>
                  <w:vAlign w:val="center"/>
                </w:tcPr>
                <w:p w14:paraId="16373E4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eastAsia" w:ascii="Times New Roman" w:hAnsi="Times New Roman" w:eastAsia="宋体" w:cs="Times New Roman"/>
                      <w:b/>
                      <w:bCs/>
                      <w:color w:val="auto"/>
                      <w:kern w:val="0"/>
                      <w:sz w:val="21"/>
                      <w:szCs w:val="21"/>
                      <w:lang w:val="en-US" w:eastAsia="zh-CN" w:bidi="ar"/>
                    </w:rPr>
                    <w:t>最大值点</w:t>
                  </w:r>
                  <w:r>
                    <w:rPr>
                      <w:rFonts w:hint="default" w:ascii="Times New Roman" w:hAnsi="Times New Roman" w:eastAsia="宋体" w:cs="Times New Roman"/>
                      <w:b/>
                      <w:bCs/>
                      <w:color w:val="auto"/>
                      <w:kern w:val="0"/>
                      <w:sz w:val="21"/>
                      <w:szCs w:val="21"/>
                      <w:lang w:bidi="ar"/>
                    </w:rPr>
                    <w:t>空间相对位置/m</w:t>
                  </w:r>
                </w:p>
              </w:tc>
              <w:tc>
                <w:tcPr>
                  <w:tcW w:w="696" w:type="dxa"/>
                  <w:vMerge w:val="restart"/>
                  <w:tcBorders>
                    <w:tl2br w:val="nil"/>
                    <w:tr2bl w:val="nil"/>
                  </w:tcBorders>
                  <w:noWrap w:val="0"/>
                  <w:vAlign w:val="center"/>
                </w:tcPr>
                <w:p w14:paraId="1E90B78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时段</w:t>
                  </w:r>
                </w:p>
              </w:tc>
              <w:tc>
                <w:tcPr>
                  <w:tcW w:w="950" w:type="dxa"/>
                  <w:vMerge w:val="restart"/>
                  <w:tcBorders>
                    <w:tl2br w:val="nil"/>
                    <w:tr2bl w:val="nil"/>
                  </w:tcBorders>
                  <w:noWrap w:val="0"/>
                  <w:vAlign w:val="center"/>
                </w:tcPr>
                <w:p w14:paraId="1FB00E6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eastAsia" w:ascii="Times New Roman" w:hAnsi="Times New Roman" w:eastAsia="宋体" w:cs="Times New Roman"/>
                      <w:b/>
                      <w:bCs/>
                      <w:color w:val="auto"/>
                      <w:kern w:val="0"/>
                      <w:sz w:val="21"/>
                      <w:szCs w:val="21"/>
                      <w:lang w:bidi="ar"/>
                    </w:rPr>
                    <w:t>贡献值</w:t>
                  </w:r>
                </w:p>
              </w:tc>
              <w:tc>
                <w:tcPr>
                  <w:tcW w:w="901" w:type="dxa"/>
                  <w:vMerge w:val="restart"/>
                  <w:tcBorders>
                    <w:tl2br w:val="nil"/>
                    <w:tr2bl w:val="nil"/>
                  </w:tcBorders>
                  <w:noWrap w:val="0"/>
                  <w:vAlign w:val="center"/>
                </w:tcPr>
                <w:p w14:paraId="33B9B99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val="en-US" w:eastAsia="zh-CN" w:bidi="ar"/>
                    </w:rPr>
                  </w:pPr>
                  <w:r>
                    <w:rPr>
                      <w:rFonts w:hint="eastAsia" w:ascii="Times New Roman" w:hAnsi="Times New Roman" w:cs="Times New Roman"/>
                      <w:b/>
                      <w:bCs/>
                      <w:color w:val="auto"/>
                      <w:kern w:val="0"/>
                      <w:sz w:val="21"/>
                      <w:szCs w:val="21"/>
                      <w:lang w:val="en-US" w:eastAsia="zh-CN" w:bidi="ar"/>
                    </w:rPr>
                    <w:t>背景值</w:t>
                  </w:r>
                </w:p>
              </w:tc>
              <w:tc>
                <w:tcPr>
                  <w:tcW w:w="930" w:type="dxa"/>
                  <w:vMerge w:val="restart"/>
                  <w:tcBorders>
                    <w:tl2br w:val="nil"/>
                    <w:tr2bl w:val="nil"/>
                  </w:tcBorders>
                  <w:noWrap w:val="0"/>
                  <w:vAlign w:val="center"/>
                </w:tcPr>
                <w:p w14:paraId="043E119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bCs/>
                      <w:color w:val="auto"/>
                      <w:kern w:val="0"/>
                      <w:sz w:val="21"/>
                      <w:szCs w:val="21"/>
                      <w:lang w:bidi="ar"/>
                    </w:rPr>
                  </w:pPr>
                  <w:r>
                    <w:rPr>
                      <w:rFonts w:hint="eastAsia" w:ascii="Times New Roman" w:hAnsi="Times New Roman" w:cs="Times New Roman"/>
                      <w:b/>
                      <w:bCs/>
                      <w:color w:val="auto"/>
                      <w:kern w:val="0"/>
                      <w:sz w:val="21"/>
                      <w:szCs w:val="21"/>
                      <w:lang w:val="en-US" w:eastAsia="zh-CN" w:bidi="ar"/>
                    </w:rPr>
                    <w:t>预测值</w:t>
                  </w:r>
                </w:p>
              </w:tc>
              <w:tc>
                <w:tcPr>
                  <w:tcW w:w="1001" w:type="dxa"/>
                  <w:vMerge w:val="restart"/>
                  <w:tcBorders>
                    <w:tl2br w:val="nil"/>
                    <w:tr2bl w:val="nil"/>
                  </w:tcBorders>
                  <w:noWrap w:val="0"/>
                  <w:vAlign w:val="center"/>
                </w:tcPr>
                <w:p w14:paraId="0382529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标准限值</w:t>
                  </w:r>
                </w:p>
              </w:tc>
              <w:tc>
                <w:tcPr>
                  <w:tcW w:w="659" w:type="dxa"/>
                  <w:vMerge w:val="restart"/>
                  <w:tcBorders>
                    <w:tl2br w:val="nil"/>
                    <w:tr2bl w:val="nil"/>
                  </w:tcBorders>
                  <w:noWrap w:val="0"/>
                  <w:vAlign w:val="center"/>
                </w:tcPr>
                <w:p w14:paraId="70641AA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达标情况</w:t>
                  </w:r>
                </w:p>
              </w:tc>
            </w:tr>
            <w:tr w14:paraId="3D261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17" w:type="dxa"/>
                  <w:vMerge w:val="continue"/>
                  <w:tcBorders>
                    <w:tl2br w:val="nil"/>
                    <w:tr2bl w:val="nil"/>
                  </w:tcBorders>
                  <w:shd w:val="clear" w:color="auto" w:fill="FFFFFF"/>
                  <w:noWrap w:val="0"/>
                  <w:vAlign w:val="center"/>
                </w:tcPr>
                <w:p w14:paraId="2C1A81B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825" w:type="dxa"/>
                  <w:tcBorders>
                    <w:tl2br w:val="nil"/>
                    <w:tr2bl w:val="nil"/>
                  </w:tcBorders>
                  <w:shd w:val="clear" w:color="auto" w:fill="FFFFFF"/>
                  <w:noWrap w:val="0"/>
                  <w:vAlign w:val="center"/>
                </w:tcPr>
                <w:p w14:paraId="59B32CE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X</w:t>
                  </w:r>
                </w:p>
              </w:tc>
              <w:tc>
                <w:tcPr>
                  <w:tcW w:w="820" w:type="dxa"/>
                  <w:tcBorders>
                    <w:tl2br w:val="nil"/>
                    <w:tr2bl w:val="nil"/>
                  </w:tcBorders>
                  <w:shd w:val="clear" w:color="auto" w:fill="FFFFFF"/>
                  <w:noWrap w:val="0"/>
                  <w:vAlign w:val="center"/>
                </w:tcPr>
                <w:p w14:paraId="08083F9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Y</w:t>
                  </w:r>
                </w:p>
              </w:tc>
              <w:tc>
                <w:tcPr>
                  <w:tcW w:w="634" w:type="dxa"/>
                  <w:tcBorders>
                    <w:tl2br w:val="nil"/>
                    <w:tr2bl w:val="nil"/>
                  </w:tcBorders>
                  <w:shd w:val="clear" w:color="auto" w:fill="FFFFFF"/>
                  <w:noWrap w:val="0"/>
                  <w:vAlign w:val="center"/>
                </w:tcPr>
                <w:p w14:paraId="49A2103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bCs/>
                      <w:color w:val="auto"/>
                      <w:kern w:val="0"/>
                      <w:sz w:val="21"/>
                      <w:szCs w:val="21"/>
                      <w:lang w:bidi="ar"/>
                    </w:rPr>
                  </w:pPr>
                  <w:r>
                    <w:rPr>
                      <w:rFonts w:hint="default" w:ascii="Times New Roman" w:hAnsi="Times New Roman" w:eastAsia="宋体" w:cs="Times New Roman"/>
                      <w:b/>
                      <w:bCs/>
                      <w:color w:val="auto"/>
                      <w:kern w:val="0"/>
                      <w:sz w:val="21"/>
                      <w:szCs w:val="21"/>
                      <w:lang w:bidi="ar"/>
                    </w:rPr>
                    <w:t>Z</w:t>
                  </w:r>
                </w:p>
              </w:tc>
              <w:tc>
                <w:tcPr>
                  <w:tcW w:w="696" w:type="dxa"/>
                  <w:vMerge w:val="continue"/>
                  <w:tcBorders>
                    <w:tl2br w:val="nil"/>
                    <w:tr2bl w:val="nil"/>
                  </w:tcBorders>
                  <w:shd w:val="clear" w:color="auto" w:fill="FFFFFF"/>
                  <w:noWrap w:val="0"/>
                  <w:vAlign w:val="center"/>
                </w:tcPr>
                <w:p w14:paraId="4ECAB00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950" w:type="dxa"/>
                  <w:vMerge w:val="continue"/>
                  <w:tcBorders>
                    <w:tl2br w:val="nil"/>
                    <w:tr2bl w:val="nil"/>
                  </w:tcBorders>
                  <w:shd w:val="clear" w:color="auto" w:fill="FFFFFF"/>
                  <w:noWrap w:val="0"/>
                  <w:vAlign w:val="center"/>
                </w:tcPr>
                <w:p w14:paraId="711EE53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901" w:type="dxa"/>
                  <w:vMerge w:val="continue"/>
                  <w:tcBorders>
                    <w:tl2br w:val="nil"/>
                    <w:tr2bl w:val="nil"/>
                  </w:tcBorders>
                  <w:shd w:val="clear" w:color="auto" w:fill="FFFFFF"/>
                  <w:noWrap w:val="0"/>
                  <w:vAlign w:val="center"/>
                </w:tcPr>
                <w:p w14:paraId="5D629EB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930" w:type="dxa"/>
                  <w:vMerge w:val="continue"/>
                  <w:tcBorders>
                    <w:tl2br w:val="nil"/>
                    <w:tr2bl w:val="nil"/>
                  </w:tcBorders>
                  <w:shd w:val="clear" w:color="auto" w:fill="FFFFFF"/>
                  <w:noWrap w:val="0"/>
                  <w:vAlign w:val="center"/>
                </w:tcPr>
                <w:p w14:paraId="4F95D37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1001" w:type="dxa"/>
                  <w:vMerge w:val="continue"/>
                  <w:tcBorders>
                    <w:tl2br w:val="nil"/>
                    <w:tr2bl w:val="nil"/>
                  </w:tcBorders>
                  <w:shd w:val="clear" w:color="auto" w:fill="FFFFFF"/>
                  <w:noWrap w:val="0"/>
                  <w:vAlign w:val="center"/>
                </w:tcPr>
                <w:p w14:paraId="5E07312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659" w:type="dxa"/>
                  <w:vMerge w:val="continue"/>
                  <w:tcBorders>
                    <w:tl2br w:val="nil"/>
                    <w:tr2bl w:val="nil"/>
                  </w:tcBorders>
                  <w:shd w:val="clear" w:color="auto" w:fill="FFFFFF"/>
                  <w:noWrap w:val="0"/>
                  <w:vAlign w:val="center"/>
                </w:tcPr>
                <w:p w14:paraId="26F3148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r>
            <w:tr w14:paraId="2F75D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restart"/>
                  <w:tcBorders>
                    <w:tl2br w:val="nil"/>
                    <w:tr2bl w:val="nil"/>
                  </w:tcBorders>
                  <w:shd w:val="clear" w:color="auto" w:fill="FFFFFF"/>
                  <w:noWrap w:val="0"/>
                  <w:vAlign w:val="center"/>
                </w:tcPr>
                <w:p w14:paraId="391B555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东</w:t>
                  </w:r>
                  <w:r>
                    <w:rPr>
                      <w:rFonts w:hint="eastAsia" w:ascii="Times New Roman" w:hAnsi="Times New Roman" w:eastAsia="宋体" w:cs="Times New Roman"/>
                      <w:color w:val="auto"/>
                      <w:kern w:val="0"/>
                      <w:sz w:val="21"/>
                      <w:szCs w:val="21"/>
                      <w:lang w:val="en-US" w:eastAsia="zh-CN" w:bidi="ar"/>
                    </w:rPr>
                    <w:t>厂界</w:t>
                  </w:r>
                </w:p>
              </w:tc>
              <w:tc>
                <w:tcPr>
                  <w:tcW w:w="825" w:type="dxa"/>
                  <w:tcBorders>
                    <w:tl2br w:val="nil"/>
                    <w:tr2bl w:val="nil"/>
                  </w:tcBorders>
                  <w:shd w:val="clear" w:color="auto" w:fill="FFFFFF"/>
                  <w:noWrap w:val="0"/>
                  <w:vAlign w:val="center"/>
                </w:tcPr>
                <w:p w14:paraId="531EEFB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323</w:t>
                  </w:r>
                </w:p>
              </w:tc>
              <w:tc>
                <w:tcPr>
                  <w:tcW w:w="820" w:type="dxa"/>
                  <w:tcBorders>
                    <w:tl2br w:val="nil"/>
                    <w:tr2bl w:val="nil"/>
                  </w:tcBorders>
                  <w:shd w:val="clear" w:color="auto" w:fill="FFFFFF"/>
                  <w:noWrap w:val="0"/>
                  <w:vAlign w:val="center"/>
                </w:tcPr>
                <w:p w14:paraId="1FE3B60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117.4</w:t>
                  </w:r>
                </w:p>
              </w:tc>
              <w:tc>
                <w:tcPr>
                  <w:tcW w:w="634" w:type="dxa"/>
                  <w:tcBorders>
                    <w:tl2br w:val="nil"/>
                    <w:tr2bl w:val="nil"/>
                  </w:tcBorders>
                  <w:shd w:val="clear" w:color="auto" w:fill="FFFFFF"/>
                  <w:noWrap w:val="0"/>
                  <w:vAlign w:val="center"/>
                </w:tcPr>
                <w:p w14:paraId="7DFCF2D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02E3BB2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昼间</w:t>
                  </w:r>
                </w:p>
              </w:tc>
              <w:tc>
                <w:tcPr>
                  <w:tcW w:w="950" w:type="dxa"/>
                  <w:tcBorders>
                    <w:tl2br w:val="nil"/>
                    <w:tr2bl w:val="nil"/>
                  </w:tcBorders>
                  <w:shd w:val="clear" w:color="auto" w:fill="FFFFFF"/>
                  <w:noWrap w:val="0"/>
                  <w:vAlign w:val="center"/>
                </w:tcPr>
                <w:p w14:paraId="3F5AE7A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12.6</w:t>
                  </w:r>
                </w:p>
              </w:tc>
              <w:tc>
                <w:tcPr>
                  <w:tcW w:w="901" w:type="dxa"/>
                  <w:tcBorders>
                    <w:tl2br w:val="nil"/>
                    <w:tr2bl w:val="nil"/>
                  </w:tcBorders>
                  <w:shd w:val="clear" w:color="auto" w:fill="FFFFFF"/>
                  <w:noWrap w:val="0"/>
                  <w:vAlign w:val="center"/>
                </w:tcPr>
                <w:p w14:paraId="5C6E3F9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55</w:t>
                  </w:r>
                </w:p>
              </w:tc>
              <w:tc>
                <w:tcPr>
                  <w:tcW w:w="930" w:type="dxa"/>
                  <w:tcBorders>
                    <w:tl2br w:val="nil"/>
                    <w:tr2bl w:val="nil"/>
                  </w:tcBorders>
                  <w:shd w:val="clear" w:color="auto" w:fill="FFFFFF"/>
                  <w:noWrap w:val="0"/>
                  <w:vAlign w:val="center"/>
                </w:tcPr>
                <w:p w14:paraId="4B1CC0E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55</w:t>
                  </w:r>
                </w:p>
              </w:tc>
              <w:tc>
                <w:tcPr>
                  <w:tcW w:w="1001" w:type="dxa"/>
                  <w:tcBorders>
                    <w:tl2br w:val="nil"/>
                    <w:tr2bl w:val="nil"/>
                  </w:tcBorders>
                  <w:shd w:val="clear" w:color="auto" w:fill="FFFFFF"/>
                  <w:noWrap w:val="0"/>
                  <w:vAlign w:val="center"/>
                </w:tcPr>
                <w:p w14:paraId="3145CCE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6</w:t>
                  </w:r>
                  <w:r>
                    <w:rPr>
                      <w:rFonts w:hint="eastAsia" w:ascii="Times New Roman" w:hAnsi="Times New Roman" w:eastAsia="宋体" w:cs="Times New Roman"/>
                      <w:color w:val="auto"/>
                      <w:kern w:val="0"/>
                      <w:sz w:val="21"/>
                      <w:szCs w:val="21"/>
                      <w:lang w:val="en-US" w:eastAsia="zh-CN" w:bidi="ar"/>
                    </w:rPr>
                    <w:t>0</w:t>
                  </w:r>
                </w:p>
              </w:tc>
              <w:tc>
                <w:tcPr>
                  <w:tcW w:w="659" w:type="dxa"/>
                  <w:tcBorders>
                    <w:tl2br w:val="nil"/>
                    <w:tr2bl w:val="nil"/>
                  </w:tcBorders>
                  <w:shd w:val="clear" w:color="auto" w:fill="FFFFFF"/>
                  <w:noWrap w:val="0"/>
                  <w:vAlign w:val="center"/>
                </w:tcPr>
                <w:p w14:paraId="51FE625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7E218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continue"/>
                  <w:tcBorders>
                    <w:tl2br w:val="nil"/>
                    <w:tr2bl w:val="nil"/>
                  </w:tcBorders>
                  <w:shd w:val="clear" w:color="auto" w:fill="FFFFFF"/>
                  <w:noWrap w:val="0"/>
                  <w:vAlign w:val="center"/>
                </w:tcPr>
                <w:p w14:paraId="0C121AB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825" w:type="dxa"/>
                  <w:tcBorders>
                    <w:tl2br w:val="nil"/>
                    <w:tr2bl w:val="nil"/>
                  </w:tcBorders>
                  <w:shd w:val="clear" w:color="auto" w:fill="FFFFFF"/>
                  <w:noWrap w:val="0"/>
                  <w:vAlign w:val="center"/>
                </w:tcPr>
                <w:p w14:paraId="403AF6A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323</w:t>
                  </w:r>
                </w:p>
              </w:tc>
              <w:tc>
                <w:tcPr>
                  <w:tcW w:w="820" w:type="dxa"/>
                  <w:tcBorders>
                    <w:tl2br w:val="nil"/>
                    <w:tr2bl w:val="nil"/>
                  </w:tcBorders>
                  <w:shd w:val="clear" w:color="auto" w:fill="FFFFFF"/>
                  <w:noWrap w:val="0"/>
                  <w:vAlign w:val="center"/>
                </w:tcPr>
                <w:p w14:paraId="52EEA88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117.4</w:t>
                  </w:r>
                </w:p>
              </w:tc>
              <w:tc>
                <w:tcPr>
                  <w:tcW w:w="634" w:type="dxa"/>
                  <w:tcBorders>
                    <w:tl2br w:val="nil"/>
                    <w:tr2bl w:val="nil"/>
                  </w:tcBorders>
                  <w:shd w:val="clear" w:color="auto" w:fill="FFFFFF"/>
                  <w:noWrap w:val="0"/>
                  <w:vAlign w:val="center"/>
                </w:tcPr>
                <w:p w14:paraId="594F977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5D3F3A3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夜间</w:t>
                  </w:r>
                </w:p>
              </w:tc>
              <w:tc>
                <w:tcPr>
                  <w:tcW w:w="950" w:type="dxa"/>
                  <w:tcBorders>
                    <w:tl2br w:val="nil"/>
                    <w:tr2bl w:val="nil"/>
                  </w:tcBorders>
                  <w:shd w:val="clear" w:color="auto" w:fill="FFFFFF"/>
                  <w:noWrap w:val="0"/>
                  <w:vAlign w:val="center"/>
                </w:tcPr>
                <w:p w14:paraId="13F6BF9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12.6</w:t>
                  </w:r>
                </w:p>
              </w:tc>
              <w:tc>
                <w:tcPr>
                  <w:tcW w:w="901" w:type="dxa"/>
                  <w:tcBorders>
                    <w:tl2br w:val="nil"/>
                    <w:tr2bl w:val="nil"/>
                  </w:tcBorders>
                  <w:shd w:val="clear" w:color="auto" w:fill="FFFFFF"/>
                  <w:noWrap w:val="0"/>
                  <w:vAlign w:val="center"/>
                </w:tcPr>
                <w:p w14:paraId="269996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46</w:t>
                  </w:r>
                </w:p>
              </w:tc>
              <w:tc>
                <w:tcPr>
                  <w:tcW w:w="930" w:type="dxa"/>
                  <w:tcBorders>
                    <w:tl2br w:val="nil"/>
                    <w:tr2bl w:val="nil"/>
                  </w:tcBorders>
                  <w:shd w:val="clear" w:color="auto" w:fill="FFFFFF"/>
                  <w:noWrap w:val="0"/>
                  <w:vAlign w:val="center"/>
                </w:tcPr>
                <w:p w14:paraId="69BD317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46</w:t>
                  </w:r>
                </w:p>
              </w:tc>
              <w:tc>
                <w:tcPr>
                  <w:tcW w:w="1001" w:type="dxa"/>
                  <w:tcBorders>
                    <w:tl2br w:val="nil"/>
                    <w:tr2bl w:val="nil"/>
                  </w:tcBorders>
                  <w:shd w:val="clear" w:color="auto" w:fill="FFFFFF"/>
                  <w:noWrap w:val="0"/>
                  <w:vAlign w:val="center"/>
                </w:tcPr>
                <w:p w14:paraId="2A3C45C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w:t>
                  </w:r>
                </w:p>
              </w:tc>
              <w:tc>
                <w:tcPr>
                  <w:tcW w:w="659" w:type="dxa"/>
                  <w:tcBorders>
                    <w:tl2br w:val="nil"/>
                    <w:tr2bl w:val="nil"/>
                  </w:tcBorders>
                  <w:shd w:val="clear" w:color="auto" w:fill="FFFFFF"/>
                  <w:noWrap w:val="0"/>
                  <w:vAlign w:val="center"/>
                </w:tcPr>
                <w:p w14:paraId="711FBEB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33108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restart"/>
                  <w:tcBorders>
                    <w:tl2br w:val="nil"/>
                    <w:tr2bl w:val="nil"/>
                  </w:tcBorders>
                  <w:shd w:val="clear" w:color="auto" w:fill="FFFFFF"/>
                  <w:noWrap w:val="0"/>
                  <w:vAlign w:val="center"/>
                </w:tcPr>
                <w:p w14:paraId="14A762F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南</w:t>
                  </w:r>
                  <w:r>
                    <w:rPr>
                      <w:rFonts w:hint="eastAsia" w:ascii="Times New Roman" w:hAnsi="Times New Roman" w:eastAsia="宋体" w:cs="Times New Roman"/>
                      <w:color w:val="auto"/>
                      <w:kern w:val="0"/>
                      <w:sz w:val="21"/>
                      <w:szCs w:val="21"/>
                      <w:lang w:val="en-US" w:eastAsia="zh-CN" w:bidi="ar"/>
                    </w:rPr>
                    <w:t>厂界</w:t>
                  </w:r>
                </w:p>
              </w:tc>
              <w:tc>
                <w:tcPr>
                  <w:tcW w:w="825" w:type="dxa"/>
                  <w:tcBorders>
                    <w:tl2br w:val="nil"/>
                    <w:tr2bl w:val="nil"/>
                  </w:tcBorders>
                  <w:shd w:val="clear" w:color="auto" w:fill="FFFFFF"/>
                  <w:noWrap w:val="0"/>
                  <w:vAlign w:val="center"/>
                </w:tcPr>
                <w:p w14:paraId="6433706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-38.1</w:t>
                  </w:r>
                </w:p>
              </w:tc>
              <w:tc>
                <w:tcPr>
                  <w:tcW w:w="820" w:type="dxa"/>
                  <w:tcBorders>
                    <w:tl2br w:val="nil"/>
                    <w:tr2bl w:val="nil"/>
                  </w:tcBorders>
                  <w:shd w:val="clear" w:color="auto" w:fill="FFFFFF"/>
                  <w:noWrap w:val="0"/>
                  <w:vAlign w:val="center"/>
                </w:tcPr>
                <w:p w14:paraId="09D12E1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-387.2</w:t>
                  </w:r>
                </w:p>
              </w:tc>
              <w:tc>
                <w:tcPr>
                  <w:tcW w:w="634" w:type="dxa"/>
                  <w:tcBorders>
                    <w:tl2br w:val="nil"/>
                    <w:tr2bl w:val="nil"/>
                  </w:tcBorders>
                  <w:shd w:val="clear" w:color="auto" w:fill="FFFFFF"/>
                  <w:noWrap w:val="0"/>
                  <w:vAlign w:val="center"/>
                </w:tcPr>
                <w:p w14:paraId="3BDA5F6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4BAE230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昼间</w:t>
                  </w:r>
                </w:p>
              </w:tc>
              <w:tc>
                <w:tcPr>
                  <w:tcW w:w="950" w:type="dxa"/>
                  <w:tcBorders>
                    <w:tl2br w:val="nil"/>
                    <w:tr2bl w:val="nil"/>
                  </w:tcBorders>
                  <w:shd w:val="clear" w:color="auto" w:fill="FFFFFF"/>
                  <w:noWrap w:val="0"/>
                  <w:vAlign w:val="center"/>
                </w:tcPr>
                <w:p w14:paraId="30F0AD0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2.1</w:t>
                  </w:r>
                </w:p>
              </w:tc>
              <w:tc>
                <w:tcPr>
                  <w:tcW w:w="901" w:type="dxa"/>
                  <w:tcBorders>
                    <w:tl2br w:val="nil"/>
                    <w:tr2bl w:val="nil"/>
                  </w:tcBorders>
                  <w:shd w:val="clear" w:color="auto" w:fill="FFFFFF"/>
                  <w:noWrap w:val="0"/>
                  <w:vAlign w:val="center"/>
                </w:tcPr>
                <w:p w14:paraId="1A21F4C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56</w:t>
                  </w:r>
                </w:p>
              </w:tc>
              <w:tc>
                <w:tcPr>
                  <w:tcW w:w="930" w:type="dxa"/>
                  <w:tcBorders>
                    <w:tl2br w:val="nil"/>
                    <w:tr2bl w:val="nil"/>
                  </w:tcBorders>
                  <w:shd w:val="clear" w:color="auto" w:fill="FFFFFF"/>
                  <w:noWrap w:val="0"/>
                  <w:vAlign w:val="center"/>
                </w:tcPr>
                <w:p w14:paraId="5F18B6F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56</w:t>
                  </w:r>
                </w:p>
              </w:tc>
              <w:tc>
                <w:tcPr>
                  <w:tcW w:w="1001" w:type="dxa"/>
                  <w:tcBorders>
                    <w:tl2br w:val="nil"/>
                    <w:tr2bl w:val="nil"/>
                  </w:tcBorders>
                  <w:shd w:val="clear" w:color="auto" w:fill="FFFFFF"/>
                  <w:noWrap w:val="0"/>
                  <w:vAlign w:val="center"/>
                </w:tcPr>
                <w:p w14:paraId="44069A4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6</w:t>
                  </w:r>
                  <w:r>
                    <w:rPr>
                      <w:rFonts w:hint="eastAsia" w:ascii="Times New Roman" w:hAnsi="Times New Roman" w:eastAsia="宋体" w:cs="Times New Roman"/>
                      <w:color w:val="auto"/>
                      <w:kern w:val="0"/>
                      <w:sz w:val="21"/>
                      <w:szCs w:val="21"/>
                      <w:lang w:val="en-US" w:eastAsia="zh-CN" w:bidi="ar"/>
                    </w:rPr>
                    <w:t>0</w:t>
                  </w:r>
                </w:p>
              </w:tc>
              <w:tc>
                <w:tcPr>
                  <w:tcW w:w="659" w:type="dxa"/>
                  <w:tcBorders>
                    <w:tl2br w:val="nil"/>
                    <w:tr2bl w:val="nil"/>
                  </w:tcBorders>
                  <w:shd w:val="clear" w:color="auto" w:fill="FFFFFF"/>
                  <w:noWrap w:val="0"/>
                  <w:vAlign w:val="center"/>
                </w:tcPr>
                <w:p w14:paraId="621FBCD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6AF94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continue"/>
                  <w:tcBorders>
                    <w:tl2br w:val="nil"/>
                    <w:tr2bl w:val="nil"/>
                  </w:tcBorders>
                  <w:shd w:val="clear" w:color="auto" w:fill="FFFFFF"/>
                  <w:noWrap w:val="0"/>
                  <w:vAlign w:val="center"/>
                </w:tcPr>
                <w:p w14:paraId="75F1F45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825" w:type="dxa"/>
                  <w:tcBorders>
                    <w:tl2br w:val="nil"/>
                    <w:tr2bl w:val="nil"/>
                  </w:tcBorders>
                  <w:shd w:val="clear" w:color="auto" w:fill="FFFFFF"/>
                  <w:noWrap w:val="0"/>
                  <w:vAlign w:val="center"/>
                </w:tcPr>
                <w:p w14:paraId="70D54AC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-38.1</w:t>
                  </w:r>
                </w:p>
              </w:tc>
              <w:tc>
                <w:tcPr>
                  <w:tcW w:w="820" w:type="dxa"/>
                  <w:tcBorders>
                    <w:tl2br w:val="nil"/>
                    <w:tr2bl w:val="nil"/>
                  </w:tcBorders>
                  <w:shd w:val="clear" w:color="auto" w:fill="FFFFFF"/>
                  <w:noWrap w:val="0"/>
                  <w:vAlign w:val="center"/>
                </w:tcPr>
                <w:p w14:paraId="12CFEF1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-387.2</w:t>
                  </w:r>
                </w:p>
              </w:tc>
              <w:tc>
                <w:tcPr>
                  <w:tcW w:w="634" w:type="dxa"/>
                  <w:tcBorders>
                    <w:tl2br w:val="nil"/>
                    <w:tr2bl w:val="nil"/>
                  </w:tcBorders>
                  <w:shd w:val="clear" w:color="auto" w:fill="FFFFFF"/>
                  <w:noWrap w:val="0"/>
                  <w:vAlign w:val="center"/>
                </w:tcPr>
                <w:p w14:paraId="348F153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35542C7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夜间</w:t>
                  </w:r>
                </w:p>
              </w:tc>
              <w:tc>
                <w:tcPr>
                  <w:tcW w:w="950" w:type="dxa"/>
                  <w:tcBorders>
                    <w:tl2br w:val="nil"/>
                    <w:tr2bl w:val="nil"/>
                  </w:tcBorders>
                  <w:shd w:val="clear" w:color="auto" w:fill="FFFFFF"/>
                  <w:noWrap w:val="0"/>
                  <w:vAlign w:val="center"/>
                </w:tcPr>
                <w:p w14:paraId="3AC3362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2.1</w:t>
                  </w:r>
                </w:p>
              </w:tc>
              <w:tc>
                <w:tcPr>
                  <w:tcW w:w="901" w:type="dxa"/>
                  <w:tcBorders>
                    <w:tl2br w:val="nil"/>
                    <w:tr2bl w:val="nil"/>
                  </w:tcBorders>
                  <w:shd w:val="clear" w:color="auto" w:fill="FFFFFF"/>
                  <w:noWrap w:val="0"/>
                  <w:vAlign w:val="center"/>
                </w:tcPr>
                <w:p w14:paraId="60BCB69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48</w:t>
                  </w:r>
                </w:p>
              </w:tc>
              <w:tc>
                <w:tcPr>
                  <w:tcW w:w="930" w:type="dxa"/>
                  <w:tcBorders>
                    <w:tl2br w:val="nil"/>
                    <w:tr2bl w:val="nil"/>
                  </w:tcBorders>
                  <w:shd w:val="clear" w:color="auto" w:fill="FFFFFF"/>
                  <w:noWrap w:val="0"/>
                  <w:vAlign w:val="center"/>
                </w:tcPr>
                <w:p w14:paraId="1E0B15E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48</w:t>
                  </w:r>
                </w:p>
              </w:tc>
              <w:tc>
                <w:tcPr>
                  <w:tcW w:w="1001" w:type="dxa"/>
                  <w:tcBorders>
                    <w:tl2br w:val="nil"/>
                    <w:tr2bl w:val="nil"/>
                  </w:tcBorders>
                  <w:shd w:val="clear" w:color="auto" w:fill="FFFFFF"/>
                  <w:noWrap w:val="0"/>
                  <w:vAlign w:val="center"/>
                </w:tcPr>
                <w:p w14:paraId="7BE8238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w:t>
                  </w:r>
                </w:p>
              </w:tc>
              <w:tc>
                <w:tcPr>
                  <w:tcW w:w="659" w:type="dxa"/>
                  <w:tcBorders>
                    <w:tl2br w:val="nil"/>
                    <w:tr2bl w:val="nil"/>
                  </w:tcBorders>
                  <w:shd w:val="clear" w:color="auto" w:fill="FFFFFF"/>
                  <w:noWrap w:val="0"/>
                  <w:vAlign w:val="center"/>
                </w:tcPr>
                <w:p w14:paraId="3B98570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1D769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restart"/>
                  <w:tcBorders>
                    <w:tl2br w:val="nil"/>
                    <w:tr2bl w:val="nil"/>
                  </w:tcBorders>
                  <w:shd w:val="clear" w:color="auto" w:fill="FFFFFF"/>
                  <w:noWrap w:val="0"/>
                  <w:vAlign w:val="center"/>
                </w:tcPr>
                <w:p w14:paraId="2907B65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西</w:t>
                  </w:r>
                  <w:r>
                    <w:rPr>
                      <w:rFonts w:hint="eastAsia" w:ascii="Times New Roman" w:hAnsi="Times New Roman" w:eastAsia="宋体" w:cs="Times New Roman"/>
                      <w:color w:val="auto"/>
                      <w:kern w:val="0"/>
                      <w:sz w:val="21"/>
                      <w:szCs w:val="21"/>
                      <w:lang w:val="en-US" w:eastAsia="zh-CN" w:bidi="ar"/>
                    </w:rPr>
                    <w:t>厂界</w:t>
                  </w:r>
                </w:p>
              </w:tc>
              <w:tc>
                <w:tcPr>
                  <w:tcW w:w="825" w:type="dxa"/>
                  <w:tcBorders>
                    <w:tl2br w:val="nil"/>
                    <w:tr2bl w:val="nil"/>
                  </w:tcBorders>
                  <w:shd w:val="clear" w:color="auto" w:fill="FFFFFF"/>
                  <w:noWrap w:val="0"/>
                  <w:vAlign w:val="center"/>
                </w:tcPr>
                <w:p w14:paraId="0F8DFBD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-315.9</w:t>
                  </w:r>
                </w:p>
              </w:tc>
              <w:tc>
                <w:tcPr>
                  <w:tcW w:w="820" w:type="dxa"/>
                  <w:tcBorders>
                    <w:tl2br w:val="nil"/>
                    <w:tr2bl w:val="nil"/>
                  </w:tcBorders>
                  <w:shd w:val="clear" w:color="auto" w:fill="FFFFFF"/>
                  <w:noWrap w:val="0"/>
                  <w:vAlign w:val="center"/>
                </w:tcPr>
                <w:p w14:paraId="1CD9E18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-190.9</w:t>
                  </w:r>
                </w:p>
              </w:tc>
              <w:tc>
                <w:tcPr>
                  <w:tcW w:w="634" w:type="dxa"/>
                  <w:tcBorders>
                    <w:tl2br w:val="nil"/>
                    <w:tr2bl w:val="nil"/>
                  </w:tcBorders>
                  <w:shd w:val="clear" w:color="auto" w:fill="FFFFFF"/>
                  <w:noWrap w:val="0"/>
                  <w:vAlign w:val="center"/>
                </w:tcPr>
                <w:p w14:paraId="1799468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6E01AB4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昼间</w:t>
                  </w:r>
                </w:p>
              </w:tc>
              <w:tc>
                <w:tcPr>
                  <w:tcW w:w="950" w:type="dxa"/>
                  <w:tcBorders>
                    <w:tl2br w:val="nil"/>
                    <w:tr2bl w:val="nil"/>
                  </w:tcBorders>
                  <w:shd w:val="clear" w:color="auto" w:fill="FFFFFF"/>
                  <w:noWrap w:val="0"/>
                  <w:vAlign w:val="center"/>
                </w:tcPr>
                <w:p w14:paraId="458A612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w:t>
                  </w:r>
                </w:p>
              </w:tc>
              <w:tc>
                <w:tcPr>
                  <w:tcW w:w="901" w:type="dxa"/>
                  <w:tcBorders>
                    <w:tl2br w:val="nil"/>
                    <w:tr2bl w:val="nil"/>
                  </w:tcBorders>
                  <w:shd w:val="clear" w:color="auto" w:fill="FFFFFF"/>
                  <w:noWrap w:val="0"/>
                  <w:vAlign w:val="center"/>
                </w:tcPr>
                <w:p w14:paraId="5235544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56</w:t>
                  </w:r>
                </w:p>
              </w:tc>
              <w:tc>
                <w:tcPr>
                  <w:tcW w:w="930" w:type="dxa"/>
                  <w:tcBorders>
                    <w:tl2br w:val="nil"/>
                    <w:tr2bl w:val="nil"/>
                  </w:tcBorders>
                  <w:shd w:val="clear" w:color="auto" w:fill="FFFFFF"/>
                  <w:noWrap w:val="0"/>
                  <w:vAlign w:val="center"/>
                </w:tcPr>
                <w:p w14:paraId="6F234CD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56</w:t>
                  </w:r>
                </w:p>
              </w:tc>
              <w:tc>
                <w:tcPr>
                  <w:tcW w:w="1001" w:type="dxa"/>
                  <w:tcBorders>
                    <w:tl2br w:val="nil"/>
                    <w:tr2bl w:val="nil"/>
                  </w:tcBorders>
                  <w:shd w:val="clear" w:color="auto" w:fill="FFFFFF"/>
                  <w:noWrap w:val="0"/>
                  <w:vAlign w:val="center"/>
                </w:tcPr>
                <w:p w14:paraId="72AAA2F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6</w:t>
                  </w:r>
                  <w:r>
                    <w:rPr>
                      <w:rFonts w:hint="eastAsia" w:ascii="Times New Roman" w:hAnsi="Times New Roman" w:eastAsia="宋体" w:cs="Times New Roman"/>
                      <w:color w:val="auto"/>
                      <w:kern w:val="0"/>
                      <w:sz w:val="21"/>
                      <w:szCs w:val="21"/>
                      <w:lang w:val="en-US" w:eastAsia="zh-CN" w:bidi="ar"/>
                    </w:rPr>
                    <w:t>0</w:t>
                  </w:r>
                </w:p>
              </w:tc>
              <w:tc>
                <w:tcPr>
                  <w:tcW w:w="659" w:type="dxa"/>
                  <w:tcBorders>
                    <w:tl2br w:val="nil"/>
                    <w:tr2bl w:val="nil"/>
                  </w:tcBorders>
                  <w:shd w:val="clear" w:color="auto" w:fill="FFFFFF"/>
                  <w:noWrap w:val="0"/>
                  <w:vAlign w:val="center"/>
                </w:tcPr>
                <w:p w14:paraId="552EDFE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28F4B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continue"/>
                  <w:tcBorders>
                    <w:tl2br w:val="nil"/>
                    <w:tr2bl w:val="nil"/>
                  </w:tcBorders>
                  <w:shd w:val="clear" w:color="auto" w:fill="FFFFFF"/>
                  <w:noWrap w:val="0"/>
                  <w:vAlign w:val="center"/>
                </w:tcPr>
                <w:p w14:paraId="15227B0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825" w:type="dxa"/>
                  <w:tcBorders>
                    <w:tl2br w:val="nil"/>
                    <w:tr2bl w:val="nil"/>
                  </w:tcBorders>
                  <w:shd w:val="clear" w:color="auto" w:fill="FFFFFF"/>
                  <w:noWrap w:val="0"/>
                  <w:vAlign w:val="center"/>
                </w:tcPr>
                <w:p w14:paraId="7F0E9F7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-315.9</w:t>
                  </w:r>
                </w:p>
              </w:tc>
              <w:tc>
                <w:tcPr>
                  <w:tcW w:w="820" w:type="dxa"/>
                  <w:tcBorders>
                    <w:tl2br w:val="nil"/>
                    <w:tr2bl w:val="nil"/>
                  </w:tcBorders>
                  <w:shd w:val="clear" w:color="auto" w:fill="FFFFFF"/>
                  <w:noWrap w:val="0"/>
                  <w:vAlign w:val="center"/>
                </w:tcPr>
                <w:p w14:paraId="5B23EC2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-190.9</w:t>
                  </w:r>
                </w:p>
              </w:tc>
              <w:tc>
                <w:tcPr>
                  <w:tcW w:w="634" w:type="dxa"/>
                  <w:tcBorders>
                    <w:tl2br w:val="nil"/>
                    <w:tr2bl w:val="nil"/>
                  </w:tcBorders>
                  <w:shd w:val="clear" w:color="auto" w:fill="FFFFFF"/>
                  <w:noWrap w:val="0"/>
                  <w:vAlign w:val="center"/>
                </w:tcPr>
                <w:p w14:paraId="6E12601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69B6057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夜间</w:t>
                  </w:r>
                </w:p>
              </w:tc>
              <w:tc>
                <w:tcPr>
                  <w:tcW w:w="950" w:type="dxa"/>
                  <w:tcBorders>
                    <w:tl2br w:val="nil"/>
                    <w:tr2bl w:val="nil"/>
                  </w:tcBorders>
                  <w:shd w:val="clear" w:color="auto" w:fill="FFFFFF"/>
                  <w:noWrap w:val="0"/>
                  <w:vAlign w:val="center"/>
                </w:tcPr>
                <w:p w14:paraId="463E745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w:t>
                  </w:r>
                </w:p>
              </w:tc>
              <w:tc>
                <w:tcPr>
                  <w:tcW w:w="901" w:type="dxa"/>
                  <w:tcBorders>
                    <w:tl2br w:val="nil"/>
                    <w:tr2bl w:val="nil"/>
                  </w:tcBorders>
                  <w:shd w:val="clear" w:color="auto" w:fill="FFFFFF"/>
                  <w:noWrap w:val="0"/>
                  <w:vAlign w:val="center"/>
                </w:tcPr>
                <w:p w14:paraId="665563F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49</w:t>
                  </w:r>
                </w:p>
              </w:tc>
              <w:tc>
                <w:tcPr>
                  <w:tcW w:w="930" w:type="dxa"/>
                  <w:tcBorders>
                    <w:tl2br w:val="nil"/>
                    <w:tr2bl w:val="nil"/>
                  </w:tcBorders>
                  <w:shd w:val="clear" w:color="auto" w:fill="FFFFFF"/>
                  <w:noWrap w:val="0"/>
                  <w:vAlign w:val="center"/>
                </w:tcPr>
                <w:p w14:paraId="05932BD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49</w:t>
                  </w:r>
                </w:p>
              </w:tc>
              <w:tc>
                <w:tcPr>
                  <w:tcW w:w="1001" w:type="dxa"/>
                  <w:tcBorders>
                    <w:tl2br w:val="nil"/>
                    <w:tr2bl w:val="nil"/>
                  </w:tcBorders>
                  <w:shd w:val="clear" w:color="auto" w:fill="FFFFFF"/>
                  <w:noWrap w:val="0"/>
                  <w:vAlign w:val="center"/>
                </w:tcPr>
                <w:p w14:paraId="48DBCDA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w:t>
                  </w:r>
                </w:p>
              </w:tc>
              <w:tc>
                <w:tcPr>
                  <w:tcW w:w="659" w:type="dxa"/>
                  <w:tcBorders>
                    <w:tl2br w:val="nil"/>
                    <w:tr2bl w:val="nil"/>
                  </w:tcBorders>
                  <w:shd w:val="clear" w:color="auto" w:fill="FFFFFF"/>
                  <w:noWrap w:val="0"/>
                  <w:vAlign w:val="center"/>
                </w:tcPr>
                <w:p w14:paraId="70FE99F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00F8C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restart"/>
                  <w:tcBorders>
                    <w:tl2br w:val="nil"/>
                    <w:tr2bl w:val="nil"/>
                  </w:tcBorders>
                  <w:shd w:val="clear" w:color="auto" w:fill="FFFFFF"/>
                  <w:noWrap w:val="0"/>
                  <w:vAlign w:val="center"/>
                </w:tcPr>
                <w:p w14:paraId="119AD69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北</w:t>
                  </w:r>
                  <w:r>
                    <w:rPr>
                      <w:rFonts w:hint="eastAsia" w:ascii="Times New Roman" w:hAnsi="Times New Roman" w:eastAsia="宋体" w:cs="Times New Roman"/>
                      <w:color w:val="auto"/>
                      <w:kern w:val="0"/>
                      <w:sz w:val="21"/>
                      <w:szCs w:val="21"/>
                      <w:lang w:val="en-US" w:eastAsia="zh-CN" w:bidi="ar"/>
                    </w:rPr>
                    <w:t>厂界</w:t>
                  </w:r>
                </w:p>
              </w:tc>
              <w:tc>
                <w:tcPr>
                  <w:tcW w:w="825" w:type="dxa"/>
                  <w:tcBorders>
                    <w:tl2br w:val="nil"/>
                    <w:tr2bl w:val="nil"/>
                  </w:tcBorders>
                  <w:shd w:val="clear" w:color="auto" w:fill="FFFFFF"/>
                  <w:noWrap w:val="0"/>
                  <w:vAlign w:val="center"/>
                </w:tcPr>
                <w:p w14:paraId="4D73DC3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179.5</w:t>
                  </w:r>
                </w:p>
              </w:tc>
              <w:tc>
                <w:tcPr>
                  <w:tcW w:w="820" w:type="dxa"/>
                  <w:tcBorders>
                    <w:tl2br w:val="nil"/>
                    <w:tr2bl w:val="nil"/>
                  </w:tcBorders>
                  <w:shd w:val="clear" w:color="auto" w:fill="FFFFFF"/>
                  <w:noWrap w:val="0"/>
                  <w:vAlign w:val="center"/>
                </w:tcPr>
                <w:p w14:paraId="45473CD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215.7</w:t>
                  </w:r>
                </w:p>
              </w:tc>
              <w:tc>
                <w:tcPr>
                  <w:tcW w:w="634" w:type="dxa"/>
                  <w:tcBorders>
                    <w:tl2br w:val="nil"/>
                    <w:tr2bl w:val="nil"/>
                  </w:tcBorders>
                  <w:shd w:val="clear" w:color="auto" w:fill="FFFFFF"/>
                  <w:noWrap w:val="0"/>
                  <w:vAlign w:val="center"/>
                </w:tcPr>
                <w:p w14:paraId="66CC3B8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62903D6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昼间</w:t>
                  </w:r>
                </w:p>
              </w:tc>
              <w:tc>
                <w:tcPr>
                  <w:tcW w:w="950" w:type="dxa"/>
                  <w:tcBorders>
                    <w:tl2br w:val="nil"/>
                    <w:tr2bl w:val="nil"/>
                  </w:tcBorders>
                  <w:shd w:val="clear" w:color="auto" w:fill="FFFFFF"/>
                  <w:noWrap w:val="0"/>
                  <w:vAlign w:val="center"/>
                </w:tcPr>
                <w:p w14:paraId="1F08906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w:t>
                  </w:r>
                </w:p>
              </w:tc>
              <w:tc>
                <w:tcPr>
                  <w:tcW w:w="901" w:type="dxa"/>
                  <w:tcBorders>
                    <w:tl2br w:val="nil"/>
                    <w:tr2bl w:val="nil"/>
                  </w:tcBorders>
                  <w:shd w:val="clear" w:color="auto" w:fill="FFFFFF"/>
                  <w:noWrap w:val="0"/>
                  <w:vAlign w:val="center"/>
                </w:tcPr>
                <w:p w14:paraId="3873860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57</w:t>
                  </w:r>
                </w:p>
              </w:tc>
              <w:tc>
                <w:tcPr>
                  <w:tcW w:w="930" w:type="dxa"/>
                  <w:tcBorders>
                    <w:tl2br w:val="nil"/>
                    <w:tr2bl w:val="nil"/>
                  </w:tcBorders>
                  <w:shd w:val="clear" w:color="auto" w:fill="FFFFFF"/>
                  <w:noWrap w:val="0"/>
                  <w:vAlign w:val="center"/>
                </w:tcPr>
                <w:p w14:paraId="3A78894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57</w:t>
                  </w:r>
                </w:p>
              </w:tc>
              <w:tc>
                <w:tcPr>
                  <w:tcW w:w="1001" w:type="dxa"/>
                  <w:tcBorders>
                    <w:tl2br w:val="nil"/>
                    <w:tr2bl w:val="nil"/>
                  </w:tcBorders>
                  <w:shd w:val="clear" w:color="auto" w:fill="FFFFFF"/>
                  <w:noWrap w:val="0"/>
                  <w:vAlign w:val="center"/>
                </w:tcPr>
                <w:p w14:paraId="3F63D28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6</w:t>
                  </w:r>
                  <w:r>
                    <w:rPr>
                      <w:rFonts w:hint="eastAsia" w:ascii="Times New Roman" w:hAnsi="Times New Roman" w:eastAsia="宋体" w:cs="Times New Roman"/>
                      <w:color w:val="auto"/>
                      <w:kern w:val="0"/>
                      <w:sz w:val="21"/>
                      <w:szCs w:val="21"/>
                      <w:lang w:val="en-US" w:eastAsia="zh-CN" w:bidi="ar"/>
                    </w:rPr>
                    <w:t>0</w:t>
                  </w:r>
                </w:p>
              </w:tc>
              <w:tc>
                <w:tcPr>
                  <w:tcW w:w="659" w:type="dxa"/>
                  <w:tcBorders>
                    <w:tl2br w:val="nil"/>
                    <w:tr2bl w:val="nil"/>
                  </w:tcBorders>
                  <w:shd w:val="clear" w:color="auto" w:fill="FFFFFF"/>
                  <w:noWrap w:val="0"/>
                  <w:vAlign w:val="center"/>
                </w:tcPr>
                <w:p w14:paraId="558356C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25ACE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717" w:type="dxa"/>
                  <w:vMerge w:val="continue"/>
                  <w:tcBorders>
                    <w:tl2br w:val="nil"/>
                    <w:tr2bl w:val="nil"/>
                  </w:tcBorders>
                  <w:shd w:val="clear" w:color="auto" w:fill="FFFFFF"/>
                  <w:noWrap w:val="0"/>
                  <w:vAlign w:val="center"/>
                </w:tcPr>
                <w:p w14:paraId="3E487F8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p>
              </w:tc>
              <w:tc>
                <w:tcPr>
                  <w:tcW w:w="825" w:type="dxa"/>
                  <w:tcBorders>
                    <w:tl2br w:val="nil"/>
                    <w:tr2bl w:val="nil"/>
                  </w:tcBorders>
                  <w:shd w:val="clear" w:color="auto" w:fill="FFFFFF"/>
                  <w:noWrap w:val="0"/>
                  <w:vAlign w:val="center"/>
                </w:tcPr>
                <w:p w14:paraId="5A6EC2C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179.5</w:t>
                  </w:r>
                </w:p>
              </w:tc>
              <w:tc>
                <w:tcPr>
                  <w:tcW w:w="820" w:type="dxa"/>
                  <w:tcBorders>
                    <w:tl2br w:val="nil"/>
                    <w:tr2bl w:val="nil"/>
                  </w:tcBorders>
                  <w:shd w:val="clear" w:color="auto" w:fill="FFFFFF"/>
                  <w:noWrap w:val="0"/>
                  <w:vAlign w:val="center"/>
                </w:tcPr>
                <w:p w14:paraId="18C042D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215.7</w:t>
                  </w:r>
                </w:p>
              </w:tc>
              <w:tc>
                <w:tcPr>
                  <w:tcW w:w="634" w:type="dxa"/>
                  <w:tcBorders>
                    <w:tl2br w:val="nil"/>
                    <w:tr2bl w:val="nil"/>
                  </w:tcBorders>
                  <w:shd w:val="clear" w:color="auto" w:fill="FFFFFF"/>
                  <w:noWrap w:val="0"/>
                  <w:vAlign w:val="center"/>
                </w:tcPr>
                <w:p w14:paraId="3D076CB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1.2</w:t>
                  </w:r>
                </w:p>
              </w:tc>
              <w:tc>
                <w:tcPr>
                  <w:tcW w:w="696" w:type="dxa"/>
                  <w:tcBorders>
                    <w:tl2br w:val="nil"/>
                    <w:tr2bl w:val="nil"/>
                  </w:tcBorders>
                  <w:shd w:val="clear" w:color="auto" w:fill="FFFFFF"/>
                  <w:noWrap w:val="0"/>
                  <w:vAlign w:val="center"/>
                </w:tcPr>
                <w:p w14:paraId="4EA8FF3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夜间</w:t>
                  </w:r>
                </w:p>
              </w:tc>
              <w:tc>
                <w:tcPr>
                  <w:tcW w:w="950" w:type="dxa"/>
                  <w:tcBorders>
                    <w:tl2br w:val="nil"/>
                    <w:tr2bl w:val="nil"/>
                  </w:tcBorders>
                  <w:shd w:val="clear" w:color="auto" w:fill="FFFFFF"/>
                  <w:noWrap w:val="0"/>
                  <w:vAlign w:val="center"/>
                </w:tcPr>
                <w:p w14:paraId="3F39C83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w:t>
                  </w:r>
                </w:p>
              </w:tc>
              <w:tc>
                <w:tcPr>
                  <w:tcW w:w="901" w:type="dxa"/>
                  <w:tcBorders>
                    <w:tl2br w:val="nil"/>
                    <w:tr2bl w:val="nil"/>
                  </w:tcBorders>
                  <w:shd w:val="clear" w:color="auto" w:fill="FFFFFF"/>
                  <w:noWrap w:val="0"/>
                  <w:vAlign w:val="center"/>
                </w:tcPr>
                <w:p w14:paraId="4EEAAF7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47</w:t>
                  </w:r>
                </w:p>
              </w:tc>
              <w:tc>
                <w:tcPr>
                  <w:tcW w:w="930" w:type="dxa"/>
                  <w:tcBorders>
                    <w:tl2br w:val="nil"/>
                    <w:tr2bl w:val="nil"/>
                  </w:tcBorders>
                  <w:shd w:val="clear" w:color="auto" w:fill="FFFFFF"/>
                  <w:noWrap w:val="0"/>
                  <w:vAlign w:val="center"/>
                </w:tcPr>
                <w:p w14:paraId="55CDC88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47</w:t>
                  </w:r>
                </w:p>
              </w:tc>
              <w:tc>
                <w:tcPr>
                  <w:tcW w:w="1001" w:type="dxa"/>
                  <w:tcBorders>
                    <w:tl2br w:val="nil"/>
                    <w:tr2bl w:val="nil"/>
                  </w:tcBorders>
                  <w:shd w:val="clear" w:color="auto" w:fill="FFFFFF"/>
                  <w:noWrap w:val="0"/>
                  <w:vAlign w:val="center"/>
                </w:tcPr>
                <w:p w14:paraId="55780E9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w:t>
                  </w:r>
                </w:p>
              </w:tc>
              <w:tc>
                <w:tcPr>
                  <w:tcW w:w="659" w:type="dxa"/>
                  <w:tcBorders>
                    <w:tl2br w:val="nil"/>
                    <w:tr2bl w:val="nil"/>
                  </w:tcBorders>
                  <w:shd w:val="clear" w:color="auto" w:fill="FFFFFF"/>
                  <w:noWrap w:val="0"/>
                  <w:vAlign w:val="center"/>
                </w:tcPr>
                <w:p w14:paraId="47404D8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达标</w:t>
                  </w:r>
                </w:p>
              </w:tc>
            </w:tr>
            <w:tr w14:paraId="7B4AD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133" w:type="dxa"/>
                  <w:gridSpan w:val="10"/>
                  <w:tcBorders>
                    <w:tl2br w:val="nil"/>
                    <w:tr2bl w:val="nil"/>
                  </w:tcBorders>
                  <w:shd w:val="clear" w:color="auto" w:fill="FFFFFF"/>
                  <w:noWrap w:val="0"/>
                  <w:vAlign w:val="center"/>
                </w:tcPr>
                <w:p w14:paraId="4F33B867">
                  <w:pPr>
                    <w:adjustRightInd w:val="0"/>
                    <w:snapToGrid w:val="0"/>
                    <w:spacing w:line="240" w:lineRule="auto"/>
                    <w:rPr>
                      <w:rFonts w:hint="default" w:ascii="Times New Roman" w:hAnsi="Times New Roman" w:eastAsia="宋体" w:cs="Times New Roman"/>
                      <w:color w:val="auto"/>
                      <w:kern w:val="0"/>
                      <w:sz w:val="21"/>
                      <w:szCs w:val="21"/>
                      <w:lang w:bidi="ar"/>
                    </w:rPr>
                  </w:pPr>
                  <w:r>
                    <w:rPr>
                      <w:rFonts w:hint="eastAsia" w:cs="Times New Roman"/>
                      <w:color w:val="auto"/>
                      <w:sz w:val="21"/>
                      <w:szCs w:val="18"/>
                      <w:lang w:val="en-US" w:eastAsia="zh-CN"/>
                    </w:rPr>
                    <w:t>注：背景值取自海螺水泥自行监测报告（</w:t>
                  </w:r>
                  <w:r>
                    <w:rPr>
                      <w:rFonts w:hint="default" w:ascii="Times New Roman" w:hAnsi="Times New Roman" w:eastAsia="宋体" w:cs="Times New Roman"/>
                      <w:color w:val="auto"/>
                      <w:sz w:val="21"/>
                      <w:szCs w:val="18"/>
                      <w:lang w:val="en-US" w:eastAsia="zh-CN"/>
                    </w:rPr>
                    <w:t>报告编号：济瑞检字(2025)HJ第102701号</w:t>
                  </w:r>
                  <w:r>
                    <w:rPr>
                      <w:rFonts w:hint="eastAsia" w:cs="Times New Roman"/>
                      <w:color w:val="auto"/>
                      <w:sz w:val="21"/>
                      <w:szCs w:val="18"/>
                      <w:lang w:val="en-US" w:eastAsia="zh-CN"/>
                    </w:rPr>
                    <w:t>），监测日期为</w:t>
                  </w:r>
                  <w:r>
                    <w:rPr>
                      <w:rFonts w:hint="eastAsia" w:cs="Times New Roman"/>
                      <w:color w:val="000000"/>
                      <w:sz w:val="21"/>
                      <w:szCs w:val="21"/>
                      <w:highlight w:val="none"/>
                      <w:lang w:val="en-US" w:eastAsia="zh-CN"/>
                    </w:rPr>
                    <w:t>2025年10月30日。</w:t>
                  </w:r>
                </w:p>
              </w:tc>
            </w:tr>
          </w:tbl>
          <w:p w14:paraId="3377E36B">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通过上表可知，项目建成后厂界噪声</w:t>
            </w:r>
            <w:r>
              <w:rPr>
                <w:rFonts w:hint="eastAsia" w:cs="Times New Roman"/>
                <w:color w:val="auto"/>
                <w:lang w:val="en-US" w:eastAsia="zh-CN"/>
              </w:rPr>
              <w:t>预测</w:t>
            </w:r>
            <w:r>
              <w:rPr>
                <w:rFonts w:hint="default" w:ascii="Times New Roman" w:hAnsi="Times New Roman" w:cs="Times New Roman"/>
                <w:color w:val="auto"/>
              </w:rPr>
              <w:t>值符合《工业企业厂界环境噪声排放标准》（GB12348-2008）中</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类标准要求</w:t>
            </w:r>
            <w:r>
              <w:rPr>
                <w:rFonts w:hint="default" w:ascii="Times New Roman" w:hAnsi="Times New Roman" w:cs="Times New Roman"/>
                <w:color w:val="auto"/>
                <w:szCs w:val="21"/>
              </w:rPr>
              <w:t>，对周围环境影响较小</w:t>
            </w:r>
            <w:r>
              <w:rPr>
                <w:rFonts w:hint="default" w:ascii="Times New Roman" w:hAnsi="Times New Roman" w:cs="Times New Roman"/>
                <w:color w:val="auto"/>
              </w:rPr>
              <w:t>。</w:t>
            </w:r>
          </w:p>
          <w:p w14:paraId="48AE4F72">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3、噪声防治措施</w:t>
            </w:r>
          </w:p>
          <w:p w14:paraId="1696CC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针对以上噪声设备，本项目主要采取以下措施对其进行降噪：</w:t>
            </w:r>
          </w:p>
          <w:p w14:paraId="4EB877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控制设备噪声</w:t>
            </w:r>
          </w:p>
          <w:p w14:paraId="397A603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在设备选型时选用先进的低噪声设备，在满足工艺设计的前提下，尽量选用低噪声、低振动型号的设备，降低噪声源强；</w:t>
            </w:r>
          </w:p>
          <w:p w14:paraId="79C8E2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设备减振、隔声、消声器</w:t>
            </w:r>
          </w:p>
          <w:p w14:paraId="54B163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高噪声设备安装减震底座，风机进出口加装消声器。</w:t>
            </w:r>
          </w:p>
          <w:p w14:paraId="5A7EEC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加强建筑物隔声措施</w:t>
            </w:r>
          </w:p>
          <w:p w14:paraId="063094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rPr>
              <w:t>项目新增</w:t>
            </w:r>
            <w:r>
              <w:rPr>
                <w:rFonts w:hint="default" w:ascii="Times New Roman" w:hAnsi="Times New Roman" w:eastAsia="宋体" w:cs="Times New Roman"/>
                <w:color w:val="auto"/>
                <w:kern w:val="0"/>
                <w:sz w:val="24"/>
                <w:szCs w:val="24"/>
              </w:rPr>
              <w:t>噪声</w:t>
            </w:r>
            <w:r>
              <w:rPr>
                <w:rFonts w:hint="eastAsia" w:ascii="Times New Roman" w:hAnsi="Times New Roman" w:eastAsia="宋体" w:cs="Times New Roman"/>
                <w:color w:val="auto"/>
                <w:kern w:val="0"/>
                <w:sz w:val="24"/>
                <w:szCs w:val="24"/>
                <w:lang w:val="en-US" w:eastAsia="zh-CN"/>
              </w:rPr>
              <w:t>源</w:t>
            </w:r>
            <w:r>
              <w:rPr>
                <w:rFonts w:hint="default" w:ascii="Times New Roman" w:hAnsi="Times New Roman" w:eastAsia="宋体" w:cs="Times New Roman"/>
                <w:color w:val="auto"/>
                <w:kern w:val="0"/>
                <w:sz w:val="24"/>
                <w:szCs w:val="24"/>
              </w:rPr>
              <w:t>均安置在室内，合理布置设备的位置，有效利用了建筑隔声，并采取隔声、吸声材料制作门窗、墙体等，防止噪声的扩散和传播，正常生产时门窗密闭，采取隔声措施。</w:t>
            </w:r>
            <w:r>
              <w:rPr>
                <w:rFonts w:hint="default" w:ascii="Times New Roman" w:hAnsi="Times New Roman" w:eastAsia="宋体" w:cs="Times New Roman"/>
                <w:color w:val="auto"/>
                <w:sz w:val="24"/>
                <w:szCs w:val="24"/>
              </w:rPr>
              <w:t>采用“闹静分开”和合理布局的设施原则，尽量将高噪声源远离噪声敏感区域或厂界。在生产厂房、厂区周围建设一定高度的隔声屏障，如围墙，减少对车间外或厂区外声环境的影响，种植一定的乔木、灌木林，亦有利于减少噪声污染。</w:t>
            </w:r>
          </w:p>
          <w:p w14:paraId="17A7B6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强化生产管理</w:t>
            </w:r>
          </w:p>
          <w:p w14:paraId="171DB671">
            <w:pPr>
              <w:pStyle w:val="87"/>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rPr>
              <w:t>确保各类防治措施有效运行，各设备均保持良好运行状态，防止突发噪声。</w:t>
            </w:r>
          </w:p>
          <w:p w14:paraId="2D0CE8E1">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cs="Times New Roman"/>
                <w:b/>
                <w:bCs w:val="0"/>
                <w:color w:val="auto"/>
              </w:rPr>
              <w:t>4</w:t>
            </w:r>
            <w:r>
              <w:rPr>
                <w:rFonts w:hint="default" w:ascii="Times New Roman" w:hAnsi="Times New Roman" w:eastAsia="宋体" w:cs="Times New Roman"/>
                <w:b/>
                <w:bCs w:val="0"/>
                <w:color w:val="auto"/>
              </w:rPr>
              <w:t>、监测计划</w:t>
            </w:r>
          </w:p>
          <w:p w14:paraId="42A18C50">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w:t>
            </w:r>
            <w:r>
              <w:rPr>
                <w:rFonts w:hint="eastAsia" w:eastAsia="宋体" w:cs="Times New Roman"/>
                <w:b/>
                <w:bCs w:val="0"/>
                <w:color w:val="auto"/>
                <w:lang w:val="en-US" w:eastAsia="zh-CN"/>
              </w:rPr>
              <w:t>3</w:t>
            </w:r>
            <w:r>
              <w:rPr>
                <w:rFonts w:hint="eastAsia" w:ascii="Times New Roman" w:hAnsi="Times New Roman" w:eastAsia="宋体" w:cs="Times New Roman"/>
                <w:b/>
                <w:bCs w:val="0"/>
                <w:color w:val="auto"/>
                <w:lang w:val="en-US" w:eastAsia="zh-CN"/>
              </w:rPr>
              <w:t xml:space="preserve"> </w:t>
            </w:r>
            <w:r>
              <w:rPr>
                <w:rFonts w:hint="default" w:ascii="Times New Roman" w:hAnsi="Times New Roman" w:eastAsia="宋体" w:cs="Times New Roman"/>
                <w:b/>
                <w:bCs w:val="0"/>
                <w:color w:val="auto"/>
                <w:lang w:val="en-US" w:eastAsia="zh-CN"/>
              </w:rPr>
              <w:t xml:space="preserve"> 噪声监测计划一览表</w:t>
            </w:r>
          </w:p>
          <w:tbl>
            <w:tblPr>
              <w:tblStyle w:val="31"/>
              <w:tblW w:w="5000" w:type="pct"/>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700"/>
              <w:gridCol w:w="1544"/>
              <w:gridCol w:w="1760"/>
              <w:gridCol w:w="1450"/>
              <w:gridCol w:w="2535"/>
            </w:tblGrid>
            <w:tr w14:paraId="54F97D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3" w:hRule="atLeast"/>
              </w:trPr>
              <w:tc>
                <w:tcPr>
                  <w:tcW w:w="438" w:type="pct"/>
                  <w:tcBorders>
                    <w:tl2br w:val="nil"/>
                    <w:tr2bl w:val="nil"/>
                  </w:tcBorders>
                  <w:noWrap w:val="0"/>
                  <w:vAlign w:val="center"/>
                </w:tcPr>
                <w:p w14:paraId="129F5E18">
                  <w:pPr>
                    <w:pStyle w:val="46"/>
                    <w:rPr>
                      <w:rFonts w:hint="default" w:ascii="Times New Roman" w:hAnsi="Times New Roman" w:cs="Times New Roman"/>
                      <w:b/>
                      <w:bCs/>
                      <w:color w:val="auto"/>
                    </w:rPr>
                  </w:pPr>
                  <w:r>
                    <w:rPr>
                      <w:rFonts w:hint="default" w:ascii="Times New Roman" w:hAnsi="Times New Roman" w:cs="Times New Roman"/>
                      <w:b/>
                      <w:bCs/>
                      <w:color w:val="auto"/>
                    </w:rPr>
                    <w:t>类型</w:t>
                  </w:r>
                </w:p>
              </w:tc>
              <w:tc>
                <w:tcPr>
                  <w:tcW w:w="966" w:type="pct"/>
                  <w:tcBorders>
                    <w:tl2br w:val="nil"/>
                    <w:tr2bl w:val="nil"/>
                  </w:tcBorders>
                  <w:noWrap w:val="0"/>
                  <w:vAlign w:val="center"/>
                </w:tcPr>
                <w:p w14:paraId="10668F83">
                  <w:pPr>
                    <w:pStyle w:val="46"/>
                    <w:rPr>
                      <w:rFonts w:hint="default" w:ascii="Times New Roman" w:hAnsi="Times New Roman" w:cs="Times New Roman"/>
                      <w:b/>
                      <w:bCs/>
                      <w:color w:val="auto"/>
                    </w:rPr>
                  </w:pPr>
                  <w:r>
                    <w:rPr>
                      <w:rFonts w:hint="default" w:ascii="Times New Roman" w:hAnsi="Times New Roman" w:cs="Times New Roman"/>
                      <w:b/>
                      <w:bCs/>
                      <w:color w:val="auto"/>
                    </w:rPr>
                    <w:t>监测位置</w:t>
                  </w:r>
                </w:p>
              </w:tc>
              <w:tc>
                <w:tcPr>
                  <w:tcW w:w="1101" w:type="pct"/>
                  <w:tcBorders>
                    <w:tl2br w:val="nil"/>
                    <w:tr2bl w:val="nil"/>
                  </w:tcBorders>
                  <w:noWrap w:val="0"/>
                  <w:vAlign w:val="center"/>
                </w:tcPr>
                <w:p w14:paraId="10610D52">
                  <w:pPr>
                    <w:pStyle w:val="46"/>
                    <w:rPr>
                      <w:rFonts w:hint="default" w:ascii="Times New Roman" w:hAnsi="Times New Roman" w:cs="Times New Roman"/>
                      <w:b/>
                      <w:bCs/>
                      <w:color w:val="auto"/>
                    </w:rPr>
                  </w:pPr>
                  <w:r>
                    <w:rPr>
                      <w:rFonts w:hint="default" w:ascii="Times New Roman" w:hAnsi="Times New Roman" w:cs="Times New Roman"/>
                      <w:b/>
                      <w:bCs/>
                      <w:color w:val="auto"/>
                    </w:rPr>
                    <w:t>监测项目</w:t>
                  </w:r>
                </w:p>
              </w:tc>
              <w:tc>
                <w:tcPr>
                  <w:tcW w:w="907" w:type="pct"/>
                  <w:tcBorders>
                    <w:tl2br w:val="nil"/>
                    <w:tr2bl w:val="nil"/>
                  </w:tcBorders>
                  <w:noWrap w:val="0"/>
                  <w:vAlign w:val="center"/>
                </w:tcPr>
                <w:p w14:paraId="6771BB4D">
                  <w:pPr>
                    <w:pStyle w:val="46"/>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1586" w:type="pct"/>
                  <w:tcBorders>
                    <w:tl2br w:val="nil"/>
                    <w:tr2bl w:val="nil"/>
                  </w:tcBorders>
                  <w:noWrap w:val="0"/>
                  <w:vAlign w:val="center"/>
                </w:tcPr>
                <w:p w14:paraId="3C50571D">
                  <w:pPr>
                    <w:pStyle w:val="46"/>
                    <w:rPr>
                      <w:rFonts w:hint="default" w:ascii="Times New Roman" w:hAnsi="Times New Roman" w:cs="Times New Roman"/>
                      <w:b/>
                      <w:bCs/>
                      <w:color w:val="auto"/>
                    </w:rPr>
                  </w:pPr>
                  <w:r>
                    <w:rPr>
                      <w:rFonts w:hint="default" w:ascii="Times New Roman" w:hAnsi="Times New Roman" w:cs="Times New Roman"/>
                      <w:b/>
                      <w:bCs/>
                      <w:color w:val="auto"/>
                    </w:rPr>
                    <w:t>执行标准</w:t>
                  </w:r>
                </w:p>
              </w:tc>
            </w:tr>
            <w:tr w14:paraId="427E36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3" w:hRule="atLeast"/>
              </w:trPr>
              <w:tc>
                <w:tcPr>
                  <w:tcW w:w="438" w:type="pct"/>
                  <w:tcBorders>
                    <w:tl2br w:val="nil"/>
                    <w:tr2bl w:val="nil"/>
                  </w:tcBorders>
                  <w:noWrap w:val="0"/>
                  <w:vAlign w:val="center"/>
                </w:tcPr>
                <w:p w14:paraId="19C2762E">
                  <w:pPr>
                    <w:pStyle w:val="46"/>
                    <w:rPr>
                      <w:rFonts w:hint="default" w:ascii="Times New Roman" w:hAnsi="Times New Roman" w:cs="Times New Roman"/>
                      <w:color w:val="auto"/>
                    </w:rPr>
                  </w:pPr>
                  <w:r>
                    <w:rPr>
                      <w:rFonts w:hint="default" w:ascii="Times New Roman" w:hAnsi="Times New Roman" w:cs="Times New Roman"/>
                      <w:color w:val="auto"/>
                    </w:rPr>
                    <w:t>噪声</w:t>
                  </w:r>
                </w:p>
              </w:tc>
              <w:tc>
                <w:tcPr>
                  <w:tcW w:w="966" w:type="pct"/>
                  <w:tcBorders>
                    <w:tl2br w:val="nil"/>
                    <w:tr2bl w:val="nil"/>
                  </w:tcBorders>
                  <w:noWrap w:val="0"/>
                  <w:vAlign w:val="center"/>
                </w:tcPr>
                <w:p w14:paraId="240BFC0B">
                  <w:pPr>
                    <w:pStyle w:val="46"/>
                    <w:rPr>
                      <w:rFonts w:hint="default" w:ascii="Times New Roman" w:hAnsi="Times New Roman" w:cs="Times New Roman"/>
                      <w:color w:val="auto"/>
                    </w:rPr>
                  </w:pPr>
                  <w:r>
                    <w:rPr>
                      <w:rFonts w:hint="default" w:ascii="Times New Roman" w:hAnsi="Times New Roman" w:cs="Times New Roman"/>
                      <w:color w:val="auto"/>
                    </w:rPr>
                    <w:t>厂界外1m处</w:t>
                  </w:r>
                </w:p>
              </w:tc>
              <w:tc>
                <w:tcPr>
                  <w:tcW w:w="1101" w:type="pct"/>
                  <w:tcBorders>
                    <w:tl2br w:val="nil"/>
                    <w:tr2bl w:val="nil"/>
                  </w:tcBorders>
                  <w:noWrap w:val="0"/>
                  <w:vAlign w:val="center"/>
                </w:tcPr>
                <w:p w14:paraId="2300F6CA">
                  <w:pPr>
                    <w:pStyle w:val="46"/>
                    <w:rPr>
                      <w:rFonts w:hint="default" w:ascii="Times New Roman" w:hAnsi="Times New Roman" w:cs="Times New Roman"/>
                      <w:color w:val="auto"/>
                    </w:rPr>
                  </w:pPr>
                  <w:r>
                    <w:rPr>
                      <w:rFonts w:hint="default" w:ascii="Times New Roman" w:hAnsi="Times New Roman" w:cs="Times New Roman"/>
                      <w:color w:val="auto"/>
                    </w:rPr>
                    <w:t>L</w:t>
                  </w:r>
                  <w:r>
                    <w:rPr>
                      <w:rFonts w:hint="default" w:ascii="Times New Roman" w:hAnsi="Times New Roman" w:cs="Times New Roman"/>
                      <w:color w:val="auto"/>
                      <w:vertAlign w:val="subscript"/>
                    </w:rPr>
                    <w:t>d</w:t>
                  </w:r>
                  <w:r>
                    <w:rPr>
                      <w:rFonts w:hint="default" w:ascii="Times New Roman" w:hAnsi="Times New Roman" w:cs="Times New Roman"/>
                      <w:color w:val="auto"/>
                    </w:rPr>
                    <w:t>、L</w:t>
                  </w:r>
                  <w:r>
                    <w:rPr>
                      <w:rFonts w:hint="default" w:ascii="Times New Roman" w:hAnsi="Times New Roman" w:cs="Times New Roman"/>
                      <w:color w:val="auto"/>
                      <w:vertAlign w:val="subscript"/>
                    </w:rPr>
                    <w:t>n</w:t>
                  </w:r>
                  <w:r>
                    <w:rPr>
                      <w:rFonts w:hint="default" w:ascii="Times New Roman" w:hAnsi="Times New Roman" w:cs="Times New Roman"/>
                      <w:color w:val="auto"/>
                    </w:rPr>
                    <w:t>、夜间最大声级</w:t>
                  </w:r>
                </w:p>
              </w:tc>
              <w:tc>
                <w:tcPr>
                  <w:tcW w:w="907" w:type="pct"/>
                  <w:tcBorders>
                    <w:tl2br w:val="nil"/>
                    <w:tr2bl w:val="nil"/>
                  </w:tcBorders>
                  <w:noWrap w:val="0"/>
                  <w:vAlign w:val="center"/>
                </w:tcPr>
                <w:p w14:paraId="38A0AF22">
                  <w:pPr>
                    <w:pStyle w:val="46"/>
                    <w:rPr>
                      <w:rFonts w:hint="default" w:ascii="Times New Roman" w:hAnsi="Times New Roman" w:cs="Times New Roman"/>
                      <w:color w:val="auto"/>
                    </w:rPr>
                  </w:pPr>
                  <w:r>
                    <w:rPr>
                      <w:rFonts w:hint="default" w:ascii="Times New Roman" w:hAnsi="Times New Roman" w:cs="Times New Roman"/>
                      <w:color w:val="auto"/>
                    </w:rPr>
                    <w:t>每季度一次</w:t>
                  </w:r>
                </w:p>
              </w:tc>
              <w:tc>
                <w:tcPr>
                  <w:tcW w:w="1586" w:type="pct"/>
                  <w:tcBorders>
                    <w:tl2br w:val="nil"/>
                    <w:tr2bl w:val="nil"/>
                  </w:tcBorders>
                  <w:noWrap w:val="0"/>
                  <w:vAlign w:val="center"/>
                </w:tcPr>
                <w:p w14:paraId="7341FBF7">
                  <w:pPr>
                    <w:pStyle w:val="46"/>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w:t>
                  </w:r>
                </w:p>
              </w:tc>
            </w:tr>
          </w:tbl>
          <w:p w14:paraId="272AC810">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四、固体废物</w:t>
            </w:r>
          </w:p>
          <w:p w14:paraId="735995E3">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1、固废产生及处置情况</w:t>
            </w:r>
          </w:p>
          <w:p w14:paraId="18F2B2DE">
            <w:pPr>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lang w:val="en-US" w:eastAsia="zh-CN"/>
              </w:rPr>
              <w:t>本次技改</w:t>
            </w:r>
            <w:r>
              <w:rPr>
                <w:rFonts w:hint="default" w:ascii="Times New Roman" w:hAnsi="Times New Roman" w:cs="Times New Roman"/>
                <w:color w:val="auto"/>
                <w:szCs w:val="24"/>
              </w:rPr>
              <w:t>项目产生</w:t>
            </w:r>
            <w:r>
              <w:rPr>
                <w:rFonts w:hint="default" w:ascii="Times New Roman" w:hAnsi="Times New Roman" w:cs="Times New Roman"/>
                <w:color w:val="auto"/>
                <w:szCs w:val="24"/>
                <w:lang w:val="en-US" w:eastAsia="zh-CN"/>
              </w:rPr>
              <w:t>除尘器收集的粉尘</w:t>
            </w:r>
            <w:r>
              <w:rPr>
                <w:rFonts w:hint="eastAsia" w:cs="Times New Roman"/>
                <w:color w:val="auto"/>
                <w:szCs w:val="24"/>
                <w:lang w:val="en-US" w:eastAsia="zh-CN"/>
              </w:rPr>
              <w:t>和</w:t>
            </w:r>
            <w:r>
              <w:rPr>
                <w:rFonts w:hint="eastAsia" w:cs="Times New Roman"/>
                <w:color w:val="auto"/>
                <w:lang w:val="en-US" w:eastAsia="zh-CN"/>
              </w:rPr>
              <w:t>废矿物油及包装桶</w:t>
            </w:r>
            <w:r>
              <w:rPr>
                <w:rFonts w:hint="default" w:ascii="Times New Roman" w:hAnsi="Times New Roman" w:cs="Times New Roman"/>
                <w:color w:val="auto"/>
                <w:szCs w:val="24"/>
              </w:rPr>
              <w:t>。</w:t>
            </w:r>
          </w:p>
          <w:p w14:paraId="280058E2">
            <w:pPr>
              <w:numPr>
                <w:ilvl w:val="0"/>
                <w:numId w:val="0"/>
              </w:num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除尘器收集的粉尘收集后全部回用于水泥熟料生产</w:t>
            </w:r>
            <w:r>
              <w:rPr>
                <w:rFonts w:hint="eastAsia" w:ascii="Times New Roman" w:hAnsi="Times New Roman" w:cs="Times New Roman"/>
                <w:color w:val="auto"/>
                <w:szCs w:val="24"/>
                <w:lang w:val="en-US" w:eastAsia="zh-CN"/>
              </w:rPr>
              <w:t>，根据《固体废物鉴别标准 通则》（GB 34330—2025），不属于固体废物。</w:t>
            </w:r>
          </w:p>
          <w:p w14:paraId="74755EE7">
            <w:pPr>
              <w:numPr>
                <w:ilvl w:val="0"/>
                <w:numId w:val="0"/>
              </w:numPr>
              <w:ind w:firstLine="480" w:firstLineChars="200"/>
              <w:rPr>
                <w:rFonts w:hint="default" w:ascii="Times New Roman" w:hAnsi="Times New Roman" w:cs="Times New Roman"/>
                <w:color w:val="auto"/>
                <w:szCs w:val="24"/>
              </w:rPr>
            </w:pPr>
            <w:r>
              <w:rPr>
                <w:rFonts w:hint="eastAsia" w:cs="Times New Roman"/>
                <w:color w:val="auto"/>
                <w:lang w:val="en-US" w:eastAsia="zh-CN"/>
              </w:rPr>
              <w:t>废矿物油及包装桶</w:t>
            </w:r>
            <w:r>
              <w:rPr>
                <w:rFonts w:hint="default" w:ascii="Times New Roman" w:hAnsi="Times New Roman" w:cs="Times New Roman"/>
                <w:color w:val="auto"/>
                <w:szCs w:val="24"/>
              </w:rPr>
              <w:t>：项目</w:t>
            </w:r>
            <w:r>
              <w:rPr>
                <w:rFonts w:hint="eastAsia" w:cs="Times New Roman"/>
                <w:color w:val="auto"/>
                <w:szCs w:val="24"/>
                <w:lang w:val="en-US" w:eastAsia="zh-CN"/>
              </w:rPr>
              <w:t>新增</w:t>
            </w:r>
            <w:r>
              <w:rPr>
                <w:rFonts w:hint="default" w:ascii="Times New Roman" w:hAnsi="Times New Roman" w:cs="Times New Roman"/>
                <w:color w:val="auto"/>
                <w:szCs w:val="24"/>
              </w:rPr>
              <w:t>设备在维修保养过程中</w:t>
            </w:r>
            <w:r>
              <w:rPr>
                <w:rFonts w:hint="eastAsia" w:cs="Times New Roman"/>
                <w:color w:val="auto"/>
                <w:szCs w:val="24"/>
                <w:lang w:val="en-US" w:eastAsia="zh-CN"/>
              </w:rPr>
              <w:t>会产生</w:t>
            </w:r>
            <w:r>
              <w:rPr>
                <w:rFonts w:hint="eastAsia" w:cs="Times New Roman"/>
                <w:color w:val="auto"/>
                <w:lang w:val="en-US" w:eastAsia="zh-CN"/>
              </w:rPr>
              <w:t>废矿物油及包装桶，产生量</w:t>
            </w:r>
            <w:r>
              <w:rPr>
                <w:rFonts w:hint="default" w:ascii="Times New Roman" w:hAnsi="Times New Roman" w:cs="Times New Roman"/>
                <w:color w:val="auto"/>
                <w:szCs w:val="24"/>
                <w:lang w:val="en-US" w:eastAsia="zh-CN"/>
              </w:rPr>
              <w:t>约为</w:t>
            </w:r>
            <w:r>
              <w:rPr>
                <w:rFonts w:hint="default" w:ascii="Times New Roman" w:hAnsi="Times New Roman" w:cs="Times New Roman"/>
                <w:color w:val="auto"/>
                <w:szCs w:val="24"/>
              </w:rPr>
              <w:t>0.0</w:t>
            </w:r>
            <w:r>
              <w:rPr>
                <w:rFonts w:hint="default" w:ascii="Times New Roman" w:hAnsi="Times New Roman" w:cs="Times New Roman"/>
                <w:color w:val="auto"/>
                <w:szCs w:val="24"/>
                <w:lang w:val="en-US" w:eastAsia="zh-CN"/>
              </w:rPr>
              <w:t>2</w:t>
            </w:r>
            <w:r>
              <w:rPr>
                <w:rFonts w:hint="default" w:ascii="Times New Roman" w:hAnsi="Times New Roman" w:cs="Times New Roman"/>
                <w:color w:val="auto"/>
                <w:szCs w:val="24"/>
              </w:rPr>
              <w:t>t/a。根据《国家危险废物名录》（202</w:t>
            </w:r>
            <w:r>
              <w:rPr>
                <w:rFonts w:hint="eastAsia" w:cs="Times New Roman"/>
                <w:color w:val="auto"/>
                <w:szCs w:val="24"/>
                <w:lang w:val="en-US" w:eastAsia="zh-CN"/>
              </w:rPr>
              <w:t>5年</w:t>
            </w:r>
            <w:r>
              <w:rPr>
                <w:rFonts w:hint="default" w:ascii="Times New Roman" w:hAnsi="Times New Roman" w:cs="Times New Roman"/>
                <w:color w:val="auto"/>
                <w:szCs w:val="24"/>
              </w:rPr>
              <w:t>版），</w:t>
            </w:r>
            <w:r>
              <w:rPr>
                <w:rFonts w:hint="eastAsia" w:cs="Times New Roman"/>
                <w:color w:val="auto"/>
                <w:lang w:val="en-US" w:eastAsia="zh-CN"/>
              </w:rPr>
              <w:t>废矿物油及包装桶</w:t>
            </w:r>
            <w:r>
              <w:rPr>
                <w:rFonts w:hint="default" w:ascii="Times New Roman" w:hAnsi="Times New Roman" w:cs="Times New Roman"/>
                <w:color w:val="auto"/>
                <w:szCs w:val="24"/>
              </w:rPr>
              <w:t>属于危险废物，危废类别为HW08，代码900-249-08，</w:t>
            </w:r>
            <w:r>
              <w:rPr>
                <w:rFonts w:hint="default" w:ascii="Times New Roman" w:hAnsi="Times New Roman" w:cs="Times New Roman"/>
                <w:color w:val="auto"/>
                <w:szCs w:val="24"/>
                <w:lang w:val="en-US" w:eastAsia="zh-CN"/>
              </w:rPr>
              <w:t>依托现有工程</w:t>
            </w:r>
            <w:r>
              <w:rPr>
                <w:rFonts w:hint="default" w:ascii="Times New Roman" w:hAnsi="Times New Roman" w:cs="Times New Roman"/>
                <w:color w:val="auto"/>
                <w:szCs w:val="24"/>
              </w:rPr>
              <w:t>危废间暂存后委托有资质单位进行处置。</w:t>
            </w:r>
          </w:p>
          <w:p w14:paraId="6AD828AB">
            <w:pPr>
              <w:ind w:firstLine="480" w:firstLineChars="200"/>
              <w:rPr>
                <w:rFonts w:hint="default" w:ascii="Times New Roman" w:hAnsi="Times New Roman" w:cs="Times New Roman"/>
                <w:color w:val="auto"/>
                <w:kern w:val="0"/>
                <w:szCs w:val="21"/>
                <w:lang w:bidi="ar"/>
              </w:rPr>
            </w:pPr>
            <w:r>
              <w:rPr>
                <w:rFonts w:hint="default" w:ascii="Times New Roman" w:hAnsi="Times New Roman" w:cs="Times New Roman"/>
                <w:color w:val="auto"/>
                <w:szCs w:val="24"/>
              </w:rPr>
              <w:t>项目固废产生种类及产生量较少，全部得到合理处置，不会对周边环境造成影响。</w:t>
            </w:r>
            <w:r>
              <w:rPr>
                <w:rFonts w:hint="default" w:ascii="Times New Roman" w:hAnsi="Times New Roman" w:cs="Times New Roman"/>
                <w:color w:val="auto"/>
                <w:kern w:val="0"/>
                <w:szCs w:val="21"/>
                <w:lang w:bidi="ar"/>
              </w:rPr>
              <w:t>项目固体废物产生情况及治理措施见</w:t>
            </w:r>
            <w:r>
              <w:rPr>
                <w:rFonts w:hint="default" w:ascii="Times New Roman" w:hAnsi="Times New Roman" w:cs="Times New Roman"/>
                <w:color w:val="auto"/>
                <w:kern w:val="0"/>
                <w:szCs w:val="21"/>
                <w:lang w:val="en-US" w:eastAsia="zh-CN" w:bidi="ar"/>
              </w:rPr>
              <w:t>下</w:t>
            </w:r>
            <w:r>
              <w:rPr>
                <w:rFonts w:hint="default" w:ascii="Times New Roman" w:hAnsi="Times New Roman" w:cs="Times New Roman"/>
                <w:color w:val="auto"/>
                <w:kern w:val="0"/>
                <w:szCs w:val="21"/>
                <w:lang w:bidi="ar"/>
              </w:rPr>
              <w:t>表。</w:t>
            </w:r>
          </w:p>
          <w:p w14:paraId="2BA6F147">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w:t>
            </w:r>
            <w:r>
              <w:rPr>
                <w:rFonts w:hint="eastAsia" w:ascii="Times New Roman" w:hAnsi="Times New Roman" w:eastAsia="宋体" w:cs="Times New Roman"/>
                <w:b/>
                <w:bCs w:val="0"/>
                <w:color w:val="auto"/>
                <w:lang w:val="en-US" w:eastAsia="zh-CN"/>
              </w:rPr>
              <w:t>4</w:t>
            </w:r>
            <w:r>
              <w:rPr>
                <w:rFonts w:hint="default" w:ascii="Times New Roman" w:hAnsi="Times New Roman" w:eastAsia="宋体" w:cs="Times New Roman"/>
                <w:b/>
                <w:bCs w:val="0"/>
                <w:color w:val="auto"/>
                <w:lang w:val="en-US" w:eastAsia="zh-CN"/>
              </w:rPr>
              <w:t xml:space="preserve"> 项目固体废物产生及处置情况一览表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67"/>
              <w:gridCol w:w="1404"/>
              <w:gridCol w:w="915"/>
              <w:gridCol w:w="1163"/>
              <w:gridCol w:w="2002"/>
            </w:tblGrid>
            <w:tr w14:paraId="2DAE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71" w:type="pct"/>
                  <w:tcBorders>
                    <w:tl2br w:val="nil"/>
                    <w:tr2bl w:val="nil"/>
                  </w:tcBorders>
                  <w:noWrap w:val="0"/>
                  <w:tcMar>
                    <w:left w:w="0" w:type="dxa"/>
                    <w:right w:w="0" w:type="dxa"/>
                  </w:tcMar>
                  <w:vAlign w:val="center"/>
                </w:tcPr>
                <w:p w14:paraId="3156172B">
                  <w:pPr>
                    <w:pStyle w:val="46"/>
                    <w:bidi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固废种类</w:t>
                  </w:r>
                </w:p>
              </w:tc>
              <w:tc>
                <w:tcPr>
                  <w:tcW w:w="793" w:type="pct"/>
                  <w:tcBorders>
                    <w:tl2br w:val="nil"/>
                    <w:tr2bl w:val="nil"/>
                  </w:tcBorders>
                  <w:noWrap w:val="0"/>
                  <w:vAlign w:val="center"/>
                </w:tcPr>
                <w:p w14:paraId="376D2518">
                  <w:pPr>
                    <w:pStyle w:val="46"/>
                    <w:bidi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产生工序</w:t>
                  </w:r>
                </w:p>
              </w:tc>
              <w:tc>
                <w:tcPr>
                  <w:tcW w:w="879" w:type="pct"/>
                  <w:tcBorders>
                    <w:tl2br w:val="nil"/>
                    <w:tr2bl w:val="nil"/>
                  </w:tcBorders>
                  <w:noWrap w:val="0"/>
                  <w:vAlign w:val="center"/>
                </w:tcPr>
                <w:p w14:paraId="710C8352">
                  <w:pPr>
                    <w:pStyle w:val="46"/>
                    <w:bidi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代码</w:t>
                  </w:r>
                </w:p>
              </w:tc>
              <w:tc>
                <w:tcPr>
                  <w:tcW w:w="573" w:type="pct"/>
                  <w:tcBorders>
                    <w:tl2br w:val="nil"/>
                    <w:tr2bl w:val="nil"/>
                  </w:tcBorders>
                  <w:noWrap w:val="0"/>
                  <w:vAlign w:val="center"/>
                </w:tcPr>
                <w:p w14:paraId="42A4985B">
                  <w:pPr>
                    <w:pStyle w:val="46"/>
                    <w:bidi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产生量（t/a）</w:t>
                  </w:r>
                </w:p>
              </w:tc>
              <w:tc>
                <w:tcPr>
                  <w:tcW w:w="728" w:type="pct"/>
                  <w:tcBorders>
                    <w:tl2br w:val="nil"/>
                    <w:tr2bl w:val="nil"/>
                  </w:tcBorders>
                  <w:noWrap w:val="0"/>
                  <w:vAlign w:val="center"/>
                </w:tcPr>
                <w:p w14:paraId="4A660698">
                  <w:pPr>
                    <w:pStyle w:val="46"/>
                    <w:bidi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属性</w:t>
                  </w:r>
                </w:p>
              </w:tc>
              <w:tc>
                <w:tcPr>
                  <w:tcW w:w="1253" w:type="pct"/>
                  <w:tcBorders>
                    <w:tl2br w:val="nil"/>
                    <w:tr2bl w:val="nil"/>
                  </w:tcBorders>
                  <w:noWrap w:val="0"/>
                  <w:tcMar>
                    <w:left w:w="0" w:type="dxa"/>
                    <w:right w:w="0" w:type="dxa"/>
                  </w:tcMar>
                  <w:vAlign w:val="center"/>
                </w:tcPr>
                <w:p w14:paraId="2155B9F1">
                  <w:pPr>
                    <w:pStyle w:val="46"/>
                    <w:bidi w:val="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处理方式</w:t>
                  </w:r>
                </w:p>
              </w:tc>
            </w:tr>
            <w:tr w14:paraId="18037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1" w:type="pct"/>
                  <w:tcBorders>
                    <w:tl2br w:val="nil"/>
                    <w:tr2bl w:val="nil"/>
                  </w:tcBorders>
                  <w:noWrap w:val="0"/>
                  <w:tcMar>
                    <w:left w:w="0" w:type="dxa"/>
                    <w:right w:w="0" w:type="dxa"/>
                  </w:tcMar>
                  <w:vAlign w:val="center"/>
                </w:tcPr>
                <w:p w14:paraId="60B92794">
                  <w:pPr>
                    <w:pStyle w:val="46"/>
                    <w:bidi w:val="0"/>
                    <w:rPr>
                      <w:rFonts w:hint="default" w:ascii="Times New Roman" w:hAnsi="Times New Roman" w:eastAsia="宋体" w:cs="Times New Roman"/>
                      <w:color w:val="auto"/>
                      <w:sz w:val="21"/>
                      <w:szCs w:val="21"/>
                      <w:lang w:eastAsia="zh-CN"/>
                    </w:rPr>
                  </w:pPr>
                  <w:r>
                    <w:rPr>
                      <w:rFonts w:hint="eastAsia" w:cs="Times New Roman"/>
                      <w:color w:val="auto"/>
                      <w:lang w:val="en-US" w:eastAsia="zh-CN"/>
                    </w:rPr>
                    <w:t>废矿物油及包装桶</w:t>
                  </w:r>
                </w:p>
              </w:tc>
              <w:tc>
                <w:tcPr>
                  <w:tcW w:w="793" w:type="pct"/>
                  <w:tcBorders>
                    <w:tl2br w:val="nil"/>
                    <w:tr2bl w:val="nil"/>
                  </w:tcBorders>
                  <w:noWrap w:val="0"/>
                  <w:vAlign w:val="center"/>
                </w:tcPr>
                <w:p w14:paraId="314304B9">
                  <w:pPr>
                    <w:pStyle w:val="46"/>
                    <w:bidi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设备维护</w:t>
                  </w:r>
                </w:p>
              </w:tc>
              <w:tc>
                <w:tcPr>
                  <w:tcW w:w="879" w:type="pct"/>
                  <w:tcBorders>
                    <w:tl2br w:val="nil"/>
                    <w:tr2bl w:val="nil"/>
                  </w:tcBorders>
                  <w:noWrap w:val="0"/>
                  <w:vAlign w:val="center"/>
                </w:tcPr>
                <w:p w14:paraId="58D69269">
                  <w:pPr>
                    <w:pStyle w:val="46"/>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HW08</w:t>
                  </w:r>
                </w:p>
                <w:p w14:paraId="0944942B">
                  <w:pPr>
                    <w:pStyle w:val="46"/>
                    <w:bidi w:val="0"/>
                    <w:rPr>
                      <w:rFonts w:hint="default" w:ascii="Times New Roman" w:hAnsi="Times New Roman" w:cs="Times New Roman"/>
                      <w:color w:val="auto"/>
                      <w:sz w:val="21"/>
                      <w:szCs w:val="21"/>
                    </w:rPr>
                  </w:pPr>
                  <w:r>
                    <w:rPr>
                      <w:rFonts w:hint="default" w:ascii="Times New Roman" w:hAnsi="Times New Roman" w:cs="Times New Roman"/>
                      <w:color w:val="auto"/>
                      <w:szCs w:val="24"/>
                    </w:rPr>
                    <w:t>900-249-08</w:t>
                  </w:r>
                </w:p>
              </w:tc>
              <w:tc>
                <w:tcPr>
                  <w:tcW w:w="573" w:type="pct"/>
                  <w:tcBorders>
                    <w:tl2br w:val="nil"/>
                    <w:tr2bl w:val="nil"/>
                  </w:tcBorders>
                  <w:noWrap w:val="0"/>
                  <w:vAlign w:val="center"/>
                </w:tcPr>
                <w:p w14:paraId="216DF1B6">
                  <w:pPr>
                    <w:pStyle w:val="46"/>
                    <w:bidi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0.02</w:t>
                  </w:r>
                </w:p>
              </w:tc>
              <w:tc>
                <w:tcPr>
                  <w:tcW w:w="728" w:type="pct"/>
                  <w:tcBorders>
                    <w:tl2br w:val="nil"/>
                    <w:tr2bl w:val="nil"/>
                  </w:tcBorders>
                  <w:noWrap w:val="0"/>
                  <w:vAlign w:val="center"/>
                </w:tcPr>
                <w:p w14:paraId="377FA458">
                  <w:pPr>
                    <w:pStyle w:val="46"/>
                    <w:bidi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1253" w:type="pct"/>
                  <w:tcBorders>
                    <w:tl2br w:val="nil"/>
                    <w:tr2bl w:val="nil"/>
                  </w:tcBorders>
                  <w:noWrap w:val="0"/>
                  <w:tcMar>
                    <w:left w:w="0" w:type="dxa"/>
                    <w:right w:w="0" w:type="dxa"/>
                  </w:tcMar>
                  <w:vAlign w:val="center"/>
                </w:tcPr>
                <w:p w14:paraId="7F6F74FB">
                  <w:pPr>
                    <w:pStyle w:val="46"/>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依托现有危废库，分类存放，委托有资质的单位处置</w:t>
                  </w:r>
                </w:p>
              </w:tc>
            </w:tr>
          </w:tbl>
          <w:p w14:paraId="4D468F04">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2、环境管理要求</w:t>
            </w:r>
          </w:p>
          <w:p w14:paraId="0F183D89">
            <w:pPr>
              <w:pStyle w:val="103"/>
              <w:ind w:firstLine="480"/>
              <w:rPr>
                <w:rFonts w:hint="default" w:ascii="Times New Roman" w:hAnsi="Times New Roman" w:cs="Times New Roman"/>
                <w:color w:val="auto"/>
                <w:szCs w:val="21"/>
                <w:lang w:val="en-US" w:eastAsia="zh-CN"/>
              </w:rPr>
            </w:pPr>
            <w:r>
              <w:rPr>
                <w:rFonts w:hint="default" w:ascii="Times New Roman" w:hAnsi="Times New Roman" w:cs="Times New Roman"/>
                <w:color w:val="auto"/>
              </w:rPr>
              <w:t>本项目固体废物的收集及贮存等应按照</w:t>
            </w:r>
            <w:r>
              <w:rPr>
                <w:rFonts w:hint="default" w:ascii="Times New Roman" w:hAnsi="Times New Roman" w:cs="Times New Roman"/>
                <w:color w:val="auto"/>
                <w:lang w:eastAsia="zh-CN"/>
              </w:rPr>
              <w:t>《危险废物贮存污染控制标准》（GB18597-2023）</w:t>
            </w:r>
            <w:r>
              <w:rPr>
                <w:rFonts w:hint="default" w:ascii="Times New Roman" w:hAnsi="Times New Roman" w:cs="Times New Roman"/>
                <w:color w:val="auto"/>
              </w:rPr>
              <w:t>要求建设。</w:t>
            </w:r>
            <w:r>
              <w:rPr>
                <w:rFonts w:hint="default" w:ascii="Times New Roman" w:hAnsi="Times New Roman" w:cs="Times New Roman"/>
                <w:color w:val="auto"/>
                <w:szCs w:val="21"/>
                <w:lang w:val="en-US" w:eastAsia="zh-CN"/>
              </w:rPr>
              <w:t>现有项目设置危废库1座，已采取以下措施：</w:t>
            </w:r>
          </w:p>
          <w:p w14:paraId="6A48F35A">
            <w:pPr>
              <w:tabs>
                <w:tab w:val="left" w:pos="3000"/>
              </w:tabs>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①</w:t>
            </w:r>
            <w:r>
              <w:rPr>
                <w:rFonts w:hint="default" w:ascii="Times New Roman" w:hAnsi="Times New Roman" w:cs="Times New Roman"/>
                <w:color w:val="auto"/>
                <w:szCs w:val="21"/>
                <w:lang w:eastAsia="zh-CN"/>
              </w:rPr>
              <w:t>危废库</w:t>
            </w:r>
            <w:r>
              <w:rPr>
                <w:rFonts w:hint="default" w:ascii="Times New Roman" w:hAnsi="Times New Roman" w:cs="Times New Roman"/>
                <w:color w:val="auto"/>
                <w:szCs w:val="21"/>
              </w:rPr>
              <w:t>场地标高于厂区地面标高，已进行防雨设计。</w:t>
            </w:r>
          </w:p>
          <w:p w14:paraId="148279F4">
            <w:pPr>
              <w:tabs>
                <w:tab w:val="left" w:pos="3000"/>
              </w:tabs>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②</w:t>
            </w:r>
            <w:r>
              <w:rPr>
                <w:rFonts w:hint="default" w:ascii="Times New Roman" w:hAnsi="Times New Roman" w:cs="Times New Roman"/>
                <w:color w:val="auto"/>
                <w:szCs w:val="21"/>
                <w:lang w:eastAsia="zh-CN"/>
              </w:rPr>
              <w:t>危废库</w:t>
            </w:r>
            <w:r>
              <w:rPr>
                <w:rFonts w:hint="default" w:ascii="Times New Roman" w:hAnsi="Times New Roman" w:cs="Times New Roman"/>
                <w:color w:val="auto"/>
                <w:szCs w:val="21"/>
              </w:rPr>
              <w:t>的建设符合国家危险固废贮存场所的建设要求，</w:t>
            </w:r>
            <w:r>
              <w:rPr>
                <w:rFonts w:hint="default" w:ascii="Times New Roman" w:hAnsi="Times New Roman" w:cs="Times New Roman"/>
                <w:color w:val="auto"/>
                <w:szCs w:val="21"/>
                <w:lang w:eastAsia="zh-CN"/>
              </w:rPr>
              <w:t>危废库</w:t>
            </w:r>
            <w:r>
              <w:rPr>
                <w:rFonts w:hint="default" w:ascii="Times New Roman" w:hAnsi="Times New Roman" w:cs="Times New Roman"/>
                <w:color w:val="auto"/>
                <w:szCs w:val="21"/>
              </w:rPr>
              <w:t>建有堵截泄漏的裙脚，地面与裙脚用坚固防渗的材料建造。有隔离设施、报警装置和防风、防晒、防雨设施，同时其地面为耐腐蚀的硬化地面，且地面无裂隙；防渗层用</w:t>
            </w:r>
            <w:r>
              <w:rPr>
                <w:rFonts w:hint="default" w:ascii="Times New Roman" w:hAnsi="Times New Roman" w:cs="Times New Roman"/>
                <w:color w:val="auto"/>
                <w:kern w:val="0"/>
                <w:szCs w:val="21"/>
              </w:rPr>
              <w:t>不低于6.0m厚</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渗透系数为10</w:t>
            </w:r>
            <w:r>
              <w:rPr>
                <w:rFonts w:hint="default" w:ascii="Times New Roman" w:hAnsi="Times New Roman" w:cs="Times New Roman"/>
                <w:color w:val="auto"/>
                <w:kern w:val="0"/>
                <w:szCs w:val="21"/>
                <w:vertAlign w:val="superscript"/>
              </w:rPr>
              <w:t>-7</w:t>
            </w:r>
            <w:r>
              <w:rPr>
                <w:rFonts w:hint="default" w:ascii="Times New Roman" w:hAnsi="Times New Roman" w:cs="Times New Roman"/>
                <w:color w:val="auto"/>
                <w:kern w:val="0"/>
                <w:szCs w:val="21"/>
              </w:rPr>
              <w:t>cm/s</w:t>
            </w:r>
            <w:r>
              <w:rPr>
                <w:rFonts w:hint="default" w:ascii="Times New Roman" w:hAnsi="Times New Roman" w:cs="Times New Roman"/>
                <w:color w:val="auto"/>
                <w:szCs w:val="21"/>
              </w:rPr>
              <w:t>的防渗材料组成。</w:t>
            </w:r>
          </w:p>
          <w:p w14:paraId="7F9CF14B">
            <w:pPr>
              <w:tabs>
                <w:tab w:val="left" w:pos="3000"/>
              </w:tabs>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③</w:t>
            </w:r>
            <w:r>
              <w:rPr>
                <w:rFonts w:hint="default" w:ascii="Times New Roman" w:hAnsi="Times New Roman" w:cs="Times New Roman"/>
                <w:color w:val="auto"/>
                <w:szCs w:val="21"/>
                <w:lang w:eastAsia="zh-CN"/>
              </w:rPr>
              <w:t>危废库</w:t>
            </w:r>
            <w:r>
              <w:rPr>
                <w:rFonts w:hint="default" w:ascii="Times New Roman" w:hAnsi="Times New Roman" w:cs="Times New Roman"/>
                <w:color w:val="auto"/>
                <w:szCs w:val="21"/>
              </w:rPr>
              <w:t>按照</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危险废物识别标志设置技术规范</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HYPERLINK "https://www.mee.gov.cn/ywgz/fgbz/bz/bzwb/gthw/wxfwjbffbz/202302/W020230224650971041729.pdf"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rPr>
              <w:t>（HJ1276</w:t>
            </w:r>
            <w:r>
              <w:rPr>
                <w:rFonts w:hint="eastAsia" w:cs="Times New Roman"/>
                <w:color w:val="auto"/>
                <w:szCs w:val="21"/>
                <w:lang w:val="en-US" w:eastAsia="zh-CN"/>
              </w:rPr>
              <w:t>-</w:t>
            </w:r>
            <w:r>
              <w:rPr>
                <w:rFonts w:hint="default" w:ascii="Times New Roman" w:hAnsi="Times New Roman" w:eastAsia="宋体" w:cs="Times New Roman"/>
                <w:color w:val="auto"/>
                <w:szCs w:val="21"/>
              </w:rPr>
              <w:t>2022）</w:t>
            </w:r>
            <w:r>
              <w:rPr>
                <w:rFonts w:hint="default" w:ascii="Times New Roman" w:hAnsi="Times New Roman" w:eastAsia="宋体" w:cs="Times New Roman"/>
                <w:color w:val="auto"/>
                <w:szCs w:val="21"/>
                <w:lang w:val="en-US" w:eastAsia="zh-CN"/>
              </w:rPr>
              <w:fldChar w:fldCharType="end"/>
            </w:r>
            <w:r>
              <w:rPr>
                <w:rFonts w:hint="default" w:ascii="Times New Roman" w:hAnsi="Times New Roman" w:cs="Times New Roman"/>
                <w:color w:val="auto"/>
                <w:szCs w:val="21"/>
              </w:rPr>
              <w:t>的要求设置必要的提示性和警示性图形标志。</w:t>
            </w:r>
          </w:p>
          <w:p w14:paraId="205E7674">
            <w:pPr>
              <w:tabs>
                <w:tab w:val="left" w:pos="3000"/>
              </w:tabs>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④已建立档案制度，将存放的固体废物的种类和数量，以及存放设施的检查维护等资料详细记录在案，长期保存，供随时查阅。除此之外，</w:t>
            </w:r>
            <w:r>
              <w:rPr>
                <w:rFonts w:hint="default" w:ascii="Times New Roman" w:hAnsi="Times New Roman" w:cs="Times New Roman"/>
                <w:color w:val="auto"/>
                <w:szCs w:val="21"/>
                <w:lang w:eastAsia="zh-CN"/>
              </w:rPr>
              <w:t>危废库</w:t>
            </w:r>
            <w:r>
              <w:rPr>
                <w:rFonts w:hint="default" w:ascii="Times New Roman" w:hAnsi="Times New Roman" w:cs="Times New Roman"/>
                <w:color w:val="auto"/>
                <w:szCs w:val="21"/>
              </w:rPr>
              <w:t>记录危险废物的名称、来源、特性和包装容器的类别、入库日期、存放库位、出库日期及接受单位名称。</w:t>
            </w:r>
          </w:p>
          <w:p w14:paraId="33262538">
            <w:pPr>
              <w:tabs>
                <w:tab w:val="left" w:pos="3000"/>
              </w:tabs>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⑤危险废物要装入容器内。装载液</w:t>
            </w:r>
            <w:r>
              <w:rPr>
                <w:rFonts w:hint="default" w:ascii="Times New Roman" w:hAnsi="Times New Roman" w:eastAsia="宋体" w:cs="Times New Roman"/>
                <w:color w:val="auto"/>
                <w:szCs w:val="21"/>
              </w:rPr>
              <w:t>体、半固体危险废物的容器顶部与液体表面之间保留100mm以上的空间；无法装入正常容器的危险废物用防漏胶袋盛装；容器上粘贴</w:t>
            </w:r>
            <w:r>
              <w:rPr>
                <w:rFonts w:hint="default" w:ascii="Times New Roman" w:hAnsi="Times New Roman" w:eastAsia="宋体" w:cs="Times New Roman"/>
                <w:color w:val="auto"/>
                <w:szCs w:val="21"/>
                <w:lang w:val="en-US" w:eastAsia="zh-CN"/>
              </w:rPr>
              <w:t> 《</w:t>
            </w:r>
            <w:r>
              <w:rPr>
                <w:rFonts w:hint="default" w:ascii="Times New Roman" w:hAnsi="Times New Roman" w:eastAsia="宋体" w:cs="Times New Roman"/>
                <w:color w:val="auto"/>
                <w:szCs w:val="21"/>
              </w:rPr>
              <w:t>危险废物识别标志设置技术规范</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HYPERLINK "https://www.mee.gov.cn/ywgz/fgbz/bz/bzwb/gthw/wxfwjbffbz/202302/W020230224650971041729.pdf"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rPr>
              <w:t>（HJ1276—2022）</w:t>
            </w:r>
            <w:r>
              <w:rPr>
                <w:rFonts w:hint="default" w:ascii="Times New Roman" w:hAnsi="Times New Roman" w:eastAsia="宋体" w:cs="Times New Roman"/>
                <w:color w:val="auto"/>
                <w:szCs w:val="21"/>
                <w:lang w:val="en-US" w:eastAsia="zh-CN"/>
              </w:rPr>
              <w:fldChar w:fldCharType="end"/>
            </w:r>
            <w:r>
              <w:rPr>
                <w:rFonts w:hint="default" w:ascii="Times New Roman" w:hAnsi="Times New Roman" w:eastAsia="宋体" w:cs="Times New Roman"/>
                <w:color w:val="auto"/>
                <w:szCs w:val="21"/>
              </w:rPr>
              <w:t>所示的危险废物标签。</w:t>
            </w:r>
          </w:p>
          <w:p w14:paraId="3DA3A1CE">
            <w:pPr>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综上所述，建设单位只要认真做好各类固体废物的收集、分类存放和定点处置，项目固废均能够得到合理妥善处置，不产生二次污染</w:t>
            </w:r>
            <w:r>
              <w:rPr>
                <w:rFonts w:hint="default" w:ascii="Times New Roman" w:hAnsi="Times New Roman" w:cs="Times New Roman"/>
                <w:color w:val="auto"/>
                <w:szCs w:val="21"/>
              </w:rPr>
              <w:t>。</w:t>
            </w:r>
            <w:r>
              <w:rPr>
                <w:rFonts w:hint="default" w:ascii="Times New Roman" w:hAnsi="Times New Roman" w:cs="Times New Roman"/>
                <w:color w:val="auto"/>
                <w:szCs w:val="21"/>
                <w:highlight w:val="none"/>
                <w:lang w:eastAsia="zh-CN"/>
              </w:rPr>
              <w:t>危险废物的贮存符合</w:t>
            </w:r>
            <w:r>
              <w:rPr>
                <w:rFonts w:hint="default" w:ascii="Times New Roman" w:hAnsi="Times New Roman" w:cs="Times New Roman"/>
                <w:color w:val="auto"/>
                <w:kern w:val="0"/>
                <w:szCs w:val="21"/>
                <w:highlight w:val="none"/>
                <w:lang w:bidi="ar"/>
              </w:rPr>
              <w:t>《危险废物贮存污染控制标准》（GB18597-20</w:t>
            </w:r>
            <w:r>
              <w:rPr>
                <w:rFonts w:hint="default" w:ascii="Times New Roman" w:hAnsi="Times New Roman" w:cs="Times New Roman"/>
                <w:color w:val="auto"/>
                <w:kern w:val="0"/>
                <w:szCs w:val="21"/>
                <w:highlight w:val="none"/>
                <w:lang w:val="en-US" w:eastAsia="zh-CN" w:bidi="ar"/>
              </w:rPr>
              <w:t>23</w:t>
            </w:r>
            <w:r>
              <w:rPr>
                <w:rFonts w:hint="default" w:ascii="Times New Roman" w:hAnsi="Times New Roman" w:cs="Times New Roman"/>
                <w:color w:val="auto"/>
                <w:kern w:val="0"/>
                <w:szCs w:val="21"/>
                <w:highlight w:val="none"/>
                <w:lang w:bidi="ar"/>
              </w:rPr>
              <w:t>）</w:t>
            </w:r>
            <w:r>
              <w:rPr>
                <w:rFonts w:hint="default" w:ascii="Times New Roman" w:hAnsi="Times New Roman" w:cs="Times New Roman"/>
                <w:color w:val="auto"/>
                <w:szCs w:val="21"/>
                <w:highlight w:val="none"/>
              </w:rPr>
              <w:t>，对周围环境影响很小。</w:t>
            </w:r>
          </w:p>
          <w:p w14:paraId="785FFF35">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w:t>
            </w:r>
            <w:r>
              <w:rPr>
                <w:rFonts w:hint="eastAsia" w:ascii="Times New Roman" w:hAnsi="Times New Roman" w:eastAsia="宋体" w:cs="Times New Roman"/>
                <w:b/>
                <w:bCs w:val="0"/>
                <w:color w:val="auto"/>
                <w:lang w:val="en-US" w:eastAsia="zh-CN"/>
              </w:rPr>
              <w:t>5</w:t>
            </w:r>
            <w:r>
              <w:rPr>
                <w:rFonts w:hint="default" w:ascii="Times New Roman" w:hAnsi="Times New Roman" w:eastAsia="宋体" w:cs="Times New Roman"/>
                <w:b/>
                <w:bCs w:val="0"/>
                <w:color w:val="auto"/>
                <w:lang w:val="en-US" w:eastAsia="zh-CN"/>
              </w:rPr>
              <w:t xml:space="preserve"> 固废环境管理要求</w:t>
            </w:r>
          </w:p>
          <w:tbl>
            <w:tblPr>
              <w:tblStyle w:val="3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6864"/>
            </w:tblGrid>
            <w:tr w14:paraId="68720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03" w:type="pct"/>
                  <w:tcBorders>
                    <w:tl2br w:val="nil"/>
                    <w:tr2bl w:val="nil"/>
                  </w:tcBorders>
                  <w:noWrap w:val="0"/>
                  <w:vAlign w:val="center"/>
                </w:tcPr>
                <w:p w14:paraId="035D2FA6">
                  <w:pPr>
                    <w:pStyle w:val="46"/>
                    <w:bidi w:val="0"/>
                    <w:rPr>
                      <w:rFonts w:hint="default" w:ascii="Times New Roman" w:hAnsi="Times New Roman" w:cs="Times New Roman"/>
                      <w:color w:val="auto"/>
                    </w:rPr>
                  </w:pPr>
                  <w:r>
                    <w:rPr>
                      <w:rFonts w:hint="default" w:ascii="Times New Roman" w:hAnsi="Times New Roman" w:cs="Times New Roman"/>
                      <w:color w:val="auto"/>
                    </w:rPr>
                    <w:t>项目</w:t>
                  </w:r>
                </w:p>
              </w:tc>
              <w:tc>
                <w:tcPr>
                  <w:tcW w:w="4296" w:type="pct"/>
                  <w:tcBorders>
                    <w:tl2br w:val="nil"/>
                    <w:tr2bl w:val="nil"/>
                  </w:tcBorders>
                  <w:noWrap w:val="0"/>
                  <w:vAlign w:val="center"/>
                </w:tcPr>
                <w:p w14:paraId="1D3AE929">
                  <w:pPr>
                    <w:pStyle w:val="46"/>
                    <w:bidi w:val="0"/>
                    <w:rPr>
                      <w:rFonts w:hint="default" w:ascii="Times New Roman" w:hAnsi="Times New Roman" w:cs="Times New Roman"/>
                      <w:color w:val="auto"/>
                    </w:rPr>
                  </w:pPr>
                  <w:r>
                    <w:rPr>
                      <w:rFonts w:hint="default" w:ascii="Times New Roman" w:hAnsi="Times New Roman" w:cs="Times New Roman"/>
                      <w:color w:val="auto"/>
                    </w:rPr>
                    <w:t>管理要求</w:t>
                  </w:r>
                </w:p>
              </w:tc>
            </w:tr>
            <w:tr w14:paraId="0B54E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vMerge w:val="restart"/>
                  <w:tcBorders>
                    <w:tl2br w:val="nil"/>
                    <w:tr2bl w:val="nil"/>
                  </w:tcBorders>
                  <w:noWrap w:val="0"/>
                  <w:vAlign w:val="center"/>
                </w:tcPr>
                <w:p w14:paraId="048D3C34">
                  <w:pPr>
                    <w:pStyle w:val="46"/>
                    <w:bidi w:val="0"/>
                    <w:rPr>
                      <w:rFonts w:hint="default" w:ascii="Times New Roman" w:hAnsi="Times New Roman" w:cs="Times New Roman"/>
                      <w:color w:val="auto"/>
                    </w:rPr>
                  </w:pPr>
                  <w:r>
                    <w:rPr>
                      <w:rFonts w:hint="default" w:ascii="Times New Roman" w:hAnsi="Times New Roman" w:cs="Times New Roman"/>
                      <w:color w:val="auto"/>
                    </w:rPr>
                    <w:t>固废</w:t>
                  </w:r>
                </w:p>
              </w:tc>
              <w:tc>
                <w:tcPr>
                  <w:tcW w:w="4296" w:type="pct"/>
                  <w:tcBorders>
                    <w:tl2br w:val="nil"/>
                    <w:tr2bl w:val="nil"/>
                  </w:tcBorders>
                  <w:noWrap w:val="0"/>
                  <w:vAlign w:val="center"/>
                </w:tcPr>
                <w:p w14:paraId="14B3B678">
                  <w:pPr>
                    <w:pStyle w:val="46"/>
                    <w:bidi w:val="0"/>
                    <w:rPr>
                      <w:rFonts w:hint="default" w:ascii="Times New Roman" w:hAnsi="Times New Roman" w:cs="Times New Roman"/>
                      <w:color w:val="auto"/>
                    </w:rPr>
                  </w:pPr>
                  <w:r>
                    <w:rPr>
                      <w:rFonts w:hint="default" w:ascii="Times New Roman" w:hAnsi="Times New Roman" w:cs="Times New Roman"/>
                      <w:color w:val="auto"/>
                    </w:rPr>
                    <w:t>统计厂内固体废物种类、产生量、处理方式（去向）等</w:t>
                  </w:r>
                </w:p>
              </w:tc>
            </w:tr>
            <w:tr w14:paraId="2CFDC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pct"/>
                  <w:vMerge w:val="continue"/>
                  <w:tcBorders>
                    <w:tl2br w:val="nil"/>
                    <w:tr2bl w:val="nil"/>
                  </w:tcBorders>
                  <w:noWrap w:val="0"/>
                  <w:vAlign w:val="center"/>
                </w:tcPr>
                <w:p w14:paraId="2B57851A">
                  <w:pPr>
                    <w:pStyle w:val="46"/>
                    <w:bidi w:val="0"/>
                    <w:rPr>
                      <w:rFonts w:hint="default" w:ascii="Times New Roman" w:hAnsi="Times New Roman" w:cs="Times New Roman"/>
                      <w:color w:val="auto"/>
                    </w:rPr>
                  </w:pPr>
                </w:p>
              </w:tc>
              <w:tc>
                <w:tcPr>
                  <w:tcW w:w="4296" w:type="pct"/>
                  <w:tcBorders>
                    <w:tl2br w:val="nil"/>
                    <w:tr2bl w:val="nil"/>
                  </w:tcBorders>
                  <w:noWrap w:val="0"/>
                  <w:vAlign w:val="center"/>
                </w:tcPr>
                <w:p w14:paraId="677BEDE7">
                  <w:pPr>
                    <w:pStyle w:val="46"/>
                    <w:bidi w:val="0"/>
                    <w:rPr>
                      <w:rFonts w:hint="default" w:ascii="Times New Roman" w:hAnsi="Times New Roman" w:cs="Times New Roman"/>
                      <w:color w:val="auto"/>
                    </w:rPr>
                  </w:pPr>
                  <w:r>
                    <w:rPr>
                      <w:rFonts w:hint="default" w:ascii="Times New Roman" w:hAnsi="Times New Roman" w:cs="Times New Roman"/>
                      <w:color w:val="auto"/>
                    </w:rPr>
                    <w:t>周期与频率：每月统计一次</w:t>
                  </w:r>
                </w:p>
              </w:tc>
            </w:tr>
          </w:tbl>
          <w:p w14:paraId="643725E5">
            <w:pPr>
              <w:pStyle w:val="4"/>
              <w:numPr>
                <w:ilvl w:val="0"/>
                <w:numId w:val="0"/>
              </w:numPr>
              <w:bidi w:val="0"/>
              <w:ind w:leftChars="0" w:firstLine="482" w:firstLineChars="200"/>
              <w:rPr>
                <w:rFonts w:hint="default" w:ascii="Times New Roman" w:hAnsi="Times New Roman" w:eastAsia="宋体" w:cs="Times New Roman"/>
                <w:b/>
                <w:bCs w:val="0"/>
                <w:color w:val="auto"/>
                <w:szCs w:val="24"/>
              </w:rPr>
            </w:pPr>
            <w:r>
              <w:rPr>
                <w:rFonts w:hint="default" w:ascii="Times New Roman" w:hAnsi="Times New Roman" w:eastAsia="宋体" w:cs="Times New Roman"/>
                <w:b/>
                <w:bCs w:val="0"/>
                <w:color w:val="auto"/>
              </w:rPr>
              <w:t>五、地下水、土壤</w:t>
            </w:r>
          </w:p>
          <w:p w14:paraId="14879419">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1、</w:t>
            </w:r>
            <w:r>
              <w:rPr>
                <w:rFonts w:hint="default" w:ascii="Times New Roman" w:hAnsi="Times New Roman" w:eastAsia="宋体" w:cs="Times New Roman"/>
                <w:b/>
                <w:bCs w:val="0"/>
                <w:color w:val="auto"/>
                <w:lang w:val="en-US" w:eastAsia="zh-CN"/>
              </w:rPr>
              <w:t>污染源及</w:t>
            </w:r>
            <w:r>
              <w:rPr>
                <w:rFonts w:hint="default" w:ascii="Times New Roman" w:hAnsi="Times New Roman" w:eastAsia="宋体" w:cs="Times New Roman"/>
                <w:b/>
                <w:bCs w:val="0"/>
                <w:color w:val="auto"/>
              </w:rPr>
              <w:t>污染途径</w:t>
            </w:r>
          </w:p>
          <w:p w14:paraId="4101CA8A">
            <w:pPr>
              <w:ind w:firstLine="480" w:firstLineChars="200"/>
              <w:rPr>
                <w:rFonts w:hint="default" w:ascii="Times New Roman" w:hAnsi="Times New Roman" w:cs="Times New Roman"/>
                <w:bCs/>
                <w:color w:val="auto"/>
                <w:szCs w:val="24"/>
              </w:rPr>
            </w:pPr>
            <w:r>
              <w:rPr>
                <w:rFonts w:hint="default" w:ascii="Times New Roman" w:hAnsi="Times New Roman" w:cs="Times New Roman"/>
                <w:bCs/>
                <w:color w:val="auto"/>
                <w:szCs w:val="24"/>
              </w:rPr>
              <w:t>土壤污染</w:t>
            </w:r>
            <w:r>
              <w:rPr>
                <w:rFonts w:hint="default" w:ascii="Times New Roman" w:hAnsi="Times New Roman" w:cs="Times New Roman"/>
                <w:bCs/>
                <w:color w:val="auto"/>
                <w:szCs w:val="24"/>
                <w:lang w:val="en-US" w:eastAsia="zh-CN"/>
              </w:rPr>
              <w:t>途径</w:t>
            </w:r>
            <w:r>
              <w:rPr>
                <w:rFonts w:hint="default" w:ascii="Times New Roman" w:hAnsi="Times New Roman" w:cs="Times New Roman"/>
                <w:bCs/>
                <w:color w:val="auto"/>
                <w:szCs w:val="24"/>
              </w:rPr>
              <w:t>主要包括大气沉降、地面漫流和垂直入渗，地下水污染</w:t>
            </w:r>
            <w:r>
              <w:rPr>
                <w:rFonts w:hint="default" w:ascii="Times New Roman" w:hAnsi="Times New Roman" w:cs="Times New Roman"/>
                <w:bCs/>
                <w:color w:val="auto"/>
                <w:szCs w:val="24"/>
                <w:lang w:val="en-US" w:eastAsia="zh-CN"/>
              </w:rPr>
              <w:t>途径</w:t>
            </w:r>
            <w:r>
              <w:rPr>
                <w:rFonts w:hint="default" w:ascii="Times New Roman" w:hAnsi="Times New Roman" w:cs="Times New Roman"/>
                <w:bCs/>
                <w:color w:val="auto"/>
                <w:szCs w:val="24"/>
              </w:rPr>
              <w:t>主要包括可能会发生污染物/原辅料跑冒滴漏的工艺、管道、设备、污水储存及处理构筑物。</w:t>
            </w:r>
          </w:p>
          <w:p w14:paraId="411FE038">
            <w:pPr>
              <w:ind w:firstLine="480" w:firstLineChars="20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kern w:val="0"/>
                <w:sz w:val="24"/>
                <w:lang w:bidi="ar"/>
              </w:rPr>
              <w:t>本项目</w:t>
            </w:r>
            <w:r>
              <w:rPr>
                <w:rFonts w:hint="default" w:ascii="Times New Roman" w:hAnsi="Times New Roman" w:cs="Times New Roman"/>
                <w:color w:val="auto"/>
                <w:kern w:val="0"/>
                <w:sz w:val="24"/>
                <w:lang w:val="en-US" w:eastAsia="zh-CN" w:bidi="ar"/>
              </w:rPr>
              <w:t>无废水产生，废气污染物达标排放，危险废物依托现有危废库暂存，危废库已采取严格的防渗措施</w:t>
            </w:r>
            <w:r>
              <w:rPr>
                <w:rFonts w:hint="default" w:ascii="Times New Roman" w:hAnsi="Times New Roman" w:cs="Times New Roman"/>
                <w:color w:val="auto"/>
                <w:szCs w:val="24"/>
              </w:rPr>
              <w:t>。</w:t>
            </w:r>
            <w:r>
              <w:rPr>
                <w:rFonts w:hint="default" w:ascii="Times New Roman" w:hAnsi="Times New Roman" w:cs="Times New Roman"/>
                <w:color w:val="auto"/>
                <w:szCs w:val="24"/>
                <w:lang w:val="en-US" w:eastAsia="zh-CN"/>
              </w:rPr>
              <w:t>结合本项目特点，项目无土壤、地下水污染途径。建设单位在确保落实各项防渗措施并加强厂区环境管理的前提下，本项目运营期对土壤和地下水环境基本无影响。</w:t>
            </w:r>
          </w:p>
          <w:p w14:paraId="2FC2E17E">
            <w:pPr>
              <w:pStyle w:val="4"/>
              <w:numPr>
                <w:ilvl w:val="0"/>
                <w:numId w:val="0"/>
              </w:numPr>
              <w:bidi w:val="0"/>
              <w:ind w:leftChars="0" w:firstLine="482" w:firstLineChars="20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2</w:t>
            </w:r>
            <w:r>
              <w:rPr>
                <w:rFonts w:hint="default" w:ascii="Times New Roman" w:hAnsi="Times New Roman" w:eastAsia="宋体" w:cs="Times New Roman"/>
                <w:b/>
                <w:bCs w:val="0"/>
                <w:color w:val="auto"/>
              </w:rPr>
              <w:t>、</w:t>
            </w:r>
            <w:r>
              <w:rPr>
                <w:rFonts w:hint="eastAsia" w:ascii="Times New Roman" w:hAnsi="Times New Roman" w:eastAsia="宋体" w:cs="Times New Roman"/>
                <w:b/>
                <w:bCs w:val="0"/>
                <w:color w:val="auto"/>
                <w:lang w:val="en-US" w:eastAsia="zh-CN"/>
              </w:rPr>
              <w:t>污染防治措施</w:t>
            </w:r>
          </w:p>
          <w:p w14:paraId="66FEE5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lang w:val="en-US" w:eastAsia="zh-CN"/>
              </w:rPr>
            </w:pPr>
            <w:r>
              <w:rPr>
                <w:rFonts w:hint="eastAsia" w:cs="Times New Roman"/>
                <w:bCs/>
                <w:color w:val="auto"/>
                <w:lang w:eastAsia="zh-CN"/>
              </w:rPr>
              <w:t>（</w:t>
            </w:r>
            <w:r>
              <w:rPr>
                <w:rFonts w:hint="eastAsia" w:cs="Times New Roman"/>
                <w:bCs/>
                <w:color w:val="auto"/>
                <w:lang w:val="en-US" w:eastAsia="zh-CN"/>
              </w:rPr>
              <w:t>1</w:t>
            </w:r>
            <w:r>
              <w:rPr>
                <w:rFonts w:hint="eastAsia" w:cs="Times New Roman"/>
                <w:bCs/>
                <w:color w:val="auto"/>
                <w:lang w:eastAsia="zh-CN"/>
              </w:rPr>
              <w:t>）</w:t>
            </w:r>
            <w:r>
              <w:rPr>
                <w:rFonts w:hint="default" w:ascii="Times New Roman" w:hAnsi="Times New Roman" w:cs="Times New Roman"/>
                <w:color w:val="auto"/>
                <w:sz w:val="24"/>
                <w:szCs w:val="22"/>
                <w:lang w:val="en-US" w:eastAsia="zh-CN"/>
              </w:rPr>
              <w:t>源头控制</w:t>
            </w:r>
          </w:p>
          <w:p w14:paraId="65397065">
            <w:pPr>
              <w:pStyle w:val="138"/>
              <w:ind w:firstLine="482"/>
            </w:pPr>
            <w:r>
              <w:t>主要包括在工艺、管道、设备、污水产生及储存构筑物采取相应措施，防止和降低污染物跑、冒、滴、漏，将污染物泄漏的环境风险事故降到最低程度；管线敷设尽量采用“可视化”原则，即管道尽可能地上敷设，做到污染物“早发现、早处理”，减少由于埋地管道泄漏而造成的地下水污染。</w:t>
            </w:r>
          </w:p>
          <w:p w14:paraId="14E660E2">
            <w:pPr>
              <w:widowControl/>
              <w:ind w:firstLine="480" w:firstLineChars="200"/>
              <w:rPr>
                <w:rFonts w:hint="eastAsia" w:eastAsia="宋体"/>
                <w:lang w:eastAsia="zh-CN"/>
              </w:rPr>
            </w:pPr>
            <w:r>
              <w:t>禁止在建设场区内任意设置排污水口，对污水管道进行全封闭，防止流入环境中。为了防止突发事故，污染物外泄，造成对环境的污染，应设置专门的事故水池及安全事故报警系统，一旦有事故发生，将污水直接排入事故水池等待处理</w:t>
            </w:r>
            <w:r>
              <w:rPr>
                <w:rFonts w:hint="eastAsia"/>
                <w:lang w:eastAsia="zh-CN"/>
              </w:rPr>
              <w:t>。</w:t>
            </w:r>
          </w:p>
          <w:p w14:paraId="70243350">
            <w:pPr>
              <w:widowControl/>
              <w:ind w:firstLine="480" w:firstLineChars="200"/>
              <w:rPr>
                <w:rFonts w:hint="default" w:eastAsia="宋体"/>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分区防渗</w:t>
            </w:r>
          </w:p>
          <w:p w14:paraId="6658B6D9">
            <w:pPr>
              <w:widowControl/>
              <w:ind w:firstLine="480" w:firstLineChars="200"/>
              <w:rPr>
                <w:rFonts w:hint="default" w:ascii="Times New Roman" w:hAnsi="Times New Roman" w:cs="Times New Roman"/>
                <w:bCs/>
                <w:color w:val="auto"/>
              </w:rPr>
            </w:pPr>
            <w:r>
              <w:rPr>
                <w:rFonts w:hint="default" w:ascii="Times New Roman" w:hAnsi="Times New Roman" w:cs="Times New Roman"/>
                <w:bCs/>
                <w:color w:val="auto"/>
              </w:rPr>
              <w:t>根据《环境影响评价技术导则地下水环境》（HJ610-2016）中污染防治区分的规定，根据装置、单元的特点和所处的区域及部位，本项目</w:t>
            </w:r>
            <w:r>
              <w:rPr>
                <w:rFonts w:hint="default" w:ascii="Times New Roman" w:hAnsi="Times New Roman" w:cs="Times New Roman"/>
                <w:bCs/>
                <w:color w:val="auto"/>
                <w:lang w:val="en-US" w:eastAsia="zh-CN"/>
              </w:rPr>
              <w:t>利用现有车间建设，已</w:t>
            </w:r>
            <w:r>
              <w:rPr>
                <w:rFonts w:hint="default" w:ascii="Times New Roman" w:hAnsi="Times New Roman" w:cs="Times New Roman"/>
                <w:bCs/>
                <w:color w:val="auto"/>
              </w:rPr>
              <w:t>建设场地划分为简单防渗区、一般防渗区和重点防渗区。具体见</w:t>
            </w:r>
            <w:r>
              <w:rPr>
                <w:rFonts w:hint="default" w:ascii="Times New Roman" w:hAnsi="Times New Roman" w:cs="Times New Roman"/>
                <w:bCs/>
                <w:color w:val="auto"/>
                <w:lang w:val="en-US" w:eastAsia="zh-CN"/>
              </w:rPr>
              <w:t>下</w:t>
            </w:r>
            <w:r>
              <w:rPr>
                <w:rFonts w:hint="default" w:ascii="Times New Roman" w:hAnsi="Times New Roman" w:cs="Times New Roman"/>
                <w:bCs/>
                <w:color w:val="auto"/>
              </w:rPr>
              <w:t>表。</w:t>
            </w:r>
          </w:p>
          <w:p w14:paraId="641A2931">
            <w:pPr>
              <w:pStyle w:val="45"/>
              <w:bidi w:val="0"/>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w:t>
            </w:r>
            <w:r>
              <w:rPr>
                <w:rFonts w:hint="eastAsia" w:ascii="Times New Roman" w:hAnsi="Times New Roman" w:eastAsia="宋体" w:cs="Times New Roman"/>
                <w:b/>
                <w:bCs w:val="0"/>
                <w:color w:val="auto"/>
                <w:lang w:val="en-US" w:eastAsia="zh-CN"/>
              </w:rPr>
              <w:t>6</w:t>
            </w:r>
            <w:r>
              <w:rPr>
                <w:rFonts w:hint="default" w:ascii="Times New Roman" w:hAnsi="Times New Roman" w:eastAsia="宋体" w:cs="Times New Roman"/>
                <w:b/>
                <w:bCs w:val="0"/>
                <w:color w:val="auto"/>
                <w:lang w:val="en-US" w:eastAsia="zh-CN"/>
              </w:rPr>
              <w:t xml:space="preserve"> 项目污染防治分区情况</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71"/>
              <w:gridCol w:w="2253"/>
              <w:gridCol w:w="1832"/>
              <w:gridCol w:w="1166"/>
            </w:tblGrid>
            <w:tr w14:paraId="077D3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8" w:type="pct"/>
                  <w:tcBorders>
                    <w:tl2br w:val="nil"/>
                    <w:tr2bl w:val="nil"/>
                  </w:tcBorders>
                  <w:noWrap w:val="0"/>
                  <w:vAlign w:val="center"/>
                </w:tcPr>
                <w:p w14:paraId="3411B769">
                  <w:pPr>
                    <w:pStyle w:val="46"/>
                    <w:rPr>
                      <w:rFonts w:hint="default" w:ascii="Times New Roman" w:hAnsi="Times New Roman" w:eastAsia="宋体" w:cs="Times New Roman"/>
                      <w:b/>
                      <w:bCs/>
                      <w:color w:val="auto"/>
                      <w:lang w:eastAsia="zh-CN"/>
                    </w:rPr>
                  </w:pPr>
                  <w:r>
                    <w:rPr>
                      <w:rFonts w:hint="default" w:ascii="Times New Roman" w:hAnsi="Times New Roman" w:cs="Times New Roman"/>
                      <w:b/>
                      <w:bCs/>
                      <w:color w:val="auto"/>
                    </w:rPr>
                    <w:t>防渗</w:t>
                  </w:r>
                  <w:r>
                    <w:rPr>
                      <w:rFonts w:hint="default" w:ascii="Times New Roman" w:hAnsi="Times New Roman" w:cs="Times New Roman"/>
                      <w:b/>
                      <w:bCs/>
                      <w:color w:val="auto"/>
                      <w:lang w:val="en-US" w:eastAsia="zh-CN"/>
                    </w:rPr>
                    <w:t>区域</w:t>
                  </w:r>
                </w:p>
              </w:tc>
              <w:tc>
                <w:tcPr>
                  <w:tcW w:w="795" w:type="pct"/>
                  <w:tcBorders>
                    <w:tl2br w:val="nil"/>
                    <w:tr2bl w:val="nil"/>
                  </w:tcBorders>
                  <w:noWrap w:val="0"/>
                  <w:vAlign w:val="center"/>
                </w:tcPr>
                <w:p w14:paraId="1AD56B2A">
                  <w:pPr>
                    <w:pStyle w:val="46"/>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rPr>
                    <w:t>防渗类别</w:t>
                  </w:r>
                </w:p>
              </w:tc>
              <w:tc>
                <w:tcPr>
                  <w:tcW w:w="1409" w:type="pct"/>
                  <w:tcBorders>
                    <w:tl2br w:val="nil"/>
                    <w:tr2bl w:val="nil"/>
                  </w:tcBorders>
                  <w:noWrap w:val="0"/>
                  <w:vAlign w:val="center"/>
                </w:tcPr>
                <w:p w14:paraId="799901ED">
                  <w:pPr>
                    <w:pStyle w:val="46"/>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防渗技术要求</w:t>
                  </w:r>
                </w:p>
              </w:tc>
              <w:tc>
                <w:tcPr>
                  <w:tcW w:w="1146" w:type="pct"/>
                  <w:tcBorders>
                    <w:tl2br w:val="nil"/>
                    <w:tr2bl w:val="nil"/>
                  </w:tcBorders>
                  <w:noWrap w:val="0"/>
                  <w:vAlign w:val="center"/>
                </w:tcPr>
                <w:p w14:paraId="61EB10FB">
                  <w:pPr>
                    <w:pStyle w:val="46"/>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已采取的防渗措施</w:t>
                  </w:r>
                </w:p>
              </w:tc>
              <w:tc>
                <w:tcPr>
                  <w:tcW w:w="729" w:type="pct"/>
                  <w:tcBorders>
                    <w:tl2br w:val="nil"/>
                    <w:tr2bl w:val="nil"/>
                  </w:tcBorders>
                  <w:noWrap w:val="0"/>
                  <w:vAlign w:val="center"/>
                </w:tcPr>
                <w:p w14:paraId="01A44F8D">
                  <w:pPr>
                    <w:pStyle w:val="46"/>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是否满足要求</w:t>
                  </w:r>
                </w:p>
              </w:tc>
            </w:tr>
            <w:tr w14:paraId="69368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18" w:type="pct"/>
                  <w:tcBorders>
                    <w:tl2br w:val="nil"/>
                    <w:tr2bl w:val="nil"/>
                  </w:tcBorders>
                  <w:noWrap w:val="0"/>
                  <w:vAlign w:val="center"/>
                </w:tcPr>
                <w:p w14:paraId="391B5EB2">
                  <w:pPr>
                    <w:pStyle w:val="46"/>
                    <w:rPr>
                      <w:rFonts w:hint="default" w:ascii="Times New Roman" w:hAnsi="Times New Roman" w:eastAsia="宋体" w:cs="Times New Roman"/>
                      <w:color w:val="auto"/>
                      <w:lang w:val="en-US" w:eastAsia="zh-CN"/>
                    </w:rPr>
                  </w:pPr>
                  <w:r>
                    <w:rPr>
                      <w:rFonts w:hint="eastAsia" w:cs="Times New Roman"/>
                      <w:color w:val="auto"/>
                      <w:lang w:val="en-US" w:eastAsia="zh-CN"/>
                    </w:rPr>
                    <w:t>危废暂存间</w:t>
                  </w:r>
                  <w:r>
                    <w:rPr>
                      <w:rFonts w:hint="default" w:ascii="Times New Roman" w:hAnsi="Times New Roman" w:cs="Times New Roman"/>
                      <w:color w:val="auto"/>
                      <w:lang w:val="en-US" w:eastAsia="zh-CN"/>
                    </w:rPr>
                    <w:t>、初期雨水池</w:t>
                  </w:r>
                  <w:r>
                    <w:rPr>
                      <w:rFonts w:hint="eastAsia" w:cs="Times New Roman"/>
                      <w:color w:val="auto"/>
                      <w:lang w:val="en-US" w:eastAsia="zh-CN"/>
                    </w:rPr>
                    <w:t>、事故水池、污水处理设施</w:t>
                  </w:r>
                </w:p>
              </w:tc>
              <w:tc>
                <w:tcPr>
                  <w:tcW w:w="795" w:type="pct"/>
                  <w:tcBorders>
                    <w:tl2br w:val="nil"/>
                    <w:tr2bl w:val="nil"/>
                  </w:tcBorders>
                  <w:noWrap w:val="0"/>
                  <w:vAlign w:val="center"/>
                </w:tcPr>
                <w:p w14:paraId="10A82F41">
                  <w:pPr>
                    <w:pStyle w:val="46"/>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重点防渗区</w:t>
                  </w:r>
                </w:p>
              </w:tc>
              <w:tc>
                <w:tcPr>
                  <w:tcW w:w="1409" w:type="pct"/>
                  <w:tcBorders>
                    <w:tl2br w:val="nil"/>
                    <w:tr2bl w:val="nil"/>
                  </w:tcBorders>
                  <w:noWrap w:val="0"/>
                  <w:vAlign w:val="center"/>
                </w:tcPr>
                <w:p w14:paraId="42CF1257">
                  <w:pPr>
                    <w:pStyle w:val="46"/>
                    <w:jc w:val="both"/>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等效黏土防渗层Mb≥6.0m，K≤1×10</w:t>
                  </w:r>
                  <w:r>
                    <w:rPr>
                      <w:rFonts w:hint="default" w:ascii="Times New Roman" w:hAnsi="Times New Roman" w:eastAsia="宋体" w:cs="Times New Roman"/>
                      <w:color w:val="auto"/>
                      <w:vertAlign w:val="superscript"/>
                      <w:lang w:eastAsia="zh-CN"/>
                    </w:rPr>
                    <w:t>-7</w:t>
                  </w:r>
                  <w:r>
                    <w:rPr>
                      <w:rFonts w:hint="default" w:ascii="Times New Roman" w:hAnsi="Times New Roman" w:eastAsia="宋体" w:cs="Times New Roman"/>
                      <w:color w:val="auto"/>
                      <w:lang w:eastAsia="zh-CN"/>
                    </w:rPr>
                    <w:t>cm/s；或参照GB18598执行（来源：HJ610-2016）</w:t>
                  </w:r>
                </w:p>
              </w:tc>
              <w:tc>
                <w:tcPr>
                  <w:tcW w:w="1146" w:type="pct"/>
                  <w:tcBorders>
                    <w:tl2br w:val="nil"/>
                    <w:tr2bl w:val="nil"/>
                  </w:tcBorders>
                  <w:noWrap w:val="0"/>
                  <w:vAlign w:val="center"/>
                </w:tcPr>
                <w:p w14:paraId="2B423237">
                  <w:pPr>
                    <w:pStyle w:val="46"/>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采用抗渗混凝土地面；环氧地坪漆防渗层</w:t>
                  </w:r>
                </w:p>
              </w:tc>
              <w:tc>
                <w:tcPr>
                  <w:tcW w:w="729" w:type="pct"/>
                  <w:tcBorders>
                    <w:tl2br w:val="nil"/>
                    <w:tr2bl w:val="nil"/>
                  </w:tcBorders>
                  <w:noWrap w:val="0"/>
                  <w:vAlign w:val="center"/>
                </w:tcPr>
                <w:p w14:paraId="3D99DD05">
                  <w:pPr>
                    <w:pStyle w:val="46"/>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是</w:t>
                  </w:r>
                </w:p>
              </w:tc>
            </w:tr>
            <w:tr w14:paraId="2D818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8" w:type="pct"/>
                  <w:tcBorders>
                    <w:tl2br w:val="nil"/>
                    <w:tr2bl w:val="nil"/>
                  </w:tcBorders>
                  <w:noWrap w:val="0"/>
                  <w:vAlign w:val="center"/>
                </w:tcPr>
                <w:p w14:paraId="35DDBBBF">
                  <w:pPr>
                    <w:pStyle w:val="46"/>
                    <w:rPr>
                      <w:rFonts w:hint="default" w:ascii="Times New Roman" w:hAnsi="Times New Roman" w:eastAsia="宋体" w:cs="Times New Roman"/>
                      <w:color w:val="auto"/>
                      <w:lang w:val="en-US" w:eastAsia="zh-CN"/>
                    </w:rPr>
                  </w:pPr>
                  <w:r>
                    <w:rPr>
                      <w:rFonts w:hint="eastAsia" w:cs="Times New Roman"/>
                      <w:color w:val="auto"/>
                      <w:lang w:val="en-US" w:eastAsia="zh-CN"/>
                    </w:rPr>
                    <w:t>联合储库、辅材堆棚、原煤堆棚、其他生产车间</w:t>
                  </w:r>
                </w:p>
              </w:tc>
              <w:tc>
                <w:tcPr>
                  <w:tcW w:w="795" w:type="pct"/>
                  <w:tcBorders>
                    <w:tl2br w:val="nil"/>
                    <w:tr2bl w:val="nil"/>
                  </w:tcBorders>
                  <w:noWrap w:val="0"/>
                  <w:vAlign w:val="center"/>
                </w:tcPr>
                <w:p w14:paraId="1AF9D438">
                  <w:pPr>
                    <w:pStyle w:val="46"/>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一般防渗区</w:t>
                  </w:r>
                </w:p>
              </w:tc>
              <w:tc>
                <w:tcPr>
                  <w:tcW w:w="1409" w:type="pct"/>
                  <w:tcBorders>
                    <w:tl2br w:val="nil"/>
                    <w:tr2bl w:val="nil"/>
                  </w:tcBorders>
                  <w:noWrap w:val="0"/>
                  <w:vAlign w:val="center"/>
                </w:tcPr>
                <w:p w14:paraId="51374276">
                  <w:pPr>
                    <w:pStyle w:val="46"/>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等效黏土防渗层Mb≥1.5m，K≤1×10</w:t>
                  </w:r>
                  <w:r>
                    <w:rPr>
                      <w:rFonts w:hint="default" w:ascii="Times New Roman" w:hAnsi="Times New Roman" w:cs="Times New Roman"/>
                      <w:color w:val="auto"/>
                      <w:vertAlign w:val="superscript"/>
                      <w:lang w:val="en-US" w:eastAsia="zh-CN"/>
                    </w:rPr>
                    <w:t>-7</w:t>
                  </w:r>
                  <w:r>
                    <w:rPr>
                      <w:rFonts w:hint="default" w:ascii="Times New Roman" w:hAnsi="Times New Roman" w:cs="Times New Roman"/>
                      <w:color w:val="auto"/>
                      <w:lang w:val="en-US" w:eastAsia="zh-CN"/>
                    </w:rPr>
                    <w:t>cm/s；或参照GB16889执行（来源：HJ610-2016）</w:t>
                  </w:r>
                </w:p>
              </w:tc>
              <w:tc>
                <w:tcPr>
                  <w:tcW w:w="1146" w:type="pct"/>
                  <w:tcBorders>
                    <w:tl2br w:val="nil"/>
                    <w:tr2bl w:val="nil"/>
                  </w:tcBorders>
                  <w:noWrap w:val="0"/>
                  <w:vAlign w:val="center"/>
                </w:tcPr>
                <w:p w14:paraId="045D41FD">
                  <w:pPr>
                    <w:pStyle w:val="46"/>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采用抗渗混凝土+HDPE膜防渗</w:t>
                  </w:r>
                </w:p>
              </w:tc>
              <w:tc>
                <w:tcPr>
                  <w:tcW w:w="729" w:type="pct"/>
                  <w:tcBorders>
                    <w:tl2br w:val="nil"/>
                    <w:tr2bl w:val="nil"/>
                  </w:tcBorders>
                  <w:noWrap w:val="0"/>
                  <w:vAlign w:val="center"/>
                </w:tcPr>
                <w:p w14:paraId="33F50F67">
                  <w:pPr>
                    <w:pStyle w:val="4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是</w:t>
                  </w:r>
                </w:p>
              </w:tc>
            </w:tr>
            <w:tr w14:paraId="08A05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8" w:type="pct"/>
                  <w:tcBorders>
                    <w:tl2br w:val="nil"/>
                    <w:tr2bl w:val="nil"/>
                  </w:tcBorders>
                  <w:noWrap w:val="0"/>
                  <w:vAlign w:val="center"/>
                </w:tcPr>
                <w:p w14:paraId="4269E85F">
                  <w:pPr>
                    <w:pStyle w:val="4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其他区域</w:t>
                  </w:r>
                </w:p>
              </w:tc>
              <w:tc>
                <w:tcPr>
                  <w:tcW w:w="795" w:type="pct"/>
                  <w:tcBorders>
                    <w:tl2br w:val="nil"/>
                    <w:tr2bl w:val="nil"/>
                  </w:tcBorders>
                  <w:noWrap w:val="0"/>
                  <w:vAlign w:val="center"/>
                </w:tcPr>
                <w:p w14:paraId="5CD7A33F">
                  <w:pPr>
                    <w:pStyle w:val="46"/>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简单防渗区</w:t>
                  </w:r>
                </w:p>
              </w:tc>
              <w:tc>
                <w:tcPr>
                  <w:tcW w:w="1409" w:type="pct"/>
                  <w:tcBorders>
                    <w:tl2br w:val="nil"/>
                    <w:tr2bl w:val="nil"/>
                  </w:tcBorders>
                  <w:noWrap w:val="0"/>
                  <w:vAlign w:val="center"/>
                </w:tcPr>
                <w:p w14:paraId="37CC90D6">
                  <w:pPr>
                    <w:pStyle w:val="4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一般地面硬化</w:t>
                  </w:r>
                </w:p>
              </w:tc>
              <w:tc>
                <w:tcPr>
                  <w:tcW w:w="1146" w:type="pct"/>
                  <w:tcBorders>
                    <w:tl2br w:val="nil"/>
                    <w:tr2bl w:val="nil"/>
                  </w:tcBorders>
                  <w:noWrap w:val="0"/>
                  <w:vAlign w:val="center"/>
                </w:tcPr>
                <w:p w14:paraId="16B504C8">
                  <w:pPr>
                    <w:pStyle w:val="4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一般混凝土硬化</w:t>
                  </w:r>
                </w:p>
              </w:tc>
              <w:tc>
                <w:tcPr>
                  <w:tcW w:w="729" w:type="pct"/>
                  <w:tcBorders>
                    <w:tl2br w:val="nil"/>
                    <w:tr2bl w:val="nil"/>
                  </w:tcBorders>
                  <w:noWrap w:val="0"/>
                  <w:vAlign w:val="center"/>
                </w:tcPr>
                <w:p w14:paraId="760805F2">
                  <w:pPr>
                    <w:pStyle w:val="46"/>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是</w:t>
                  </w:r>
                </w:p>
              </w:tc>
            </w:tr>
          </w:tbl>
          <w:p w14:paraId="4788EEEF">
            <w:pPr>
              <w:widowControl/>
              <w:ind w:firstLine="480" w:firstLineChars="200"/>
              <w:rPr>
                <w:rFonts w:hint="default" w:ascii="Times New Roman" w:hAnsi="Times New Roman" w:cs="Times New Roman"/>
                <w:bCs/>
                <w:color w:val="auto"/>
              </w:rPr>
            </w:pPr>
            <w:r>
              <w:rPr>
                <w:rFonts w:hint="default" w:ascii="Times New Roman" w:hAnsi="Times New Roman" w:cs="Times New Roman"/>
                <w:bCs/>
                <w:color w:val="auto"/>
                <w:lang w:val="en-US" w:eastAsia="zh-CN"/>
              </w:rPr>
              <w:t>项目</w:t>
            </w:r>
            <w:r>
              <w:rPr>
                <w:rFonts w:hint="default" w:ascii="Times New Roman" w:hAnsi="Times New Roman" w:cs="Times New Roman"/>
                <w:bCs/>
                <w:color w:val="auto"/>
              </w:rPr>
              <w:t>按照不同分区要求采取不同等级的防渗措施，并确保其可靠性和有效性。项目区域内地面全部混凝土硬化，通过采取地面防渗和严格的生产组织管理，项目建设不会对所在区域地下水和土壤产生影响。</w:t>
            </w:r>
          </w:p>
          <w:p w14:paraId="5F6D48FD">
            <w:pPr>
              <w:pStyle w:val="4"/>
              <w:numPr>
                <w:ilvl w:val="0"/>
                <w:numId w:val="0"/>
              </w:numPr>
              <w:bidi w:val="0"/>
              <w:ind w:leftChars="0" w:firstLine="482" w:firstLineChars="200"/>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六、生态</w:t>
            </w:r>
          </w:p>
          <w:p w14:paraId="1B225054">
            <w:pPr>
              <w:ind w:firstLine="480" w:firstLineChars="200"/>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本项目不新占用土地，</w:t>
            </w:r>
            <w:r>
              <w:rPr>
                <w:rFonts w:hint="default" w:ascii="Times New Roman" w:hAnsi="Times New Roman" w:cs="Times New Roman"/>
                <w:color w:val="auto"/>
                <w:kern w:val="0"/>
                <w:szCs w:val="24"/>
                <w:lang w:val="en-US" w:eastAsia="zh-CN"/>
              </w:rPr>
              <w:t>依托已建成厂区进行生产，</w:t>
            </w:r>
            <w:r>
              <w:rPr>
                <w:rFonts w:hint="default" w:ascii="Times New Roman" w:hAnsi="Times New Roman" w:eastAsia="宋体" w:cs="Times New Roman"/>
                <w:color w:val="auto"/>
                <w:sz w:val="24"/>
                <w:szCs w:val="24"/>
              </w:rPr>
              <w:t>用地范围内无生态环境保护目标</w:t>
            </w:r>
            <w:r>
              <w:rPr>
                <w:rFonts w:hint="default" w:ascii="Times New Roman" w:hAnsi="Times New Roman" w:cs="Times New Roman"/>
                <w:color w:val="auto"/>
                <w:kern w:val="0"/>
                <w:szCs w:val="24"/>
              </w:rPr>
              <w:t>。</w:t>
            </w:r>
          </w:p>
          <w:p w14:paraId="6C1D5E23">
            <w:pPr>
              <w:rPr>
                <w:rFonts w:hint="default" w:ascii="Times New Roman" w:hAnsi="Times New Roman" w:cs="Times New Roman"/>
                <w:b/>
                <w:bCs/>
                <w:color w:val="auto"/>
                <w:szCs w:val="24"/>
              </w:rPr>
            </w:pPr>
            <w:r>
              <w:rPr>
                <w:rFonts w:hint="default" w:ascii="Times New Roman" w:hAnsi="Times New Roman" w:cs="Times New Roman"/>
                <w:color w:val="auto"/>
                <w:szCs w:val="24"/>
              </w:rPr>
              <w:t xml:space="preserve">    </w:t>
            </w:r>
            <w:r>
              <w:rPr>
                <w:rFonts w:hint="default" w:ascii="Times New Roman" w:hAnsi="Times New Roman" w:eastAsia="宋体" w:cs="Times New Roman"/>
                <w:b/>
                <w:bCs w:val="0"/>
                <w:color w:val="auto"/>
                <w:kern w:val="2"/>
                <w:sz w:val="24"/>
                <w:szCs w:val="30"/>
                <w:lang w:val="en-US" w:eastAsia="zh-CN" w:bidi="ar-SA"/>
              </w:rPr>
              <w:t>七、环境风险分析</w:t>
            </w:r>
          </w:p>
          <w:p w14:paraId="7390C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color w:val="auto"/>
                <w:sz w:val="24"/>
              </w:rPr>
            </w:pPr>
            <w:r>
              <w:rPr>
                <w:b w:val="0"/>
                <w:bCs w:val="0"/>
                <w:color w:val="auto"/>
                <w:sz w:val="24"/>
              </w:rPr>
              <w:t>1、评价依据</w:t>
            </w:r>
          </w:p>
          <w:p w14:paraId="06F80E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（1）风险调查</w:t>
            </w:r>
          </w:p>
          <w:p w14:paraId="35916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lang w:val="en-US" w:eastAsia="zh-CN"/>
              </w:rPr>
            </w:pPr>
            <w:r>
              <w:rPr>
                <w:rFonts w:hint="eastAsia"/>
                <w:color w:val="auto"/>
                <w:sz w:val="24"/>
                <w:lang w:val="en-US" w:eastAsia="zh-CN"/>
              </w:rPr>
              <w:t>根据</w:t>
            </w:r>
            <w:r>
              <w:rPr>
                <w:rFonts w:hint="default" w:ascii="Times New Roman" w:hAnsi="Times New Roman" w:eastAsia="宋体" w:cs="Times New Roman"/>
                <w:color w:val="auto"/>
                <w:sz w:val="24"/>
              </w:rPr>
              <w:t>《建设项目环境风险评价技术导则》（HJ169-2018）附录B</w:t>
            </w:r>
            <w:r>
              <w:rPr>
                <w:rFonts w:hint="eastAsia" w:ascii="Times New Roman" w:hAnsi="Times New Roman" w:eastAsia="宋体" w:cs="Times New Roman"/>
                <w:color w:val="auto"/>
                <w:sz w:val="24"/>
                <w:lang w:val="en-US" w:eastAsia="zh-CN"/>
              </w:rPr>
              <w:t>进行识别，对</w:t>
            </w:r>
            <w:r>
              <w:rPr>
                <w:rFonts w:hint="eastAsia"/>
                <w:color w:val="auto"/>
                <w:sz w:val="24"/>
              </w:rPr>
              <w:t>项目</w:t>
            </w:r>
            <w:r>
              <w:rPr>
                <w:rFonts w:hint="eastAsia"/>
                <w:color w:val="auto"/>
                <w:sz w:val="24"/>
                <w:lang w:val="en-US" w:eastAsia="zh-CN"/>
              </w:rPr>
              <w:t>建成后全厂涉及的环境风险物质进行识别，具体存在情况见表4-7。</w:t>
            </w:r>
          </w:p>
          <w:p w14:paraId="5F4D8E26">
            <w:pPr>
              <w:spacing w:line="240" w:lineRule="auto"/>
              <w:jc w:val="center"/>
              <w:rPr>
                <w:rFonts w:hint="default" w:ascii="Times New Roman" w:hAnsi="Times New Roman" w:eastAsia="宋体" w:cs="Times New Roman"/>
                <w:b/>
                <w:color w:val="auto"/>
                <w:spacing w:val="2"/>
                <w:kern w:val="2"/>
                <w:sz w:val="24"/>
                <w:szCs w:val="32"/>
                <w:lang w:val="en-US" w:eastAsia="zh-CN"/>
              </w:rPr>
            </w:pPr>
            <w:r>
              <w:rPr>
                <w:rFonts w:ascii="Times New Roman" w:hAnsi="Times New Roman" w:eastAsia="宋体" w:cs="Times New Roman"/>
                <w:b/>
                <w:color w:val="auto"/>
                <w:spacing w:val="2"/>
                <w:kern w:val="2"/>
                <w:sz w:val="24"/>
                <w:szCs w:val="32"/>
              </w:rPr>
              <w:t>表</w:t>
            </w:r>
            <w:r>
              <w:rPr>
                <w:rFonts w:hint="eastAsia" w:ascii="Times New Roman" w:hAnsi="Times New Roman" w:eastAsia="宋体" w:cs="Times New Roman"/>
                <w:b/>
                <w:color w:val="auto"/>
                <w:spacing w:val="2"/>
                <w:kern w:val="2"/>
                <w:sz w:val="24"/>
                <w:szCs w:val="32"/>
                <w:lang w:val="en-US" w:eastAsia="zh-CN"/>
              </w:rPr>
              <w:t xml:space="preserve">4-7 </w:t>
            </w:r>
            <w:r>
              <w:rPr>
                <w:rFonts w:ascii="Times New Roman" w:hAnsi="Times New Roman" w:eastAsia="宋体" w:cs="Times New Roman"/>
                <w:b/>
                <w:color w:val="auto"/>
                <w:spacing w:val="2"/>
                <w:kern w:val="2"/>
                <w:sz w:val="24"/>
                <w:szCs w:val="32"/>
              </w:rPr>
              <w:t xml:space="preserve"> </w:t>
            </w:r>
            <w:r>
              <w:rPr>
                <w:rFonts w:hint="eastAsia" w:ascii="Times New Roman" w:hAnsi="Times New Roman" w:eastAsia="宋体" w:cs="Times New Roman"/>
                <w:b/>
                <w:color w:val="auto"/>
                <w:spacing w:val="2"/>
                <w:kern w:val="2"/>
                <w:sz w:val="24"/>
                <w:szCs w:val="32"/>
                <w:lang w:val="en-US" w:eastAsia="zh-CN"/>
              </w:rPr>
              <w:t>项目风险物质存在情况一览表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579"/>
              <w:gridCol w:w="1454"/>
              <w:gridCol w:w="1631"/>
              <w:gridCol w:w="1375"/>
              <w:gridCol w:w="1204"/>
            </w:tblGrid>
            <w:tr w14:paraId="611F9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6" w:type="dxa"/>
                  <w:tcBorders>
                    <w:tl2br w:val="nil"/>
                    <w:tr2bl w:val="nil"/>
                  </w:tcBorders>
                  <w:noWrap w:val="0"/>
                  <w:vAlign w:val="center"/>
                </w:tcPr>
                <w:p w14:paraId="1141D3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kern w:val="0"/>
                      <w:sz w:val="21"/>
                      <w:szCs w:val="21"/>
                    </w:rPr>
                  </w:pPr>
                  <w:r>
                    <w:rPr>
                      <w:b/>
                      <w:bCs/>
                      <w:color w:val="auto"/>
                      <w:kern w:val="0"/>
                      <w:sz w:val="21"/>
                      <w:szCs w:val="21"/>
                    </w:rPr>
                    <w:t>序号</w:t>
                  </w:r>
                </w:p>
              </w:tc>
              <w:tc>
                <w:tcPr>
                  <w:tcW w:w="1579" w:type="dxa"/>
                  <w:tcBorders>
                    <w:tl2br w:val="nil"/>
                    <w:tr2bl w:val="nil"/>
                  </w:tcBorders>
                  <w:noWrap w:val="0"/>
                  <w:vAlign w:val="center"/>
                </w:tcPr>
                <w:p w14:paraId="5AEAD1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bCs/>
                      <w:color w:val="auto"/>
                      <w:kern w:val="0"/>
                      <w:sz w:val="21"/>
                      <w:szCs w:val="21"/>
                      <w:lang w:val="en-US" w:eastAsia="zh-CN"/>
                    </w:rPr>
                  </w:pPr>
                  <w:r>
                    <w:rPr>
                      <w:rFonts w:hint="eastAsia"/>
                      <w:b/>
                      <w:bCs/>
                      <w:color w:val="auto"/>
                      <w:kern w:val="0"/>
                      <w:sz w:val="21"/>
                      <w:szCs w:val="21"/>
                      <w:lang w:val="en-US" w:eastAsia="zh-CN"/>
                    </w:rPr>
                    <w:t>风险物质</w:t>
                  </w:r>
                </w:p>
              </w:tc>
              <w:tc>
                <w:tcPr>
                  <w:tcW w:w="1454" w:type="dxa"/>
                  <w:tcBorders>
                    <w:tl2br w:val="nil"/>
                    <w:tr2bl w:val="nil"/>
                  </w:tcBorders>
                  <w:noWrap w:val="0"/>
                  <w:vAlign w:val="center"/>
                </w:tcPr>
                <w:p w14:paraId="604404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kern w:val="0"/>
                      <w:sz w:val="21"/>
                      <w:szCs w:val="21"/>
                    </w:rPr>
                  </w:pPr>
                  <w:r>
                    <w:rPr>
                      <w:rFonts w:hint="eastAsia"/>
                      <w:b/>
                      <w:bCs/>
                      <w:color w:val="auto"/>
                      <w:kern w:val="0"/>
                      <w:sz w:val="21"/>
                      <w:szCs w:val="21"/>
                      <w:lang w:val="en-US" w:eastAsia="zh-CN"/>
                    </w:rPr>
                    <w:t>最大存在</w:t>
                  </w:r>
                  <w:r>
                    <w:rPr>
                      <w:b/>
                      <w:bCs/>
                      <w:color w:val="auto"/>
                      <w:kern w:val="0"/>
                      <w:sz w:val="21"/>
                      <w:szCs w:val="21"/>
                    </w:rPr>
                    <w:t>量t</w:t>
                  </w:r>
                </w:p>
              </w:tc>
              <w:tc>
                <w:tcPr>
                  <w:tcW w:w="1631" w:type="dxa"/>
                  <w:tcBorders>
                    <w:tl2br w:val="nil"/>
                    <w:tr2bl w:val="nil"/>
                  </w:tcBorders>
                  <w:noWrap w:val="0"/>
                  <w:vAlign w:val="center"/>
                </w:tcPr>
                <w:p w14:paraId="7A64AA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kern w:val="0"/>
                      <w:sz w:val="21"/>
                      <w:szCs w:val="21"/>
                    </w:rPr>
                  </w:pPr>
                  <w:r>
                    <w:rPr>
                      <w:b/>
                      <w:bCs/>
                      <w:color w:val="auto"/>
                      <w:kern w:val="0"/>
                      <w:sz w:val="21"/>
                      <w:szCs w:val="21"/>
                    </w:rPr>
                    <w:t>储存方式</w:t>
                  </w:r>
                </w:p>
              </w:tc>
              <w:tc>
                <w:tcPr>
                  <w:tcW w:w="1375" w:type="dxa"/>
                  <w:tcBorders>
                    <w:tl2br w:val="nil"/>
                    <w:tr2bl w:val="nil"/>
                  </w:tcBorders>
                  <w:noWrap w:val="0"/>
                  <w:vAlign w:val="center"/>
                </w:tcPr>
                <w:p w14:paraId="097095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kern w:val="0"/>
                      <w:sz w:val="21"/>
                      <w:szCs w:val="21"/>
                    </w:rPr>
                  </w:pPr>
                  <w:r>
                    <w:rPr>
                      <w:b/>
                      <w:bCs/>
                      <w:color w:val="auto"/>
                      <w:kern w:val="0"/>
                      <w:sz w:val="21"/>
                      <w:szCs w:val="21"/>
                    </w:rPr>
                    <w:t>储存地点</w:t>
                  </w:r>
                </w:p>
              </w:tc>
              <w:tc>
                <w:tcPr>
                  <w:tcW w:w="1204" w:type="dxa"/>
                  <w:tcBorders>
                    <w:tl2br w:val="nil"/>
                    <w:tr2bl w:val="nil"/>
                  </w:tcBorders>
                  <w:noWrap w:val="0"/>
                  <w:vAlign w:val="center"/>
                </w:tcPr>
                <w:p w14:paraId="35E0DC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kern w:val="0"/>
                      <w:sz w:val="21"/>
                      <w:szCs w:val="21"/>
                    </w:rPr>
                  </w:pPr>
                  <w:r>
                    <w:rPr>
                      <w:b/>
                      <w:bCs/>
                      <w:color w:val="auto"/>
                      <w:kern w:val="0"/>
                      <w:sz w:val="21"/>
                      <w:szCs w:val="21"/>
                    </w:rPr>
                    <w:t>形态</w:t>
                  </w:r>
                </w:p>
              </w:tc>
            </w:tr>
            <w:tr w14:paraId="2BB1F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6" w:type="dxa"/>
                  <w:tcBorders>
                    <w:tl2br w:val="nil"/>
                    <w:tr2bl w:val="nil"/>
                  </w:tcBorders>
                  <w:noWrap w:val="0"/>
                  <w:vAlign w:val="center"/>
                </w:tcPr>
                <w:p w14:paraId="46A5C9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1</w:t>
                  </w:r>
                </w:p>
              </w:tc>
              <w:tc>
                <w:tcPr>
                  <w:tcW w:w="1579" w:type="dxa"/>
                  <w:tcBorders>
                    <w:tl2br w:val="nil"/>
                    <w:tr2bl w:val="nil"/>
                  </w:tcBorders>
                  <w:shd w:val="clear" w:color="auto" w:fill="auto"/>
                  <w:noWrap w:val="0"/>
                  <w:vAlign w:val="center"/>
                </w:tcPr>
                <w:p w14:paraId="0D264737">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废矿物油</w:t>
                  </w:r>
                </w:p>
              </w:tc>
              <w:tc>
                <w:tcPr>
                  <w:tcW w:w="1454" w:type="dxa"/>
                  <w:tcBorders>
                    <w:tl2br w:val="nil"/>
                    <w:tr2bl w:val="nil"/>
                  </w:tcBorders>
                  <w:shd w:val="clear" w:color="auto" w:fill="auto"/>
                  <w:noWrap w:val="0"/>
                  <w:vAlign w:val="center"/>
                </w:tcPr>
                <w:p w14:paraId="4EE60BAF">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p>
              </w:tc>
              <w:tc>
                <w:tcPr>
                  <w:tcW w:w="1631" w:type="dxa"/>
                  <w:tcBorders>
                    <w:tl2br w:val="nil"/>
                    <w:tr2bl w:val="nil"/>
                  </w:tcBorders>
                  <w:shd w:val="clear" w:color="auto" w:fill="auto"/>
                  <w:noWrap w:val="0"/>
                  <w:vAlign w:val="center"/>
                </w:tcPr>
                <w:p w14:paraId="176F0C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密闭桶装</w:t>
                  </w:r>
                </w:p>
              </w:tc>
              <w:tc>
                <w:tcPr>
                  <w:tcW w:w="1375" w:type="dxa"/>
                  <w:tcBorders>
                    <w:tl2br w:val="nil"/>
                    <w:tr2bl w:val="nil"/>
                  </w:tcBorders>
                  <w:noWrap w:val="0"/>
                  <w:vAlign w:val="center"/>
                </w:tcPr>
                <w:p w14:paraId="723402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color w:val="auto"/>
                      <w:kern w:val="0"/>
                      <w:sz w:val="21"/>
                      <w:szCs w:val="21"/>
                    </w:rPr>
                    <w:t>危废</w:t>
                  </w:r>
                  <w:r>
                    <w:rPr>
                      <w:rFonts w:hint="eastAsia"/>
                      <w:color w:val="auto"/>
                      <w:kern w:val="0"/>
                      <w:sz w:val="21"/>
                      <w:szCs w:val="21"/>
                      <w:lang w:val="en-US" w:eastAsia="zh-CN"/>
                    </w:rPr>
                    <w:t>暂存间</w:t>
                  </w:r>
                </w:p>
              </w:tc>
              <w:tc>
                <w:tcPr>
                  <w:tcW w:w="1204" w:type="dxa"/>
                  <w:tcBorders>
                    <w:tl2br w:val="nil"/>
                    <w:tr2bl w:val="nil"/>
                  </w:tcBorders>
                  <w:noWrap w:val="0"/>
                  <w:vAlign w:val="center"/>
                </w:tcPr>
                <w:p w14:paraId="16948E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液态</w:t>
                  </w:r>
                </w:p>
              </w:tc>
            </w:tr>
          </w:tbl>
          <w:p w14:paraId="4F253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b/>
                <w:bCs/>
                <w:color w:val="auto"/>
                <w:sz w:val="24"/>
                <w:lang w:val="en-US" w:eastAsia="zh-CN"/>
              </w:rPr>
            </w:pPr>
            <w:r>
              <w:rPr>
                <w:color w:val="auto"/>
                <w:sz w:val="24"/>
              </w:rPr>
              <w:t>（2）</w:t>
            </w:r>
            <w:r>
              <w:rPr>
                <w:rFonts w:hint="eastAsia"/>
                <w:color w:val="auto"/>
                <w:sz w:val="24"/>
                <w:lang w:val="en-US" w:eastAsia="zh-CN"/>
              </w:rPr>
              <w:t>Q值计算</w:t>
            </w:r>
          </w:p>
          <w:p w14:paraId="202E2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color w:val="auto"/>
                <w:sz w:val="24"/>
              </w:rPr>
              <w:t>计算</w:t>
            </w:r>
            <w:r>
              <w:rPr>
                <w:rFonts w:hint="eastAsia" w:ascii="Times New Roman" w:hAnsi="Times New Roman" w:eastAsia="宋体" w:cs="Times New Roman"/>
                <w:color w:val="auto"/>
                <w:sz w:val="24"/>
                <w:lang w:val="en-US" w:eastAsia="zh-CN"/>
              </w:rPr>
              <w:t>项目建成后全厂</w:t>
            </w:r>
            <w:r>
              <w:rPr>
                <w:rFonts w:hint="default" w:ascii="Times New Roman" w:hAnsi="Times New Roman" w:eastAsia="宋体" w:cs="Times New Roman"/>
                <w:color w:val="auto"/>
                <w:sz w:val="24"/>
              </w:rPr>
              <w:t>所涉及的每种环境风险物质在厂界内的最大存在总量与其在《建设项目环境风险评价技术导则》（HJ169-2018）附录 B 中对应的临界量的比值(Q)</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废矿物油参考油类物质临界量，</w:t>
            </w:r>
            <w:r>
              <w:rPr>
                <w:rFonts w:hint="default" w:ascii="Times New Roman" w:hAnsi="Times New Roman" w:eastAsia="宋体" w:cs="Times New Roman"/>
                <w:color w:val="auto"/>
                <w:sz w:val="24"/>
                <w:lang w:val="en-US" w:eastAsia="zh-CN"/>
              </w:rPr>
              <w:t>具体见下表</w:t>
            </w:r>
            <w:r>
              <w:rPr>
                <w:color w:val="auto"/>
                <w:sz w:val="24"/>
              </w:rPr>
              <w:t>。</w:t>
            </w:r>
          </w:p>
          <w:p w14:paraId="36D1D5A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表4-</w:t>
            </w:r>
            <w:r>
              <w:rPr>
                <w:rFonts w:hint="eastAsia" w:ascii="Times New Roman" w:hAnsi="Times New Roman" w:eastAsia="宋体" w:cs="Times New Roman"/>
                <w:b/>
                <w:bCs/>
                <w:color w:val="auto"/>
                <w:kern w:val="0"/>
                <w:sz w:val="24"/>
                <w:lang w:val="en-US" w:eastAsia="zh-CN"/>
              </w:rPr>
              <w:t>8</w:t>
            </w:r>
            <w:r>
              <w:rPr>
                <w:rFonts w:hint="default" w:ascii="Times New Roman" w:hAnsi="Times New Roman" w:eastAsia="宋体" w:cs="Times New Roman"/>
                <w:b/>
                <w:bCs/>
                <w:color w:val="auto"/>
                <w:kern w:val="0"/>
                <w:sz w:val="24"/>
                <w:lang w:val="en-US" w:eastAsia="zh-CN"/>
              </w:rPr>
              <w:t xml:space="preserve"> </w:t>
            </w:r>
            <w:r>
              <w:rPr>
                <w:rFonts w:hint="eastAsia" w:ascii="Times New Roman" w:hAnsi="Times New Roman" w:eastAsia="宋体" w:cs="Times New Roman"/>
                <w:b/>
                <w:bCs/>
                <w:color w:val="auto"/>
                <w:kern w:val="0"/>
                <w:sz w:val="24"/>
                <w:lang w:val="en-US" w:eastAsia="zh-CN"/>
              </w:rPr>
              <w:t xml:space="preserve"> </w:t>
            </w:r>
            <w:r>
              <w:rPr>
                <w:rFonts w:hint="eastAsia"/>
                <w:b/>
                <w:color w:val="auto"/>
                <w:sz w:val="24"/>
                <w:lang w:val="en-US" w:eastAsia="zh-CN"/>
              </w:rPr>
              <w:t>项目风险物质存在情况及Q值计算表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10"/>
              <w:gridCol w:w="1851"/>
              <w:gridCol w:w="1706"/>
              <w:gridCol w:w="1344"/>
              <w:gridCol w:w="1226"/>
            </w:tblGrid>
            <w:tr w14:paraId="792DD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341" w:type="pct"/>
                  <w:tcBorders>
                    <w:tl2br w:val="nil"/>
                    <w:tr2bl w:val="nil"/>
                  </w:tcBorders>
                  <w:noWrap w:val="0"/>
                  <w:vAlign w:val="center"/>
                </w:tcPr>
                <w:p w14:paraId="1991CC24">
                  <w:pPr>
                    <w:pStyle w:val="43"/>
                    <w:bidi w:val="0"/>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820" w:type="pct"/>
                  <w:tcBorders>
                    <w:tl2br w:val="nil"/>
                    <w:tr2bl w:val="nil"/>
                  </w:tcBorders>
                  <w:noWrap w:val="0"/>
                  <w:vAlign w:val="center"/>
                </w:tcPr>
                <w:p w14:paraId="6031106E">
                  <w:pPr>
                    <w:pStyle w:val="43"/>
                    <w:bidi w:val="0"/>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1159" w:type="pct"/>
                  <w:tcBorders>
                    <w:tl2br w:val="nil"/>
                    <w:tr2bl w:val="nil"/>
                  </w:tcBorders>
                  <w:noWrap w:val="0"/>
                  <w:vAlign w:val="center"/>
                </w:tcPr>
                <w:p w14:paraId="414F2AB4">
                  <w:pPr>
                    <w:pStyle w:val="43"/>
                    <w:bidi w:val="0"/>
                    <w:rPr>
                      <w:rFonts w:hint="default" w:ascii="Times New Roman" w:hAnsi="Times New Roman" w:cs="Times New Roman"/>
                      <w:b/>
                      <w:bCs/>
                      <w:color w:val="auto"/>
                    </w:rPr>
                  </w:pPr>
                  <w:r>
                    <w:rPr>
                      <w:rFonts w:hint="default" w:ascii="Times New Roman" w:hAnsi="Times New Roman" w:cs="Times New Roman"/>
                      <w:b/>
                      <w:bCs/>
                      <w:color w:val="auto"/>
                    </w:rPr>
                    <w:t>临界量参考物质</w:t>
                  </w:r>
                </w:p>
              </w:tc>
              <w:tc>
                <w:tcPr>
                  <w:tcW w:w="1068" w:type="pct"/>
                  <w:tcBorders>
                    <w:tl2br w:val="nil"/>
                    <w:tr2bl w:val="nil"/>
                  </w:tcBorders>
                  <w:noWrap w:val="0"/>
                  <w:vAlign w:val="center"/>
                </w:tcPr>
                <w:p w14:paraId="614807B9">
                  <w:pPr>
                    <w:pStyle w:val="43"/>
                    <w:bidi w:val="0"/>
                    <w:rPr>
                      <w:rFonts w:hint="default" w:ascii="Times New Roman" w:hAnsi="Times New Roman" w:cs="Times New Roman"/>
                      <w:b/>
                      <w:bCs/>
                      <w:color w:val="auto"/>
                    </w:rPr>
                  </w:pPr>
                  <w:r>
                    <w:rPr>
                      <w:rFonts w:hint="default" w:ascii="Times New Roman" w:hAnsi="Times New Roman" w:cs="Times New Roman"/>
                      <w:b/>
                      <w:bCs/>
                      <w:color w:val="auto"/>
                    </w:rPr>
                    <w:t>qi最大</w:t>
                  </w:r>
                  <w:r>
                    <w:rPr>
                      <w:rFonts w:hint="eastAsia" w:ascii="Times New Roman" w:hAnsi="Times New Roman" w:cs="Times New Roman"/>
                      <w:b/>
                      <w:bCs/>
                      <w:color w:val="auto"/>
                      <w:lang w:val="en-US" w:eastAsia="zh-CN"/>
                    </w:rPr>
                    <w:t>存在</w:t>
                  </w:r>
                  <w:r>
                    <w:rPr>
                      <w:rFonts w:hint="default" w:ascii="Times New Roman" w:hAnsi="Times New Roman" w:cs="Times New Roman"/>
                      <w:b/>
                      <w:bCs/>
                      <w:color w:val="auto"/>
                    </w:rPr>
                    <w:t>量(t)</w:t>
                  </w:r>
                </w:p>
              </w:tc>
              <w:tc>
                <w:tcPr>
                  <w:tcW w:w="841" w:type="pct"/>
                  <w:tcBorders>
                    <w:tl2br w:val="nil"/>
                    <w:tr2bl w:val="nil"/>
                  </w:tcBorders>
                  <w:noWrap w:val="0"/>
                  <w:vAlign w:val="center"/>
                </w:tcPr>
                <w:p w14:paraId="449381D8">
                  <w:pPr>
                    <w:pStyle w:val="43"/>
                    <w:bidi w:val="0"/>
                    <w:rPr>
                      <w:rFonts w:hint="default" w:ascii="Times New Roman" w:hAnsi="Times New Roman" w:cs="Times New Roman"/>
                      <w:b/>
                      <w:bCs/>
                      <w:color w:val="auto"/>
                    </w:rPr>
                  </w:pPr>
                  <w:r>
                    <w:rPr>
                      <w:rFonts w:hint="default" w:ascii="Times New Roman" w:hAnsi="Times New Roman" w:cs="Times New Roman"/>
                      <w:b/>
                      <w:bCs/>
                      <w:color w:val="auto"/>
                    </w:rPr>
                    <w:t>Qi临界量(t)</w:t>
                  </w:r>
                </w:p>
              </w:tc>
              <w:tc>
                <w:tcPr>
                  <w:tcW w:w="767" w:type="pct"/>
                  <w:tcBorders>
                    <w:tl2br w:val="nil"/>
                    <w:tr2bl w:val="nil"/>
                  </w:tcBorders>
                  <w:noWrap w:val="0"/>
                  <w:vAlign w:val="center"/>
                </w:tcPr>
                <w:p w14:paraId="58D4D19A">
                  <w:pPr>
                    <w:pStyle w:val="43"/>
                    <w:bidi w:val="0"/>
                    <w:rPr>
                      <w:rFonts w:hint="default" w:ascii="Times New Roman" w:hAnsi="Times New Roman" w:cs="Times New Roman"/>
                      <w:b/>
                      <w:bCs/>
                      <w:color w:val="auto"/>
                    </w:rPr>
                  </w:pPr>
                  <w:r>
                    <w:rPr>
                      <w:rFonts w:hint="default" w:ascii="Times New Roman" w:hAnsi="Times New Roman" w:cs="Times New Roman"/>
                      <w:b/>
                      <w:bCs/>
                      <w:color w:val="auto"/>
                    </w:rPr>
                    <w:t>qi/Qi</w:t>
                  </w:r>
                </w:p>
              </w:tc>
            </w:tr>
            <w:tr w14:paraId="3996F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l2br w:val="nil"/>
                    <w:tr2bl w:val="nil"/>
                  </w:tcBorders>
                  <w:noWrap w:val="0"/>
                  <w:vAlign w:val="center"/>
                </w:tcPr>
                <w:p w14:paraId="3CFBAA0D">
                  <w:pPr>
                    <w:pStyle w:val="43"/>
                    <w:bidi w:val="0"/>
                    <w:rPr>
                      <w:rFonts w:hint="eastAsia"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1</w:t>
                  </w:r>
                </w:p>
              </w:tc>
              <w:tc>
                <w:tcPr>
                  <w:tcW w:w="820" w:type="pct"/>
                  <w:tcBorders>
                    <w:tl2br w:val="nil"/>
                    <w:tr2bl w:val="nil"/>
                  </w:tcBorders>
                  <w:shd w:val="clear" w:color="auto" w:fill="auto"/>
                  <w:noWrap w:val="0"/>
                  <w:vAlign w:val="center"/>
                </w:tcPr>
                <w:p w14:paraId="4177E14F">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废矿物油</w:t>
                  </w:r>
                </w:p>
              </w:tc>
              <w:tc>
                <w:tcPr>
                  <w:tcW w:w="1159" w:type="pct"/>
                  <w:tcBorders>
                    <w:tl2br w:val="nil"/>
                    <w:tr2bl w:val="nil"/>
                  </w:tcBorders>
                  <w:shd w:val="clear" w:color="auto" w:fill="auto"/>
                  <w:noWrap w:val="0"/>
                  <w:vAlign w:val="center"/>
                </w:tcPr>
                <w:p w14:paraId="129941B4">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油类物质</w:t>
                  </w:r>
                </w:p>
              </w:tc>
              <w:tc>
                <w:tcPr>
                  <w:tcW w:w="1068" w:type="pct"/>
                  <w:tcBorders>
                    <w:tl2br w:val="nil"/>
                    <w:tr2bl w:val="nil"/>
                  </w:tcBorders>
                  <w:shd w:val="clear" w:color="auto" w:fill="auto"/>
                  <w:noWrap w:val="0"/>
                  <w:vAlign w:val="center"/>
                </w:tcPr>
                <w:p w14:paraId="71EFD901">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p>
              </w:tc>
              <w:tc>
                <w:tcPr>
                  <w:tcW w:w="841" w:type="pct"/>
                  <w:tcBorders>
                    <w:tl2br w:val="nil"/>
                    <w:tr2bl w:val="nil"/>
                  </w:tcBorders>
                  <w:shd w:val="clear" w:color="auto" w:fill="auto"/>
                  <w:noWrap w:val="0"/>
                  <w:vAlign w:val="center"/>
                </w:tcPr>
                <w:p w14:paraId="2A597BBF">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2500</w:t>
                  </w:r>
                </w:p>
              </w:tc>
              <w:tc>
                <w:tcPr>
                  <w:tcW w:w="767" w:type="pct"/>
                  <w:tcBorders>
                    <w:tl2br w:val="nil"/>
                    <w:tr2bl w:val="nil"/>
                  </w:tcBorders>
                  <w:shd w:val="clear" w:color="auto" w:fill="auto"/>
                  <w:noWrap w:val="0"/>
                  <w:vAlign w:val="center"/>
                </w:tcPr>
                <w:p w14:paraId="6DF79A2D">
                  <w:pPr>
                    <w:pStyle w:val="139"/>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0.0004</w:t>
                  </w:r>
                </w:p>
              </w:tc>
            </w:tr>
            <w:tr w14:paraId="364B8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2" w:type="pct"/>
                  <w:gridSpan w:val="5"/>
                  <w:tcBorders>
                    <w:tl2br w:val="nil"/>
                    <w:tr2bl w:val="nil"/>
                  </w:tcBorders>
                  <w:noWrap w:val="0"/>
                  <w:vAlign w:val="center"/>
                </w:tcPr>
                <w:p w14:paraId="35A5AF42">
                  <w:pPr>
                    <w:pStyle w:val="43"/>
                    <w:bidi w:val="0"/>
                    <w:rPr>
                      <w:rFonts w:hint="default" w:ascii="Times New Roman" w:hAnsi="Times New Roman" w:cs="Times New Roman"/>
                      <w:color w:val="auto"/>
                    </w:rPr>
                  </w:pPr>
                  <w:r>
                    <w:rPr>
                      <w:rFonts w:hint="default" w:ascii="Times New Roman" w:hAnsi="Times New Roman" w:cs="Times New Roman"/>
                      <w:color w:val="auto"/>
                    </w:rPr>
                    <w:t>Q值∑</w:t>
                  </w:r>
                </w:p>
              </w:tc>
              <w:tc>
                <w:tcPr>
                  <w:tcW w:w="767" w:type="pct"/>
                  <w:tcBorders>
                    <w:tl2br w:val="nil"/>
                    <w:tr2bl w:val="nil"/>
                  </w:tcBorders>
                  <w:noWrap w:val="0"/>
                  <w:vAlign w:val="center"/>
                </w:tcPr>
                <w:p w14:paraId="76D38D5B">
                  <w:pPr>
                    <w:pStyle w:val="43"/>
                    <w:bidi w:val="0"/>
                    <w:rPr>
                      <w:rFonts w:hint="default" w:ascii="Times New Roman" w:hAnsi="Times New Roman" w:cs="Times New Roman"/>
                      <w:color w:val="auto"/>
                      <w:lang w:val="en-US" w:eastAsia="zh-CN"/>
                    </w:rPr>
                  </w:pPr>
                  <w:r>
                    <w:rPr>
                      <w:rFonts w:hint="eastAsia" w:ascii="Times New Roman" w:hAnsi="Times New Roman" w:eastAsia="宋体" w:cs="Times New Roman"/>
                      <w:color w:val="auto"/>
                      <w:sz w:val="21"/>
                      <w:szCs w:val="21"/>
                      <w:lang w:val="en-US" w:eastAsia="zh-CN"/>
                    </w:rPr>
                    <w:t>0.0004</w:t>
                  </w:r>
                  <w:r>
                    <w:rPr>
                      <w:rFonts w:hint="default" w:ascii="Times New Roman" w:hAnsi="Times New Roman" w:cs="Times New Roman"/>
                      <w:color w:val="auto"/>
                      <w:lang w:val="en-US" w:eastAsia="zh-CN"/>
                    </w:rPr>
                    <w:t>＜1</w:t>
                  </w:r>
                </w:p>
              </w:tc>
            </w:tr>
          </w:tbl>
          <w:p w14:paraId="55FBBC09">
            <w:pPr>
              <w:keepNext w:val="0"/>
              <w:keepLines w:val="0"/>
              <w:pageBreakBefore w:val="0"/>
              <w:kinsoku/>
              <w:wordWrap/>
              <w:overflowPunct/>
              <w:topLinePunct w:val="0"/>
              <w:autoSpaceDE/>
              <w:autoSpaceDN/>
              <w:bidi w:val="0"/>
              <w:snapToGrid/>
              <w:spacing w:line="360" w:lineRule="auto"/>
              <w:ind w:firstLine="480" w:firstLineChars="200"/>
              <w:textAlignment w:val="auto"/>
              <w:rPr>
                <w:b/>
                <w:bCs/>
                <w:color w:val="auto"/>
                <w:sz w:val="24"/>
              </w:rPr>
            </w:pPr>
            <w:r>
              <w:rPr>
                <w:rFonts w:hint="eastAsia"/>
                <w:color w:val="auto"/>
                <w:sz w:val="24"/>
              </w:rPr>
              <w:t>计算Q值小于1，</w:t>
            </w:r>
            <w:r>
              <w:rPr>
                <w:rFonts w:hint="eastAsia"/>
                <w:color w:val="auto"/>
                <w:sz w:val="24"/>
                <w:lang w:val="en-US" w:eastAsia="zh-CN"/>
              </w:rPr>
              <w:t>项目无需进行环境风险专项评价</w:t>
            </w:r>
            <w:r>
              <w:rPr>
                <w:rFonts w:hint="eastAsia"/>
                <w:color w:val="auto"/>
                <w:sz w:val="24"/>
              </w:rPr>
              <w:t>。</w:t>
            </w:r>
          </w:p>
          <w:p w14:paraId="0FD12E89">
            <w:pPr>
              <w:keepNext w:val="0"/>
              <w:keepLines w:val="0"/>
              <w:pageBreakBefore w:val="0"/>
              <w:kinsoku/>
              <w:wordWrap/>
              <w:overflowPunct/>
              <w:topLinePunct w:val="0"/>
              <w:bidi w:val="0"/>
              <w:adjustRightInd w:val="0"/>
              <w:snapToGrid/>
              <w:spacing w:line="360" w:lineRule="auto"/>
              <w:ind w:firstLine="480" w:firstLineChars="200"/>
              <w:textAlignment w:val="auto"/>
              <w:rPr>
                <w:b w:val="0"/>
                <w:bCs/>
                <w:color w:val="auto"/>
                <w:sz w:val="24"/>
              </w:rPr>
            </w:pPr>
            <w:r>
              <w:rPr>
                <w:rFonts w:hint="eastAsia"/>
                <w:b w:val="0"/>
                <w:bCs/>
                <w:color w:val="auto"/>
                <w:sz w:val="24"/>
                <w:lang w:val="en-US" w:eastAsia="zh-CN"/>
              </w:rPr>
              <w:t>2</w:t>
            </w:r>
            <w:r>
              <w:rPr>
                <w:b w:val="0"/>
                <w:bCs/>
                <w:color w:val="auto"/>
                <w:sz w:val="24"/>
              </w:rPr>
              <w:t>、环境风险识别</w:t>
            </w:r>
          </w:p>
          <w:p w14:paraId="729E395B">
            <w:pPr>
              <w:keepNext w:val="0"/>
              <w:keepLines w:val="0"/>
              <w:pageBreakBefore w:val="0"/>
              <w:kinsoku/>
              <w:wordWrap/>
              <w:overflowPunct/>
              <w:topLinePunct w:val="0"/>
              <w:bidi w:val="0"/>
              <w:snapToGrid/>
              <w:spacing w:line="360" w:lineRule="auto"/>
              <w:ind w:firstLine="480" w:firstLineChars="200"/>
              <w:textAlignment w:val="auto"/>
              <w:rPr>
                <w:rFonts w:hint="default" w:eastAsia="宋体"/>
                <w:color w:val="auto"/>
                <w:kern w:val="0"/>
                <w:sz w:val="24"/>
                <w:lang w:val="en-US" w:eastAsia="zh-CN"/>
              </w:rPr>
            </w:pPr>
            <w:r>
              <w:rPr>
                <w:rFonts w:hint="eastAsia"/>
                <w:color w:val="auto"/>
                <w:kern w:val="0"/>
                <w:sz w:val="24"/>
                <w:lang w:val="en-US" w:eastAsia="zh-CN"/>
              </w:rPr>
              <w:t>项目环境风险识别见表4-9。</w:t>
            </w:r>
          </w:p>
          <w:p w14:paraId="2EB67D56">
            <w:pPr>
              <w:keepNext w:val="0"/>
              <w:keepLines w:val="0"/>
              <w:pageBreakBefore w:val="0"/>
              <w:kinsoku/>
              <w:wordWrap/>
              <w:overflowPunct/>
              <w:topLinePunct w:val="0"/>
              <w:bidi w:val="0"/>
              <w:snapToGrid/>
              <w:spacing w:line="240" w:lineRule="auto"/>
              <w:ind w:firstLine="482" w:firstLineChars="200"/>
              <w:jc w:val="center"/>
              <w:textAlignment w:val="auto"/>
              <w:rPr>
                <w:rFonts w:hint="eastAsia"/>
                <w:b/>
                <w:bCs/>
                <w:color w:val="auto"/>
                <w:kern w:val="0"/>
                <w:sz w:val="24"/>
                <w:lang w:val="en-US" w:eastAsia="zh-CN"/>
              </w:rPr>
            </w:pPr>
            <w:r>
              <w:rPr>
                <w:rFonts w:hint="eastAsia"/>
                <w:b/>
                <w:bCs/>
                <w:color w:val="auto"/>
                <w:kern w:val="0"/>
                <w:sz w:val="24"/>
                <w:lang w:val="en-US" w:eastAsia="zh-CN"/>
              </w:rPr>
              <w:t>表4-9 建设项目环境风险识别表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43"/>
              <w:gridCol w:w="1518"/>
              <w:gridCol w:w="1921"/>
              <w:gridCol w:w="1140"/>
              <w:gridCol w:w="1467"/>
              <w:gridCol w:w="1400"/>
            </w:tblGrid>
            <w:tr w14:paraId="744F2D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543" w:type="dxa"/>
                  <w:noWrap w:val="0"/>
                  <w:vAlign w:val="center"/>
                </w:tcPr>
                <w:p w14:paraId="5D38F5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sz w:val="21"/>
                      <w:szCs w:val="21"/>
                    </w:rPr>
                  </w:pPr>
                  <w:r>
                    <w:rPr>
                      <w:b/>
                      <w:bCs/>
                      <w:sz w:val="21"/>
                      <w:szCs w:val="21"/>
                    </w:rPr>
                    <w:t>危险单元</w:t>
                  </w:r>
                </w:p>
              </w:tc>
              <w:tc>
                <w:tcPr>
                  <w:tcW w:w="1518" w:type="dxa"/>
                  <w:noWrap w:val="0"/>
                  <w:vAlign w:val="center"/>
                </w:tcPr>
                <w:p w14:paraId="21CDA0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sz w:val="21"/>
                      <w:szCs w:val="21"/>
                    </w:rPr>
                  </w:pPr>
                  <w:r>
                    <w:rPr>
                      <w:b/>
                      <w:bCs/>
                      <w:sz w:val="21"/>
                      <w:szCs w:val="21"/>
                    </w:rPr>
                    <w:t>风险源</w:t>
                  </w:r>
                </w:p>
              </w:tc>
              <w:tc>
                <w:tcPr>
                  <w:tcW w:w="1921" w:type="dxa"/>
                  <w:noWrap w:val="0"/>
                  <w:vAlign w:val="center"/>
                </w:tcPr>
                <w:p w14:paraId="68F13C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sz w:val="21"/>
                      <w:szCs w:val="21"/>
                    </w:rPr>
                  </w:pPr>
                  <w:r>
                    <w:rPr>
                      <w:b/>
                      <w:bCs/>
                      <w:sz w:val="21"/>
                      <w:szCs w:val="21"/>
                    </w:rPr>
                    <w:t>主要危险物质</w:t>
                  </w:r>
                </w:p>
              </w:tc>
              <w:tc>
                <w:tcPr>
                  <w:tcW w:w="1140" w:type="dxa"/>
                  <w:noWrap w:val="0"/>
                  <w:vAlign w:val="center"/>
                </w:tcPr>
                <w:p w14:paraId="74DB6C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sz w:val="21"/>
                      <w:szCs w:val="21"/>
                    </w:rPr>
                  </w:pPr>
                  <w:r>
                    <w:rPr>
                      <w:b/>
                      <w:bCs/>
                      <w:sz w:val="21"/>
                      <w:szCs w:val="21"/>
                    </w:rPr>
                    <w:t>环境风险类型</w:t>
                  </w:r>
                </w:p>
              </w:tc>
              <w:tc>
                <w:tcPr>
                  <w:tcW w:w="1467" w:type="dxa"/>
                  <w:noWrap w:val="0"/>
                  <w:vAlign w:val="center"/>
                </w:tcPr>
                <w:p w14:paraId="01DAC1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sz w:val="21"/>
                      <w:szCs w:val="21"/>
                    </w:rPr>
                  </w:pPr>
                  <w:r>
                    <w:rPr>
                      <w:b/>
                      <w:bCs/>
                      <w:sz w:val="21"/>
                      <w:szCs w:val="21"/>
                    </w:rPr>
                    <w:t>环境影响途径</w:t>
                  </w:r>
                </w:p>
              </w:tc>
              <w:tc>
                <w:tcPr>
                  <w:tcW w:w="1400" w:type="dxa"/>
                  <w:noWrap w:val="0"/>
                  <w:vAlign w:val="center"/>
                </w:tcPr>
                <w:p w14:paraId="1A658F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sz w:val="21"/>
                      <w:szCs w:val="21"/>
                    </w:rPr>
                  </w:pPr>
                  <w:r>
                    <w:rPr>
                      <w:b/>
                      <w:bCs/>
                      <w:sz w:val="21"/>
                      <w:szCs w:val="21"/>
                    </w:rPr>
                    <w:t>可能受影响的环境敏感目标</w:t>
                  </w:r>
                </w:p>
              </w:tc>
            </w:tr>
            <w:tr w14:paraId="418A29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543" w:type="dxa"/>
                  <w:vMerge w:val="restart"/>
                  <w:noWrap w:val="0"/>
                  <w:vAlign w:val="center"/>
                </w:tcPr>
                <w:p w14:paraId="14DC16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贮存系统</w:t>
                  </w:r>
                </w:p>
              </w:tc>
              <w:tc>
                <w:tcPr>
                  <w:tcW w:w="1518" w:type="dxa"/>
                  <w:noWrap w:val="0"/>
                  <w:vAlign w:val="center"/>
                </w:tcPr>
                <w:p w14:paraId="67C266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危废暂存间</w:t>
                  </w:r>
                </w:p>
              </w:tc>
              <w:tc>
                <w:tcPr>
                  <w:tcW w:w="1921" w:type="dxa"/>
                  <w:noWrap w:val="0"/>
                  <w:vAlign w:val="center"/>
                </w:tcPr>
                <w:p w14:paraId="4F67B0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rFonts w:hint="eastAsia"/>
                      <w:sz w:val="21"/>
                      <w:szCs w:val="21"/>
                      <w:lang w:val="en-US" w:eastAsia="zh-CN"/>
                    </w:rPr>
                    <w:t>废矿物油等</w:t>
                  </w:r>
                  <w:r>
                    <w:rPr>
                      <w:sz w:val="21"/>
                      <w:szCs w:val="21"/>
                    </w:rPr>
                    <w:t>危险废物</w:t>
                  </w:r>
                </w:p>
              </w:tc>
              <w:tc>
                <w:tcPr>
                  <w:tcW w:w="1140" w:type="dxa"/>
                  <w:noWrap w:val="0"/>
                  <w:vAlign w:val="center"/>
                </w:tcPr>
                <w:p w14:paraId="2ABE7E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泄漏</w:t>
                  </w:r>
                </w:p>
              </w:tc>
              <w:tc>
                <w:tcPr>
                  <w:tcW w:w="1467" w:type="dxa"/>
                  <w:noWrap w:val="0"/>
                  <w:vAlign w:val="center"/>
                </w:tcPr>
                <w:p w14:paraId="4A4F16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危险废物中的有害物质渗入地下水及土壤</w:t>
                  </w:r>
                </w:p>
              </w:tc>
              <w:tc>
                <w:tcPr>
                  <w:tcW w:w="1400" w:type="dxa"/>
                  <w:noWrap w:val="0"/>
                  <w:vAlign w:val="center"/>
                </w:tcPr>
                <w:p w14:paraId="6E0A9C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地下水、土壤</w:t>
                  </w:r>
                </w:p>
              </w:tc>
            </w:tr>
            <w:tr w14:paraId="186E3C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14:paraId="6272C7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p>
              </w:tc>
              <w:tc>
                <w:tcPr>
                  <w:tcW w:w="1518" w:type="dxa"/>
                  <w:noWrap w:val="0"/>
                  <w:vAlign w:val="center"/>
                </w:tcPr>
                <w:p w14:paraId="45CAD0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lang w:val="en-US" w:eastAsia="zh-CN"/>
                    </w:rPr>
                  </w:pPr>
                  <w:r>
                    <w:rPr>
                      <w:rFonts w:hint="default" w:ascii="Times New Roman" w:hAnsi="Times New Roman" w:eastAsia="宋体" w:cs="Times New Roman"/>
                      <w:color w:val="auto"/>
                      <w:kern w:val="2"/>
                      <w:sz w:val="21"/>
                      <w:szCs w:val="21"/>
                      <w:lang w:val="en-US" w:eastAsia="zh-CN" w:bidi="ar-SA"/>
                    </w:rPr>
                    <w:t>固废暂存间II</w:t>
                  </w:r>
                  <w:r>
                    <w:rPr>
                      <w:rFonts w:hint="eastAsia" w:ascii="Times New Roman" w:hAnsi="Times New Roman" w:eastAsia="宋体" w:cs="Times New Roman"/>
                      <w:color w:val="auto"/>
                      <w:kern w:val="2"/>
                      <w:sz w:val="21"/>
                      <w:szCs w:val="21"/>
                      <w:lang w:val="en-US" w:eastAsia="zh-CN" w:bidi="ar-SA"/>
                    </w:rPr>
                    <w:t>（海螺环保）</w:t>
                  </w:r>
                </w:p>
              </w:tc>
              <w:tc>
                <w:tcPr>
                  <w:tcW w:w="1921" w:type="dxa"/>
                  <w:noWrap w:val="0"/>
                  <w:vAlign w:val="center"/>
                </w:tcPr>
                <w:p w14:paraId="40C8AD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lang w:val="en-US" w:eastAsia="zh-CN"/>
                    </w:rPr>
                  </w:pPr>
                  <w:r>
                    <w:rPr>
                      <w:rFonts w:hint="eastAsia"/>
                      <w:sz w:val="21"/>
                      <w:szCs w:val="21"/>
                      <w:lang w:val="en-US" w:eastAsia="zh-CN"/>
                    </w:rPr>
                    <w:t>替代燃料（废纺、废塑料、废橡胶、废皮革、RDF、生物质燃料、炭黑）</w:t>
                  </w:r>
                </w:p>
              </w:tc>
              <w:tc>
                <w:tcPr>
                  <w:tcW w:w="1140" w:type="dxa"/>
                  <w:noWrap w:val="0"/>
                  <w:vAlign w:val="center"/>
                </w:tcPr>
                <w:p w14:paraId="60A76F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sz w:val="21"/>
                      <w:szCs w:val="21"/>
                      <w:lang w:val="en-US" w:eastAsia="zh-CN"/>
                    </w:rPr>
                  </w:pPr>
                  <w:r>
                    <w:rPr>
                      <w:rFonts w:hint="eastAsia"/>
                      <w:sz w:val="21"/>
                      <w:szCs w:val="21"/>
                      <w:lang w:val="en-US" w:eastAsia="zh-CN"/>
                    </w:rPr>
                    <w:t>火</w:t>
                  </w:r>
                  <w:bookmarkStart w:id="2" w:name="_GoBack"/>
                  <w:bookmarkEnd w:id="2"/>
                  <w:r>
                    <w:rPr>
                      <w:rFonts w:hint="eastAsia"/>
                      <w:sz w:val="21"/>
                      <w:szCs w:val="21"/>
                      <w:lang w:val="en-US" w:eastAsia="zh-CN"/>
                    </w:rPr>
                    <w:t>灾</w:t>
                  </w:r>
                </w:p>
              </w:tc>
              <w:tc>
                <w:tcPr>
                  <w:tcW w:w="1467" w:type="dxa"/>
                  <w:noWrap w:val="0"/>
                  <w:vAlign w:val="center"/>
                </w:tcPr>
                <w:p w14:paraId="6A1BBD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rFonts w:hint="default" w:ascii="Times New Roman" w:hAnsi="Times New Roman" w:eastAsia="宋体" w:cs="Times New Roman"/>
                      <w:b w:val="0"/>
                      <w:bCs/>
                      <w:color w:val="auto"/>
                      <w:sz w:val="21"/>
                      <w:szCs w:val="21"/>
                      <w:lang w:val="en-US" w:eastAsia="zh-CN"/>
                    </w:rPr>
                    <w:t>大气扩散</w:t>
                  </w:r>
                  <w:r>
                    <w:rPr>
                      <w:rFonts w:hint="eastAsia" w:ascii="Times New Roman" w:hAnsi="Times New Roman" w:eastAsia="宋体" w:cs="Times New Roman"/>
                      <w:b w:val="0"/>
                      <w:bCs/>
                      <w:color w:val="auto"/>
                      <w:sz w:val="21"/>
                      <w:szCs w:val="21"/>
                      <w:lang w:val="en-US" w:eastAsia="zh-CN"/>
                    </w:rPr>
                    <w:t>、下渗、随雨水管道排出厂外</w:t>
                  </w:r>
                </w:p>
              </w:tc>
              <w:tc>
                <w:tcPr>
                  <w:tcW w:w="1400" w:type="dxa"/>
                  <w:noWrap w:val="0"/>
                  <w:vAlign w:val="center"/>
                </w:tcPr>
                <w:p w14:paraId="781D67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sz w:val="21"/>
                      <w:szCs w:val="21"/>
                      <w:lang w:eastAsia="zh-CN"/>
                    </w:rPr>
                  </w:pPr>
                  <w:r>
                    <w:rPr>
                      <w:sz w:val="21"/>
                      <w:szCs w:val="21"/>
                    </w:rPr>
                    <w:t>空气</w:t>
                  </w:r>
                  <w:r>
                    <w:rPr>
                      <w:rFonts w:hint="eastAsia"/>
                      <w:sz w:val="21"/>
                      <w:szCs w:val="21"/>
                      <w:lang w:eastAsia="zh-CN"/>
                    </w:rPr>
                    <w:t>、</w:t>
                  </w:r>
                  <w:r>
                    <w:rPr>
                      <w:sz w:val="21"/>
                      <w:szCs w:val="21"/>
                    </w:rPr>
                    <w:t>地下水、土壤</w:t>
                  </w:r>
                </w:p>
              </w:tc>
            </w:tr>
            <w:tr w14:paraId="76022E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543" w:type="dxa"/>
                  <w:noWrap w:val="0"/>
                  <w:vAlign w:val="center"/>
                </w:tcPr>
                <w:p w14:paraId="4AB692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烧成系统</w:t>
                  </w:r>
                </w:p>
              </w:tc>
              <w:tc>
                <w:tcPr>
                  <w:tcW w:w="1518" w:type="dxa"/>
                  <w:noWrap w:val="0"/>
                  <w:vAlign w:val="center"/>
                </w:tcPr>
                <w:p w14:paraId="529B92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焚烧产生的窑尾尾气</w:t>
                  </w:r>
                </w:p>
              </w:tc>
              <w:tc>
                <w:tcPr>
                  <w:tcW w:w="1921" w:type="dxa"/>
                  <w:noWrap w:val="0"/>
                  <w:vAlign w:val="center"/>
                </w:tcPr>
                <w:p w14:paraId="0DE60F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氯化氢、氟化氢、重金属及二噁英等重金属气体</w:t>
                  </w:r>
                </w:p>
              </w:tc>
              <w:tc>
                <w:tcPr>
                  <w:tcW w:w="1140" w:type="dxa"/>
                  <w:noWrap w:val="0"/>
                  <w:vAlign w:val="center"/>
                </w:tcPr>
                <w:p w14:paraId="396157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异常排放</w:t>
                  </w:r>
                </w:p>
              </w:tc>
              <w:tc>
                <w:tcPr>
                  <w:tcW w:w="1467" w:type="dxa"/>
                  <w:noWrap w:val="0"/>
                  <w:vAlign w:val="center"/>
                </w:tcPr>
                <w:p w14:paraId="615E0E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rFonts w:hint="eastAsia"/>
                      <w:sz w:val="21"/>
                      <w:szCs w:val="21"/>
                    </w:rPr>
                    <w:t>窑尾</w:t>
                  </w:r>
                  <w:r>
                    <w:rPr>
                      <w:sz w:val="21"/>
                      <w:szCs w:val="21"/>
                    </w:rPr>
                    <w:t>烟气扩散到大气中</w:t>
                  </w:r>
                </w:p>
              </w:tc>
              <w:tc>
                <w:tcPr>
                  <w:tcW w:w="1400" w:type="dxa"/>
                  <w:noWrap w:val="0"/>
                  <w:vAlign w:val="center"/>
                </w:tcPr>
                <w:p w14:paraId="6ACFE1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1"/>
                      <w:szCs w:val="21"/>
                    </w:rPr>
                  </w:pPr>
                  <w:r>
                    <w:rPr>
                      <w:sz w:val="21"/>
                      <w:szCs w:val="21"/>
                    </w:rPr>
                    <w:t>空气</w:t>
                  </w:r>
                </w:p>
              </w:tc>
            </w:tr>
          </w:tbl>
          <w:p w14:paraId="2A49E5AD">
            <w:pPr>
              <w:keepNext w:val="0"/>
              <w:keepLines w:val="0"/>
              <w:pageBreakBefore w:val="0"/>
              <w:kinsoku/>
              <w:wordWrap/>
              <w:overflowPunct/>
              <w:topLinePunct w:val="0"/>
              <w:bidi w:val="0"/>
              <w:snapToGrid/>
              <w:spacing w:line="360" w:lineRule="auto"/>
              <w:ind w:firstLine="480" w:firstLineChars="200"/>
              <w:textAlignment w:val="auto"/>
              <w:rPr>
                <w:b w:val="0"/>
                <w:bCs w:val="0"/>
                <w:snapToGrid w:val="0"/>
                <w:color w:val="auto"/>
                <w:kern w:val="0"/>
                <w:sz w:val="24"/>
              </w:rPr>
            </w:pPr>
            <w:r>
              <w:rPr>
                <w:rFonts w:hint="eastAsia"/>
                <w:b w:val="0"/>
                <w:bCs w:val="0"/>
                <w:snapToGrid w:val="0"/>
                <w:color w:val="auto"/>
                <w:kern w:val="0"/>
                <w:sz w:val="24"/>
                <w:lang w:val="en-US" w:eastAsia="zh-CN"/>
              </w:rPr>
              <w:t>3</w:t>
            </w:r>
            <w:r>
              <w:rPr>
                <w:b w:val="0"/>
                <w:bCs w:val="0"/>
                <w:snapToGrid w:val="0"/>
                <w:color w:val="auto"/>
                <w:kern w:val="0"/>
                <w:sz w:val="24"/>
              </w:rPr>
              <w:t>、环境风险分析</w:t>
            </w:r>
          </w:p>
          <w:p w14:paraId="05601337">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（1）风险事故类型</w:t>
            </w:r>
          </w:p>
          <w:p w14:paraId="16055976">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项目主要环境风险为风险物质泄漏、废气超标排放、火灾及废物处置不当造成的安全风险。</w:t>
            </w:r>
          </w:p>
          <w:p w14:paraId="65B8438E">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（2）风险分析</w:t>
            </w:r>
          </w:p>
          <w:p w14:paraId="26A8FC34">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①风险物质泄漏</w:t>
            </w:r>
          </w:p>
          <w:p w14:paraId="0187835C">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项目风险物质主要存在于危废暂存间内，事故状态发生泄露，若泄漏物收集不当，可能对厂区土壤和地下水造成污染，若排出厂外，可能对厂外地表水环境造成污染。</w:t>
            </w:r>
          </w:p>
          <w:p w14:paraId="0288CDF7">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②废气处理装置失效</w:t>
            </w:r>
          </w:p>
          <w:p w14:paraId="0BBB8D1E">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本项目废气处理设施故障的情况下，废气直接排放，对大气环境造成污染。</w:t>
            </w:r>
          </w:p>
          <w:p w14:paraId="37F281E7">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③火灾</w:t>
            </w:r>
          </w:p>
          <w:p w14:paraId="58E1435A">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b/>
                <w:bCs/>
                <w:snapToGrid w:val="0"/>
                <w:color w:val="auto"/>
                <w:kern w:val="0"/>
                <w:sz w:val="24"/>
                <w:lang w:val="en-US" w:eastAsia="zh-CN"/>
              </w:rPr>
            </w:pPr>
            <w:r>
              <w:rPr>
                <w:rFonts w:hint="default" w:ascii="Times New Roman" w:hAnsi="Times New Roman" w:eastAsia="宋体" w:cs="Times New Roman"/>
                <w:color w:val="auto"/>
                <w:kern w:val="0"/>
                <w:sz w:val="24"/>
                <w:lang w:val="en-US" w:eastAsia="zh-CN"/>
              </w:rPr>
              <w:t>项目</w:t>
            </w:r>
            <w:r>
              <w:rPr>
                <w:rFonts w:hint="eastAsia" w:ascii="Times New Roman" w:hAnsi="Times New Roman" w:eastAsia="宋体" w:cs="Times New Roman"/>
                <w:color w:val="auto"/>
                <w:kern w:val="0"/>
                <w:sz w:val="24"/>
                <w:lang w:val="en-US" w:eastAsia="zh-CN"/>
              </w:rPr>
              <w:t>使用替代燃料属于可燃物，依托济宁海螺环保现有固废暂存间II进行暂存，存在一定的火灾风险。发生火灾时产生的有毒有害烟气对大气环境造成污染，同时扑救火灾过程中产生的消防废水若收集不当排出厂外，会对厂外地表水环境造成污染。</w:t>
            </w:r>
          </w:p>
          <w:p w14:paraId="4149B7B5">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b w:val="0"/>
                <w:bCs w:val="0"/>
                <w:snapToGrid w:val="0"/>
                <w:color w:val="auto"/>
                <w:kern w:val="0"/>
                <w:sz w:val="24"/>
                <w:lang w:val="en-US" w:eastAsia="zh-CN"/>
              </w:rPr>
            </w:pPr>
            <w:r>
              <w:rPr>
                <w:rFonts w:hint="eastAsia" w:ascii="Times New Roman" w:hAnsi="Times New Roman" w:eastAsia="宋体" w:cs="Times New Roman"/>
                <w:b w:val="0"/>
                <w:bCs w:val="0"/>
                <w:snapToGrid w:val="0"/>
                <w:color w:val="auto"/>
                <w:kern w:val="0"/>
                <w:sz w:val="24"/>
                <w:lang w:val="en-US" w:eastAsia="zh-CN"/>
              </w:rPr>
              <w:t>4、现有项目环境风险防范措施调查</w:t>
            </w:r>
          </w:p>
          <w:p w14:paraId="28CE0855">
            <w:pPr>
              <w:bidi w:val="0"/>
              <w:ind w:firstLine="48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现有项目已采取的环境风险防范措施见表4-10。</w:t>
            </w:r>
          </w:p>
          <w:p w14:paraId="263EC369">
            <w:pPr>
              <w:spacing w:line="240" w:lineRule="auto"/>
              <w:jc w:val="center"/>
              <w:textAlignment w:val="baseline"/>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lang w:val="en-US" w:eastAsia="zh-CN"/>
              </w:rPr>
              <w:t>4-10</w:t>
            </w:r>
            <w:r>
              <w:rPr>
                <w:rFonts w:ascii="Times New Roman" w:hAnsi="Times New Roman" w:eastAsia="宋体" w:cs="Times New Roman"/>
                <w:b/>
                <w:bCs/>
                <w:color w:val="auto"/>
              </w:rPr>
              <w:t xml:space="preserve">  现有工程风险防范措施一览表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606"/>
            </w:tblGrid>
            <w:tr w14:paraId="739F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64" w:type="pct"/>
                  <w:tcBorders>
                    <w:tl2br w:val="nil"/>
                    <w:tr2bl w:val="nil"/>
                  </w:tcBorders>
                  <w:noWrap w:val="0"/>
                  <w:vAlign w:val="center"/>
                </w:tcPr>
                <w:p w14:paraId="4E821F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auto"/>
                      <w:kern w:val="24"/>
                      <w:sz w:val="21"/>
                      <w:szCs w:val="21"/>
                    </w:rPr>
                  </w:pPr>
                  <w:r>
                    <w:rPr>
                      <w:b/>
                      <w:bCs/>
                      <w:color w:val="auto"/>
                      <w:kern w:val="24"/>
                      <w:sz w:val="21"/>
                      <w:szCs w:val="21"/>
                    </w:rPr>
                    <w:t>项目</w:t>
                  </w:r>
                </w:p>
              </w:tc>
              <w:tc>
                <w:tcPr>
                  <w:tcW w:w="4135" w:type="pct"/>
                  <w:tcBorders>
                    <w:tl2br w:val="nil"/>
                    <w:tr2bl w:val="nil"/>
                  </w:tcBorders>
                  <w:noWrap w:val="0"/>
                  <w:vAlign w:val="center"/>
                </w:tcPr>
                <w:p w14:paraId="77EF84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auto"/>
                      <w:kern w:val="24"/>
                      <w:sz w:val="21"/>
                      <w:szCs w:val="21"/>
                    </w:rPr>
                  </w:pPr>
                  <w:r>
                    <w:rPr>
                      <w:b/>
                      <w:bCs/>
                      <w:color w:val="auto"/>
                      <w:kern w:val="24"/>
                      <w:sz w:val="21"/>
                      <w:szCs w:val="21"/>
                    </w:rPr>
                    <w:t>现有的环境风险防范措施</w:t>
                  </w:r>
                </w:p>
              </w:tc>
            </w:tr>
            <w:tr w14:paraId="311FF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64" w:type="pct"/>
                  <w:tcBorders>
                    <w:tl2br w:val="nil"/>
                    <w:tr2bl w:val="nil"/>
                  </w:tcBorders>
                  <w:noWrap w:val="0"/>
                  <w:vAlign w:val="center"/>
                </w:tcPr>
                <w:p w14:paraId="650303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kern w:val="24"/>
                      <w:sz w:val="21"/>
                      <w:szCs w:val="21"/>
                    </w:rPr>
                  </w:pPr>
                  <w:r>
                    <w:rPr>
                      <w:color w:val="auto"/>
                      <w:kern w:val="24"/>
                      <w:sz w:val="21"/>
                      <w:szCs w:val="21"/>
                    </w:rPr>
                    <w:t>大气环境风险防范措施</w:t>
                  </w:r>
                </w:p>
              </w:tc>
              <w:tc>
                <w:tcPr>
                  <w:tcW w:w="4135" w:type="pct"/>
                  <w:tcBorders>
                    <w:tl2br w:val="nil"/>
                    <w:tr2bl w:val="nil"/>
                  </w:tcBorders>
                  <w:noWrap w:val="0"/>
                  <w:vAlign w:val="center"/>
                </w:tcPr>
                <w:p w14:paraId="6D82264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kern w:val="24"/>
                      <w:sz w:val="21"/>
                      <w:szCs w:val="21"/>
                      <w:lang w:eastAsia="zh-CN"/>
                    </w:rPr>
                  </w:pPr>
                  <w:r>
                    <w:rPr>
                      <w:color w:val="auto"/>
                      <w:kern w:val="24"/>
                      <w:sz w:val="21"/>
                      <w:szCs w:val="21"/>
                    </w:rPr>
                    <w:t>1、</w:t>
                  </w:r>
                  <w:r>
                    <w:rPr>
                      <w:rFonts w:hint="eastAsia"/>
                      <w:color w:val="auto"/>
                      <w:kern w:val="24"/>
                      <w:sz w:val="21"/>
                      <w:szCs w:val="21"/>
                    </w:rPr>
                    <w:t>全厂区内禁止吸烟，</w:t>
                  </w:r>
                  <w:r>
                    <w:rPr>
                      <w:rFonts w:hint="eastAsia"/>
                      <w:color w:val="auto"/>
                      <w:kern w:val="24"/>
                      <w:sz w:val="21"/>
                      <w:szCs w:val="21"/>
                      <w:lang w:val="en-US" w:eastAsia="zh-CN"/>
                    </w:rPr>
                    <w:t>严禁</w:t>
                  </w:r>
                  <w:r>
                    <w:rPr>
                      <w:rFonts w:hint="eastAsia"/>
                      <w:color w:val="auto"/>
                      <w:kern w:val="24"/>
                      <w:sz w:val="21"/>
                      <w:szCs w:val="21"/>
                    </w:rPr>
                    <w:t>出现明火</w:t>
                  </w:r>
                  <w:r>
                    <w:rPr>
                      <w:rFonts w:hint="eastAsia"/>
                      <w:color w:val="auto"/>
                      <w:kern w:val="24"/>
                      <w:sz w:val="21"/>
                      <w:szCs w:val="21"/>
                      <w:lang w:eastAsia="zh-CN"/>
                    </w:rPr>
                    <w:t>、</w:t>
                  </w:r>
                  <w:r>
                    <w:rPr>
                      <w:rFonts w:hint="eastAsia"/>
                      <w:color w:val="auto"/>
                      <w:kern w:val="24"/>
                      <w:sz w:val="21"/>
                      <w:szCs w:val="21"/>
                    </w:rPr>
                    <w:t>高热源</w:t>
                  </w:r>
                  <w:r>
                    <w:rPr>
                      <w:rFonts w:hint="eastAsia"/>
                      <w:color w:val="auto"/>
                      <w:kern w:val="24"/>
                      <w:sz w:val="21"/>
                      <w:szCs w:val="21"/>
                      <w:lang w:eastAsia="zh-CN"/>
                    </w:rPr>
                    <w:t>。</w:t>
                  </w:r>
                  <w:r>
                    <w:rPr>
                      <w:rFonts w:hint="eastAsia"/>
                      <w:color w:val="auto"/>
                      <w:kern w:val="24"/>
                      <w:sz w:val="21"/>
                      <w:szCs w:val="21"/>
                      <w:lang w:val="en-US" w:eastAsia="zh-CN"/>
                    </w:rPr>
                    <w:t>相关</w:t>
                  </w:r>
                  <w:r>
                    <w:rPr>
                      <w:rFonts w:hint="eastAsia"/>
                      <w:color w:val="auto"/>
                      <w:kern w:val="24"/>
                      <w:sz w:val="21"/>
                      <w:szCs w:val="21"/>
                      <w:lang w:eastAsia="zh-CN"/>
                    </w:rPr>
                    <w:t>区域设置消防器材（包括灭火器、消防沙等）；</w:t>
                  </w:r>
                </w:p>
                <w:p w14:paraId="7CDFAB3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kern w:val="24"/>
                      <w:sz w:val="21"/>
                      <w:szCs w:val="21"/>
                      <w:lang w:eastAsia="zh-CN"/>
                    </w:rPr>
                  </w:pPr>
                  <w:r>
                    <w:rPr>
                      <w:color w:val="auto"/>
                      <w:kern w:val="24"/>
                      <w:sz w:val="21"/>
                      <w:szCs w:val="21"/>
                    </w:rPr>
                    <w:t>2、原料在进、出料时，严格按照操作规程执行，杜绝违规操作</w:t>
                  </w:r>
                  <w:r>
                    <w:rPr>
                      <w:rFonts w:hint="eastAsia"/>
                      <w:color w:val="auto"/>
                      <w:kern w:val="24"/>
                      <w:sz w:val="21"/>
                      <w:szCs w:val="21"/>
                      <w:lang w:eastAsia="zh-CN"/>
                    </w:rPr>
                    <w:t>；</w:t>
                  </w:r>
                </w:p>
                <w:p w14:paraId="34FECD7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kern w:val="24"/>
                      <w:sz w:val="21"/>
                      <w:szCs w:val="21"/>
                      <w:lang w:val="en-US" w:eastAsia="zh-CN"/>
                    </w:rPr>
                  </w:pPr>
                  <w:r>
                    <w:rPr>
                      <w:rFonts w:hint="eastAsia"/>
                      <w:color w:val="auto"/>
                      <w:kern w:val="24"/>
                      <w:sz w:val="21"/>
                      <w:szCs w:val="21"/>
                      <w:lang w:val="en-US" w:eastAsia="zh-CN"/>
                    </w:rPr>
                    <w:t>3、废气处理设施排气筒按照排污许可要求按时进行自行监测，监控废气污染物排放情况，及时发现异常及超标情况；</w:t>
                  </w:r>
                </w:p>
                <w:p w14:paraId="2FC1920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kern w:val="24"/>
                      <w:sz w:val="21"/>
                      <w:szCs w:val="21"/>
                      <w:lang w:val="en-US" w:eastAsia="zh-CN"/>
                    </w:rPr>
                  </w:pPr>
                  <w:r>
                    <w:rPr>
                      <w:rFonts w:hint="eastAsia"/>
                      <w:color w:val="auto"/>
                      <w:kern w:val="24"/>
                      <w:sz w:val="21"/>
                      <w:szCs w:val="21"/>
                      <w:lang w:val="en-US" w:eastAsia="zh-CN"/>
                    </w:rPr>
                    <w:t>4、定期对生产废气处理设施进行检查维护，确保处理设施正常，废气达标排放。</w:t>
                  </w:r>
                </w:p>
              </w:tc>
            </w:tr>
            <w:tr w14:paraId="2AC46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tcBorders>
                    <w:tl2br w:val="nil"/>
                    <w:tr2bl w:val="nil"/>
                  </w:tcBorders>
                  <w:noWrap w:val="0"/>
                  <w:vAlign w:val="center"/>
                </w:tcPr>
                <w:p w14:paraId="57BFFE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kern w:val="24"/>
                      <w:sz w:val="21"/>
                      <w:szCs w:val="21"/>
                    </w:rPr>
                  </w:pPr>
                  <w:r>
                    <w:rPr>
                      <w:color w:val="auto"/>
                      <w:kern w:val="24"/>
                      <w:sz w:val="21"/>
                      <w:szCs w:val="21"/>
                    </w:rPr>
                    <w:t>水环境风险防范措施</w:t>
                  </w:r>
                </w:p>
              </w:tc>
              <w:tc>
                <w:tcPr>
                  <w:tcW w:w="4135" w:type="pct"/>
                  <w:tcBorders>
                    <w:tl2br w:val="nil"/>
                    <w:tr2bl w:val="nil"/>
                  </w:tcBorders>
                  <w:noWrap w:val="0"/>
                  <w:vAlign w:val="center"/>
                </w:tcPr>
                <w:p w14:paraId="6630F2D6">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kern w:val="24"/>
                      <w:sz w:val="21"/>
                      <w:szCs w:val="21"/>
                    </w:rPr>
                  </w:pPr>
                  <w:r>
                    <w:rPr>
                      <w:color w:val="auto"/>
                      <w:kern w:val="24"/>
                      <w:sz w:val="21"/>
                      <w:szCs w:val="21"/>
                    </w:rPr>
                    <w:t>1、防渗措施：厂区内一般区域采用水泥硬化地面，</w:t>
                  </w:r>
                  <w:r>
                    <w:rPr>
                      <w:rFonts w:hint="eastAsia"/>
                      <w:color w:val="auto"/>
                      <w:kern w:val="24"/>
                      <w:sz w:val="21"/>
                      <w:szCs w:val="21"/>
                      <w:lang w:val="en-US" w:eastAsia="zh-CN"/>
                    </w:rPr>
                    <w:t>污水处理站</w:t>
                  </w:r>
                  <w:r>
                    <w:rPr>
                      <w:color w:val="auto"/>
                      <w:kern w:val="24"/>
                      <w:sz w:val="21"/>
                      <w:szCs w:val="21"/>
                    </w:rPr>
                    <w:t>、</w:t>
                  </w:r>
                  <w:r>
                    <w:rPr>
                      <w:rFonts w:hint="eastAsia"/>
                      <w:color w:val="auto"/>
                      <w:kern w:val="24"/>
                      <w:sz w:val="21"/>
                      <w:szCs w:val="21"/>
                      <w:lang w:val="en-US" w:eastAsia="zh-CN"/>
                    </w:rPr>
                    <w:t>危废库</w:t>
                  </w:r>
                  <w:r>
                    <w:rPr>
                      <w:color w:val="auto"/>
                      <w:kern w:val="24"/>
                      <w:sz w:val="21"/>
                      <w:szCs w:val="21"/>
                    </w:rPr>
                    <w:t>等污染区采取重点防渗。</w:t>
                  </w:r>
                </w:p>
                <w:p w14:paraId="0A54C5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auto"/>
                      <w:kern w:val="24"/>
                      <w:sz w:val="21"/>
                      <w:szCs w:val="21"/>
                      <w:lang w:eastAsia="zh-CN"/>
                    </w:rPr>
                  </w:pPr>
                  <w:r>
                    <w:rPr>
                      <w:color w:val="auto"/>
                      <w:kern w:val="24"/>
                      <w:sz w:val="21"/>
                      <w:szCs w:val="21"/>
                    </w:rPr>
                    <w:t>2、</w:t>
                  </w:r>
                  <w:r>
                    <w:rPr>
                      <w:rFonts w:hint="eastAsia"/>
                      <w:color w:val="auto"/>
                      <w:kern w:val="24"/>
                      <w:sz w:val="21"/>
                      <w:szCs w:val="21"/>
                      <w:lang w:val="en-US" w:eastAsia="zh-CN"/>
                    </w:rPr>
                    <w:t>防泄漏措施</w:t>
                  </w:r>
                  <w:r>
                    <w:rPr>
                      <w:color w:val="auto"/>
                      <w:kern w:val="24"/>
                      <w:sz w:val="21"/>
                      <w:szCs w:val="21"/>
                    </w:rPr>
                    <w:t>：</w:t>
                  </w:r>
                  <w:r>
                    <w:rPr>
                      <w:rFonts w:hint="eastAsia"/>
                      <w:color w:val="auto"/>
                      <w:kern w:val="24"/>
                      <w:sz w:val="21"/>
                      <w:szCs w:val="21"/>
                      <w:lang w:eastAsia="zh-CN"/>
                    </w:rPr>
                    <w:t>危废暂存间</w:t>
                  </w:r>
                  <w:r>
                    <w:rPr>
                      <w:rFonts w:hint="eastAsia"/>
                      <w:color w:val="auto"/>
                      <w:kern w:val="24"/>
                      <w:sz w:val="21"/>
                      <w:szCs w:val="21"/>
                      <w:lang w:val="en-US" w:eastAsia="zh-CN"/>
                    </w:rPr>
                    <w:t>内设置导流沟</w:t>
                  </w:r>
                  <w:r>
                    <w:rPr>
                      <w:rFonts w:hint="eastAsia"/>
                      <w:color w:val="auto"/>
                      <w:kern w:val="24"/>
                      <w:sz w:val="21"/>
                      <w:szCs w:val="21"/>
                      <w:lang w:eastAsia="zh-CN"/>
                    </w:rPr>
                    <w:t>，可将泄漏物控制在危废暂存间内。</w:t>
                  </w:r>
                </w:p>
                <w:p w14:paraId="3D19CD74">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kern w:val="24"/>
                      <w:sz w:val="21"/>
                      <w:szCs w:val="21"/>
                    </w:rPr>
                  </w:pPr>
                  <w:r>
                    <w:rPr>
                      <w:color w:val="auto"/>
                      <w:kern w:val="24"/>
                      <w:sz w:val="21"/>
                      <w:szCs w:val="21"/>
                    </w:rPr>
                    <w:t>3、</w:t>
                  </w:r>
                  <w:r>
                    <w:rPr>
                      <w:rFonts w:hint="eastAsia"/>
                      <w:color w:val="auto"/>
                      <w:kern w:val="24"/>
                      <w:sz w:val="21"/>
                      <w:szCs w:val="21"/>
                      <w:lang w:val="en-US" w:eastAsia="zh-CN"/>
                    </w:rPr>
                    <w:t>厂区设置应急池，可收集雨水和消防废水。主厂区共设置有三处事故应急池（兼做初期雨水池），其中1号门处应急池容积900m</w:t>
                  </w:r>
                  <w:r>
                    <w:rPr>
                      <w:rFonts w:hint="eastAsia"/>
                      <w:color w:val="auto"/>
                      <w:kern w:val="24"/>
                      <w:sz w:val="21"/>
                      <w:szCs w:val="21"/>
                      <w:vertAlign w:val="superscript"/>
                      <w:lang w:val="en-US" w:eastAsia="zh-CN"/>
                    </w:rPr>
                    <w:t>3</w:t>
                  </w:r>
                  <w:r>
                    <w:rPr>
                      <w:rFonts w:hint="eastAsia"/>
                      <w:color w:val="auto"/>
                      <w:kern w:val="24"/>
                      <w:sz w:val="21"/>
                      <w:szCs w:val="21"/>
                      <w:lang w:val="en-US" w:eastAsia="zh-CN"/>
                    </w:rPr>
                    <w:t>，4号及石灰石堆场处事故池均为500m</w:t>
                  </w:r>
                  <w:r>
                    <w:rPr>
                      <w:rFonts w:hint="eastAsia"/>
                      <w:color w:val="auto"/>
                      <w:kern w:val="24"/>
                      <w:sz w:val="21"/>
                      <w:szCs w:val="21"/>
                      <w:vertAlign w:val="superscript"/>
                      <w:lang w:val="en-US" w:eastAsia="zh-CN"/>
                    </w:rPr>
                    <w:t>3</w:t>
                  </w:r>
                  <w:r>
                    <w:rPr>
                      <w:rFonts w:hint="eastAsia"/>
                      <w:color w:val="auto"/>
                      <w:kern w:val="24"/>
                      <w:sz w:val="21"/>
                      <w:szCs w:val="21"/>
                      <w:lang w:val="en-US" w:eastAsia="zh-CN"/>
                    </w:rPr>
                    <w:t>。另外氨水房东侧设置一处地下收容池（30m</w:t>
                  </w:r>
                  <w:r>
                    <w:rPr>
                      <w:rFonts w:hint="eastAsia"/>
                      <w:color w:val="auto"/>
                      <w:kern w:val="24"/>
                      <w:sz w:val="21"/>
                      <w:szCs w:val="21"/>
                      <w:vertAlign w:val="superscript"/>
                      <w:lang w:val="en-US" w:eastAsia="zh-CN"/>
                    </w:rPr>
                    <w:t>3</w:t>
                  </w:r>
                  <w:r>
                    <w:rPr>
                      <w:rFonts w:hint="eastAsia"/>
                      <w:color w:val="auto"/>
                      <w:kern w:val="24"/>
                      <w:sz w:val="21"/>
                      <w:szCs w:val="21"/>
                      <w:lang w:val="en-US" w:eastAsia="zh-CN"/>
                    </w:rPr>
                    <w:t>）。</w:t>
                  </w:r>
                </w:p>
                <w:p w14:paraId="5F38F383">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kern w:val="24"/>
                      <w:sz w:val="21"/>
                      <w:szCs w:val="21"/>
                    </w:rPr>
                  </w:pPr>
                  <w:r>
                    <w:rPr>
                      <w:color w:val="auto"/>
                      <w:kern w:val="24"/>
                      <w:sz w:val="21"/>
                      <w:szCs w:val="21"/>
                    </w:rPr>
                    <w:t>4、</w:t>
                  </w:r>
                  <w:r>
                    <w:rPr>
                      <w:rFonts w:hint="eastAsia"/>
                      <w:color w:val="auto"/>
                      <w:kern w:val="24"/>
                      <w:sz w:val="21"/>
                      <w:szCs w:val="21"/>
                      <w:lang w:val="en-US" w:eastAsia="zh-CN"/>
                    </w:rPr>
                    <w:t>企业厂区雨水总排口</w:t>
                  </w:r>
                  <w:r>
                    <w:rPr>
                      <w:rFonts w:hint="eastAsia"/>
                      <w:color w:val="auto"/>
                      <w:kern w:val="24"/>
                      <w:sz w:val="21"/>
                      <w:szCs w:val="21"/>
                    </w:rPr>
                    <w:t>设置应急闸阀。及时关闭阀门的情况下，能将消防废水及泄漏物控制在本企业厂区内</w:t>
                  </w:r>
                  <w:r>
                    <w:rPr>
                      <w:rFonts w:hint="eastAsia"/>
                      <w:color w:val="auto"/>
                      <w:kern w:val="24"/>
                      <w:sz w:val="21"/>
                      <w:szCs w:val="21"/>
                      <w:lang w:eastAsia="zh-CN"/>
                    </w:rPr>
                    <w:t>。</w:t>
                  </w:r>
                </w:p>
              </w:tc>
            </w:tr>
            <w:tr w14:paraId="7DFDE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tcBorders>
                    <w:tl2br w:val="nil"/>
                    <w:tr2bl w:val="nil"/>
                  </w:tcBorders>
                  <w:noWrap w:val="0"/>
                  <w:vAlign w:val="center"/>
                </w:tcPr>
                <w:p w14:paraId="55AFD2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kern w:val="24"/>
                      <w:sz w:val="21"/>
                      <w:szCs w:val="21"/>
                    </w:rPr>
                  </w:pPr>
                  <w:r>
                    <w:rPr>
                      <w:color w:val="auto"/>
                      <w:kern w:val="24"/>
                      <w:sz w:val="21"/>
                      <w:szCs w:val="21"/>
                    </w:rPr>
                    <w:t>防火防爆措施</w:t>
                  </w:r>
                </w:p>
              </w:tc>
              <w:tc>
                <w:tcPr>
                  <w:tcW w:w="4135" w:type="pct"/>
                  <w:tcBorders>
                    <w:tl2br w:val="nil"/>
                    <w:tr2bl w:val="nil"/>
                  </w:tcBorders>
                  <w:noWrap w:val="0"/>
                  <w:vAlign w:val="center"/>
                </w:tcPr>
                <w:p w14:paraId="51AF031F">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kern w:val="24"/>
                      <w:sz w:val="21"/>
                      <w:szCs w:val="21"/>
                    </w:rPr>
                  </w:pPr>
                  <w:r>
                    <w:rPr>
                      <w:color w:val="auto"/>
                      <w:kern w:val="24"/>
                      <w:sz w:val="21"/>
                      <w:szCs w:val="21"/>
                    </w:rPr>
                    <w:t>优化平面布置，工艺自动化控制，建/构筑物防火、电气防火、设备泄压等采取防火防爆控制措施。</w:t>
                  </w:r>
                </w:p>
              </w:tc>
            </w:tr>
            <w:tr w14:paraId="1F8CE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tcBorders>
                    <w:tl2br w:val="nil"/>
                    <w:tr2bl w:val="nil"/>
                  </w:tcBorders>
                  <w:noWrap w:val="0"/>
                  <w:vAlign w:val="center"/>
                </w:tcPr>
                <w:p w14:paraId="3BB8EF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kern w:val="24"/>
                      <w:sz w:val="21"/>
                      <w:szCs w:val="21"/>
                    </w:rPr>
                  </w:pPr>
                  <w:r>
                    <w:rPr>
                      <w:color w:val="auto"/>
                      <w:kern w:val="24"/>
                      <w:sz w:val="21"/>
                      <w:szCs w:val="21"/>
                    </w:rPr>
                    <w:t>安全管理措施</w:t>
                  </w:r>
                </w:p>
              </w:tc>
              <w:tc>
                <w:tcPr>
                  <w:tcW w:w="4135" w:type="pct"/>
                  <w:tcBorders>
                    <w:tl2br w:val="nil"/>
                    <w:tr2bl w:val="nil"/>
                  </w:tcBorders>
                  <w:noWrap w:val="0"/>
                  <w:vAlign w:val="center"/>
                </w:tcPr>
                <w:p w14:paraId="17817BA2">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kern w:val="24"/>
                      <w:sz w:val="21"/>
                      <w:szCs w:val="21"/>
                    </w:rPr>
                  </w:pPr>
                  <w:r>
                    <w:rPr>
                      <w:color w:val="auto"/>
                      <w:kern w:val="24"/>
                      <w:sz w:val="21"/>
                      <w:szCs w:val="21"/>
                    </w:rPr>
                    <w:t>设置安全管理机构，建立安全管理制度，加强人员培训，预防安全事故发生。</w:t>
                  </w:r>
                </w:p>
              </w:tc>
            </w:tr>
            <w:tr w14:paraId="48016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tcBorders>
                    <w:tl2br w:val="nil"/>
                    <w:tr2bl w:val="nil"/>
                  </w:tcBorders>
                  <w:noWrap w:val="0"/>
                  <w:vAlign w:val="center"/>
                </w:tcPr>
                <w:p w14:paraId="3A1D7C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auto"/>
                      <w:kern w:val="24"/>
                      <w:sz w:val="21"/>
                      <w:szCs w:val="21"/>
                    </w:rPr>
                  </w:pPr>
                  <w:r>
                    <w:rPr>
                      <w:color w:val="auto"/>
                      <w:kern w:val="24"/>
                      <w:sz w:val="21"/>
                      <w:szCs w:val="21"/>
                    </w:rPr>
                    <w:t>环境应急监测方案</w:t>
                  </w:r>
                </w:p>
              </w:tc>
              <w:tc>
                <w:tcPr>
                  <w:tcW w:w="4135" w:type="pct"/>
                  <w:tcBorders>
                    <w:tl2br w:val="nil"/>
                    <w:tr2bl w:val="nil"/>
                  </w:tcBorders>
                  <w:noWrap w:val="0"/>
                  <w:vAlign w:val="center"/>
                </w:tcPr>
                <w:p w14:paraId="1D87421C">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kern w:val="24"/>
                      <w:sz w:val="21"/>
                      <w:szCs w:val="21"/>
                    </w:rPr>
                  </w:pPr>
                  <w:r>
                    <w:rPr>
                      <w:color w:val="auto"/>
                      <w:kern w:val="24"/>
                      <w:sz w:val="21"/>
                      <w:szCs w:val="21"/>
                    </w:rPr>
                    <w:t>制定事故应急救援预案，从组织机构、救援保障、报警通讯、应急监测及救护保障、应急处置措施、事故原因调查分析等方面制定严格的制度，定期组织培训、演练。</w:t>
                  </w:r>
                </w:p>
              </w:tc>
            </w:tr>
          </w:tbl>
          <w:p w14:paraId="5E406234">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b w:val="0"/>
                <w:bCs w:val="0"/>
                <w:snapToGrid w:val="0"/>
                <w:color w:val="auto"/>
                <w:kern w:val="0"/>
                <w:sz w:val="24"/>
                <w:lang w:val="en-US" w:eastAsia="zh-CN"/>
              </w:rPr>
            </w:pPr>
            <w:r>
              <w:rPr>
                <w:rFonts w:hint="eastAsia" w:ascii="Times New Roman" w:hAnsi="Times New Roman" w:eastAsia="宋体" w:cs="Times New Roman"/>
                <w:b w:val="0"/>
                <w:bCs w:val="0"/>
                <w:snapToGrid w:val="0"/>
                <w:color w:val="auto"/>
                <w:kern w:val="0"/>
                <w:sz w:val="24"/>
                <w:lang w:val="en-US" w:eastAsia="zh-CN"/>
              </w:rPr>
              <w:t>5、本项目环境风险防范措施</w:t>
            </w:r>
          </w:p>
          <w:p w14:paraId="07713877">
            <w:pPr>
              <w:keepNext w:val="0"/>
              <w:keepLines w:val="0"/>
              <w:pageBreakBefore w:val="0"/>
              <w:kinsoku/>
              <w:wordWrap/>
              <w:overflowPunct/>
              <w:topLinePunct w:val="0"/>
              <w:bidi w:val="0"/>
              <w:snapToGrid/>
              <w:spacing w:line="360" w:lineRule="auto"/>
              <w:ind w:firstLine="480" w:firstLineChars="200"/>
              <w:textAlignment w:val="auto"/>
              <w:rPr>
                <w:rFonts w:hint="default"/>
                <w:color w:val="auto"/>
                <w:sz w:val="24"/>
                <w:lang w:val="en-US" w:eastAsia="zh-CN"/>
              </w:rPr>
            </w:pPr>
            <w:r>
              <w:rPr>
                <w:rFonts w:hint="eastAsia"/>
                <w:color w:val="auto"/>
                <w:sz w:val="24"/>
                <w:lang w:val="en-US" w:eastAsia="zh-CN"/>
              </w:rPr>
              <w:t>本项目全部依托现有生产车间及辅助设施建设，无新增环境风险源，环境风险防范主要依托现有防范措施。具体见表4-10。</w:t>
            </w:r>
          </w:p>
          <w:p w14:paraId="7276D5E4">
            <w:pPr>
              <w:bidi w:val="0"/>
              <w:ind w:firstLine="480" w:firstLineChars="200"/>
              <w:rPr>
                <w:rFonts w:hint="default" w:ascii="Times New Roman" w:hAnsi="Times New Roman" w:cs="Times New Roman"/>
                <w:color w:val="auto"/>
              </w:rPr>
            </w:pPr>
            <w:r>
              <w:rPr>
                <w:rFonts w:hint="eastAsia"/>
                <w:color w:val="auto"/>
                <w:sz w:val="24"/>
                <w:lang w:val="en-US" w:eastAsia="zh-CN"/>
              </w:rPr>
              <w:t>项目建成后</w:t>
            </w:r>
            <w:r>
              <w:rPr>
                <w:color w:val="auto"/>
                <w:sz w:val="24"/>
              </w:rPr>
              <w:t>建设单位应根据自身的实际情况</w:t>
            </w:r>
            <w:r>
              <w:rPr>
                <w:rFonts w:hint="eastAsia"/>
                <w:color w:val="auto"/>
                <w:sz w:val="24"/>
                <w:lang w:val="en-US" w:eastAsia="zh-CN"/>
              </w:rPr>
              <w:t>对现行</w:t>
            </w:r>
            <w:r>
              <w:rPr>
                <w:color w:val="auto"/>
                <w:sz w:val="24"/>
              </w:rPr>
              <w:t>应急预案</w:t>
            </w:r>
            <w:r>
              <w:rPr>
                <w:rFonts w:hint="eastAsia"/>
                <w:color w:val="auto"/>
                <w:sz w:val="24"/>
                <w:lang w:val="en-US" w:eastAsia="zh-CN"/>
              </w:rPr>
              <w:t>进行修编并报主管部门备案</w:t>
            </w:r>
            <w:r>
              <w:rPr>
                <w:color w:val="auto"/>
                <w:sz w:val="24"/>
              </w:rPr>
              <w:t>。</w:t>
            </w:r>
          </w:p>
          <w:p w14:paraId="36FB1EFC">
            <w:pPr>
              <w:pStyle w:val="6"/>
              <w:keepNext/>
              <w:keepLines/>
              <w:pageBreakBefore w:val="0"/>
              <w:widowControl w:val="0"/>
              <w:numPr>
                <w:ilvl w:val="0"/>
                <w:numId w:val="0"/>
              </w:numPr>
              <w:kinsoku/>
              <w:wordWrap/>
              <w:overflowPunct/>
              <w:topLinePunct w:val="0"/>
              <w:autoSpaceDE/>
              <w:autoSpaceDN/>
              <w:bidi w:val="0"/>
              <w:adjustRightInd w:val="0"/>
              <w:snapToGrid/>
              <w:spacing w:before="0" w:beforeLines="0" w:after="0" w:afterLines="0"/>
              <w:ind w:leftChars="0"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w:t>
            </w:r>
            <w:r>
              <w:rPr>
                <w:rFonts w:hint="default" w:ascii="Times New Roman" w:hAnsi="Times New Roman" w:eastAsia="宋体" w:cs="Times New Roman"/>
                <w:b w:val="0"/>
                <w:bCs w:val="0"/>
                <w:color w:val="auto"/>
                <w:lang w:val="en-US" w:eastAsia="zh-CN"/>
              </w:rPr>
              <w:t>环保设施</w:t>
            </w:r>
            <w:r>
              <w:rPr>
                <w:rFonts w:hint="eastAsia" w:ascii="Times New Roman" w:hAnsi="Times New Roman" w:eastAsia="宋体" w:cs="Times New Roman"/>
                <w:b w:val="0"/>
                <w:bCs w:val="0"/>
                <w:color w:val="auto"/>
                <w:lang w:val="en-US" w:eastAsia="zh-CN"/>
              </w:rPr>
              <w:t>风险安全管理</w:t>
            </w:r>
          </w:p>
          <w:p w14:paraId="63D114F0">
            <w:pPr>
              <w:spacing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（1）环保设备设施风险分析</w:t>
            </w:r>
          </w:p>
          <w:p w14:paraId="10E2641A">
            <w:pPr>
              <w:spacing w:line="360" w:lineRule="auto"/>
              <w:ind w:firstLine="480"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color w:val="auto"/>
                <w:sz w:val="24"/>
                <w:lang w:val="en-US" w:eastAsia="zh-CN"/>
              </w:rPr>
              <w:t>根据《关于进一步加强环保设备设施安全生产工作的通知》（安委办明电〔2022〕17号），项目</w:t>
            </w:r>
            <w:r>
              <w:rPr>
                <w:rFonts w:hint="eastAsia" w:ascii="Times New Roman" w:hAnsi="Times New Roman" w:eastAsia="宋体" w:cs="Times New Roman"/>
                <w:color w:val="auto"/>
                <w:sz w:val="24"/>
                <w:lang w:val="en-US" w:eastAsia="zh-CN"/>
              </w:rPr>
              <w:t>厂区涉及的脱硝、粉尘治理和</w:t>
            </w:r>
            <w:r>
              <w:rPr>
                <w:rFonts w:hint="default" w:ascii="Times New Roman" w:hAnsi="Times New Roman" w:eastAsia="宋体" w:cs="Times New Roman"/>
                <w:color w:val="auto"/>
                <w:sz w:val="24"/>
                <w:lang w:val="en-US" w:eastAsia="zh-CN"/>
              </w:rPr>
              <w:t>污水处理属于通知中的5类重点环保设备设施。</w:t>
            </w:r>
          </w:p>
          <w:p w14:paraId="4684FF32">
            <w:pPr>
              <w:spacing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（2）环保设备设施风险防范措施</w:t>
            </w:r>
          </w:p>
          <w:p w14:paraId="399CE024">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针对环保设施存在的主要安全风险，项目要</w:t>
            </w:r>
            <w:r>
              <w:rPr>
                <w:rFonts w:hint="default" w:ascii="Times New Roman" w:hAnsi="Times New Roman" w:eastAsia="宋体" w:cs="Times New Roman"/>
                <w:color w:val="auto"/>
                <w:sz w:val="24"/>
                <w:szCs w:val="24"/>
                <w:highlight w:val="none"/>
                <w:lang w:val="en-US" w:eastAsia="zh-CN"/>
              </w:rPr>
              <w:t>落实企业主要负责人严格履行第一责任人责任，将环保设备设施安全作为企业安全管理的重要组成部分，全面负责落实本单位的环保设备设施安全生产工作。严格落实涉环保设备设施环保和安全“三同时”有关要求，委托有资质的设计单位进行正规设计，在选用污染防治技术时要充分考虑安全因素；按要求设置安全监测监控系统和联锁保护装置，做好安全防范。对涉环保设备设施相关岗位人员进行操作规程、风险管控、应急处置、典型事故警示等专项安全培训教育。开展环保设备设施安全风险辨识评估，系统排查隐患，依法建立隐患整改台账，明确整改责任人、措施、资金、时限和应急救援预案，及时消除隐患。认真落实相关技术标准规范，严格执行吊装、动火、高处等危险作业审批制度，加强有限空间、检维修作业安全管理，采取有效隔离措施，实施现场安全监护和科学施救。对受委托开展环保设备设施建设、运营和检维修第三方的安全生产工作进行统一协调、管理，定期进行安全检查，发现安全问题的，及时督促整改，不得“一包了之，不管不问”。</w:t>
            </w:r>
          </w:p>
          <w:p w14:paraId="7A577EE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与《国务院安委会办公室、生态环境部、应急管理部关于进一步加强环保设备设施安全生产工作的通知》（安委办明电〔2022〕17号）的符合性分析见下表。</w:t>
            </w:r>
          </w:p>
          <w:p w14:paraId="25351AA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color w:val="auto"/>
                <w:sz w:val="24"/>
              </w:rPr>
            </w:pPr>
            <w:r>
              <w:rPr>
                <w:b/>
                <w:color w:val="auto"/>
                <w:sz w:val="24"/>
              </w:rPr>
              <w:t>表</w:t>
            </w:r>
            <w:r>
              <w:rPr>
                <w:rFonts w:hint="eastAsia"/>
                <w:b/>
                <w:color w:val="auto"/>
                <w:sz w:val="24"/>
                <w:lang w:val="en-US" w:eastAsia="zh-CN"/>
              </w:rPr>
              <w:t>4-11</w:t>
            </w:r>
            <w:r>
              <w:rPr>
                <w:b/>
                <w:color w:val="auto"/>
                <w:sz w:val="24"/>
              </w:rPr>
              <w:t xml:space="preserve"> 与安委办明电〔2022〕17号符合性分析</w:t>
            </w:r>
          </w:p>
          <w:tbl>
            <w:tblPr>
              <w:tblStyle w:val="3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67"/>
              <w:gridCol w:w="1276"/>
              <w:gridCol w:w="841"/>
            </w:tblGrid>
            <w:tr w14:paraId="7E802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8" w:type="dxa"/>
                  <w:tcBorders>
                    <w:tl2br w:val="nil"/>
                    <w:tr2bl w:val="nil"/>
                  </w:tcBorders>
                  <w:noWrap w:val="0"/>
                  <w:vAlign w:val="center"/>
                </w:tcPr>
                <w:p w14:paraId="64E8AB09">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b/>
                      <w:color w:val="auto"/>
                      <w:kern w:val="0"/>
                      <w:sz w:val="21"/>
                      <w:szCs w:val="21"/>
                    </w:rPr>
                  </w:pPr>
                  <w:r>
                    <w:rPr>
                      <w:b/>
                      <w:color w:val="auto"/>
                      <w:kern w:val="0"/>
                      <w:sz w:val="21"/>
                      <w:szCs w:val="21"/>
                    </w:rPr>
                    <w:t>文件要求</w:t>
                  </w:r>
                </w:p>
              </w:tc>
              <w:tc>
                <w:tcPr>
                  <w:tcW w:w="1396" w:type="dxa"/>
                  <w:tcBorders>
                    <w:tl2br w:val="nil"/>
                    <w:tr2bl w:val="nil"/>
                  </w:tcBorders>
                  <w:noWrap w:val="0"/>
                  <w:vAlign w:val="center"/>
                </w:tcPr>
                <w:p w14:paraId="6AF8BAEA">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b/>
                      <w:color w:val="auto"/>
                      <w:kern w:val="0"/>
                      <w:sz w:val="21"/>
                      <w:szCs w:val="21"/>
                    </w:rPr>
                  </w:pPr>
                  <w:r>
                    <w:rPr>
                      <w:b/>
                      <w:color w:val="auto"/>
                      <w:kern w:val="0"/>
                      <w:sz w:val="21"/>
                      <w:szCs w:val="21"/>
                    </w:rPr>
                    <w:t>本项目情况</w:t>
                  </w:r>
                </w:p>
              </w:tc>
              <w:tc>
                <w:tcPr>
                  <w:tcW w:w="913" w:type="dxa"/>
                  <w:tcBorders>
                    <w:tl2br w:val="nil"/>
                    <w:tr2bl w:val="nil"/>
                  </w:tcBorders>
                  <w:noWrap w:val="0"/>
                  <w:vAlign w:val="center"/>
                </w:tcPr>
                <w:p w14:paraId="5BB0F0B5">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b/>
                      <w:color w:val="auto"/>
                      <w:kern w:val="0"/>
                      <w:sz w:val="21"/>
                      <w:szCs w:val="21"/>
                    </w:rPr>
                  </w:pPr>
                  <w:r>
                    <w:rPr>
                      <w:b/>
                      <w:color w:val="auto"/>
                      <w:kern w:val="0"/>
                      <w:sz w:val="21"/>
                      <w:szCs w:val="21"/>
                    </w:rPr>
                    <w:t>符合性</w:t>
                  </w:r>
                </w:p>
              </w:tc>
            </w:tr>
            <w:tr w14:paraId="006BC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8" w:type="dxa"/>
                  <w:tcBorders>
                    <w:tl2br w:val="nil"/>
                    <w:tr2bl w:val="nil"/>
                  </w:tcBorders>
                  <w:noWrap w:val="0"/>
                  <w:vAlign w:val="center"/>
                </w:tcPr>
                <w:p w14:paraId="6DC1BC6F">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一、进一步落实属地责任。各地区要切实提高政治站位，认真学习领会习近平总书记关于加强环保设备设施安全生产工作重要指示精神，坚持人民至上、生命至上，统筹发展和安全，深入贯彻落实国务院安委会安全生产十五条硬措施，严格落实《地方党政领导干部安全生产责任制规定》，综合运用巡查督查、考核考察、激励惩戒等措施，及时研究解决环保设备设施安全生产工作中的突出问题和新风险，按照“谁主管谁牵头、谁为主谁牵头、谁靠近谁牵头"的原则，依据法律法规和部门“三定"规定，明确负责监督管理环境污染第三方治理企</w:t>
                  </w:r>
                  <w:r>
                    <w:rPr>
                      <w:color w:val="auto"/>
                      <w:kern w:val="0"/>
                      <w:sz w:val="21"/>
                      <w:szCs w:val="21"/>
                    </w:rPr>
                    <w:cr/>
                  </w:r>
                  <w:r>
                    <w:rPr>
                      <w:color w:val="auto"/>
                      <w:kern w:val="0"/>
                      <w:sz w:val="21"/>
                      <w:szCs w:val="21"/>
                    </w:rPr>
                    <w:t>安全生产工作的部门，落实安全生产各项责任措施，有效防范遏制</w:t>
                  </w:r>
                  <w:r>
                    <w:rPr>
                      <w:rFonts w:hint="eastAsia"/>
                      <w:color w:val="auto"/>
                      <w:kern w:val="0"/>
                      <w:sz w:val="21"/>
                      <w:szCs w:val="21"/>
                    </w:rPr>
                    <w:t>环</w:t>
                  </w:r>
                  <w:r>
                    <w:rPr>
                      <w:color w:val="auto"/>
                      <w:kern w:val="0"/>
                      <w:sz w:val="21"/>
                      <w:szCs w:val="21"/>
                    </w:rPr>
                    <w:t>保设备设施生产安全事故发生。</w:t>
                  </w:r>
                </w:p>
              </w:tc>
              <w:tc>
                <w:tcPr>
                  <w:tcW w:w="1396" w:type="dxa"/>
                  <w:tcBorders>
                    <w:tl2br w:val="nil"/>
                    <w:tr2bl w:val="nil"/>
                  </w:tcBorders>
                  <w:noWrap w:val="0"/>
                  <w:vAlign w:val="center"/>
                </w:tcPr>
                <w:p w14:paraId="167E1BDF">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本项目建成后严格落实安全生产工作，落实安全生产各项责任措施，防范遏制环保设备设施生产安全事故发生。</w:t>
                  </w:r>
                </w:p>
              </w:tc>
              <w:tc>
                <w:tcPr>
                  <w:tcW w:w="913" w:type="dxa"/>
                  <w:tcBorders>
                    <w:tl2br w:val="nil"/>
                    <w:tr2bl w:val="nil"/>
                  </w:tcBorders>
                  <w:noWrap w:val="0"/>
                  <w:vAlign w:val="center"/>
                </w:tcPr>
                <w:p w14:paraId="20A766AE">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color w:val="auto"/>
                      <w:kern w:val="0"/>
                      <w:sz w:val="21"/>
                      <w:szCs w:val="21"/>
                    </w:rPr>
                  </w:pPr>
                  <w:r>
                    <w:rPr>
                      <w:color w:val="auto"/>
                      <w:kern w:val="0"/>
                      <w:sz w:val="21"/>
                      <w:szCs w:val="21"/>
                    </w:rPr>
                    <w:t>符合</w:t>
                  </w:r>
                </w:p>
              </w:tc>
            </w:tr>
            <w:tr w14:paraId="01B08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8" w:type="dxa"/>
                  <w:tcBorders>
                    <w:tl2br w:val="nil"/>
                    <w:tr2bl w:val="nil"/>
                  </w:tcBorders>
                  <w:noWrap w:val="0"/>
                  <w:vAlign w:val="center"/>
                </w:tcPr>
                <w:p w14:paraId="1E7D845D">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二、进一步落实部门监管指导责任。各有关部门要按照“管行业必须管安全、管业务必须管安全、管生产经营必须管安全"和“谁主管谁负责"的原则，靠前一步，主动作为，将环保设备设施安全作为行业领域安全工作的重要内容，切实承担起安全监督管理和指导责任。要高度关注新增环保设备设施带来的安全问题，提出推广环保新工艺、新技术、新产品的同时要充分考虑安全因素，及时组织相关标委会制修订相应的标准规范。在制修订涉及环保设备设施工程项目、工艺设计、产品技术、控制技术和运行管理的标准规范时，要提出明确具体的安全要求，采用成熟安全可靠的工艺和技术。要紧盯具有脱硫脱硝、挥发性有机物回收、污水</w:t>
                  </w:r>
                  <w:r>
                    <w:rPr>
                      <w:rFonts w:hint="eastAsia"/>
                      <w:color w:val="auto"/>
                      <w:kern w:val="0"/>
                      <w:sz w:val="21"/>
                      <w:szCs w:val="21"/>
                      <w:lang w:val="en-US" w:eastAsia="zh-CN"/>
                    </w:rPr>
                    <w:t>处理</w:t>
                  </w:r>
                  <w:r>
                    <w:rPr>
                      <w:color w:val="auto"/>
                      <w:kern w:val="0"/>
                      <w:sz w:val="21"/>
                      <w:szCs w:val="21"/>
                    </w:rPr>
                    <w:cr/>
                  </w:r>
                  <w:r>
                    <w:rPr>
                      <w:color w:val="auto"/>
                      <w:kern w:val="0"/>
                      <w:sz w:val="21"/>
                      <w:szCs w:val="21"/>
                    </w:rPr>
                    <w:t>、粉尘治理、蓄热式焚烧炉5类重点环保设备设施的企业，指导督促企业按照相关法律法规和技术标准规范要求，开展环保设备设施安全风险辨识评估和隐患排查治理，落实安全生产各项责任措施。要进一步强化服务意识，既严格执法又热情服务，充分发挥专家作用，及时帮助企业解决环保设备设施安全方面存在的问题和困难。</w:t>
                  </w:r>
                </w:p>
              </w:tc>
              <w:tc>
                <w:tcPr>
                  <w:tcW w:w="1396" w:type="dxa"/>
                  <w:tcBorders>
                    <w:tl2br w:val="nil"/>
                    <w:tr2bl w:val="nil"/>
                  </w:tcBorders>
                  <w:noWrap w:val="0"/>
                  <w:vAlign w:val="center"/>
                </w:tcPr>
                <w:p w14:paraId="38DA3998">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本项目</w:t>
                  </w:r>
                  <w:r>
                    <w:rPr>
                      <w:rFonts w:hint="eastAsia"/>
                      <w:color w:val="auto"/>
                      <w:kern w:val="0"/>
                      <w:sz w:val="21"/>
                      <w:szCs w:val="21"/>
                      <w:lang w:val="en-US" w:eastAsia="zh-CN"/>
                    </w:rPr>
                    <w:t>涉及脱硝、粉尘治理、污水处理环保设施，项目</w:t>
                  </w:r>
                  <w:r>
                    <w:rPr>
                      <w:color w:val="auto"/>
                      <w:kern w:val="0"/>
                      <w:sz w:val="21"/>
                      <w:szCs w:val="21"/>
                    </w:rPr>
                    <w:t>建成后</w:t>
                  </w:r>
                  <w:r>
                    <w:rPr>
                      <w:rFonts w:hint="eastAsia"/>
                      <w:color w:val="auto"/>
                      <w:kern w:val="0"/>
                      <w:sz w:val="21"/>
                      <w:szCs w:val="21"/>
                      <w:lang w:val="en-US" w:eastAsia="zh-CN"/>
                    </w:rPr>
                    <w:t>应</w:t>
                  </w:r>
                  <w:r>
                    <w:rPr>
                      <w:color w:val="auto"/>
                      <w:kern w:val="0"/>
                      <w:sz w:val="21"/>
                      <w:szCs w:val="21"/>
                    </w:rPr>
                    <w:t>开展环保设备设安全风险辨识评估和隐患排查治理。</w:t>
                  </w:r>
                </w:p>
              </w:tc>
              <w:tc>
                <w:tcPr>
                  <w:tcW w:w="913" w:type="dxa"/>
                  <w:tcBorders>
                    <w:tl2br w:val="nil"/>
                    <w:tr2bl w:val="nil"/>
                  </w:tcBorders>
                  <w:noWrap w:val="0"/>
                  <w:vAlign w:val="center"/>
                </w:tcPr>
                <w:p w14:paraId="713B506D">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color w:val="auto"/>
                      <w:kern w:val="0"/>
                      <w:sz w:val="21"/>
                      <w:szCs w:val="21"/>
                    </w:rPr>
                  </w:pPr>
                  <w:r>
                    <w:rPr>
                      <w:color w:val="auto"/>
                      <w:kern w:val="0"/>
                      <w:sz w:val="21"/>
                      <w:szCs w:val="21"/>
                    </w:rPr>
                    <w:t>符合</w:t>
                  </w:r>
                </w:p>
              </w:tc>
            </w:tr>
            <w:tr w14:paraId="6B714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8" w:type="dxa"/>
                  <w:tcBorders>
                    <w:tl2br w:val="nil"/>
                    <w:tr2bl w:val="nil"/>
                  </w:tcBorders>
                  <w:noWrap w:val="0"/>
                  <w:vAlign w:val="center"/>
                </w:tcPr>
                <w:p w14:paraId="4E5E6844">
                  <w:pPr>
                    <w:keepNext w:val="0"/>
                    <w:keepLines w:val="0"/>
                    <w:pageBreakBefore w:val="0"/>
                    <w:widowControl w:val="0"/>
                    <w:kinsoku/>
                    <w:wordWrap/>
                    <w:overflowPunct/>
                    <w:topLinePunct w:val="0"/>
                    <w:autoSpaceDE/>
                    <w:autoSpaceDN/>
                    <w:bidi w:val="0"/>
                    <w:adjustRightInd/>
                    <w:snapToGrid w:val="0"/>
                    <w:spacing w:line="240" w:lineRule="auto"/>
                    <w:contextualSpacing/>
                    <w:textAlignment w:val="auto"/>
                    <w:rPr>
                      <w:color w:val="auto"/>
                      <w:kern w:val="0"/>
                      <w:sz w:val="21"/>
                      <w:szCs w:val="21"/>
                    </w:rPr>
                  </w:pPr>
                  <w:r>
                    <w:rPr>
                      <w:color w:val="auto"/>
                      <w:kern w:val="0"/>
                      <w:sz w:val="21"/>
                      <w:szCs w:val="21"/>
                    </w:rPr>
                    <w:t>三、进一步建立健全联动机制。地方各级生态环境、应急管理等部门要探索建立健全协调联动机制。要加强信息共享，组织梳理、共享已建成的重点环保设备设施信息，并</w:t>
                  </w:r>
                  <w:r>
                    <w:rPr>
                      <w:color w:val="auto"/>
                      <w:kern w:val="0"/>
                      <w:sz w:val="21"/>
                      <w:szCs w:val="21"/>
                    </w:rPr>
                    <w:cr/>
                  </w:r>
                  <w:r>
                    <w:rPr>
                      <w:color w:val="auto"/>
                      <w:kern w:val="0"/>
                      <w:sz w:val="21"/>
                      <w:szCs w:val="21"/>
                    </w:rPr>
                    <w:t>时通报新改扩建重点环保设备设施信息。要加强会商研判，建立定期会商制度，研判安全风险形势，互相及时通报日常监管中发现的生产安全和环境安全等隐患问题。要加强协同治理，强化配合，发挥部门优势，共同推动企业提升重点环保设备设施管理水平，发现安全、环保等有关要求不一致的，及时研究解决。要加强联合执法，联合制定督导检查计划，明确检查重点，开展联合执法，共同筑牢安全防线。</w:t>
                  </w:r>
                </w:p>
              </w:tc>
              <w:tc>
                <w:tcPr>
                  <w:tcW w:w="1396" w:type="dxa"/>
                  <w:tcBorders>
                    <w:tl2br w:val="nil"/>
                    <w:tr2bl w:val="nil"/>
                  </w:tcBorders>
                  <w:noWrap w:val="0"/>
                  <w:vAlign w:val="center"/>
                </w:tcPr>
                <w:p w14:paraId="3C4F9FBB">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本项目建成后配合生态环境、应急管理等部门的监管工作。</w:t>
                  </w:r>
                </w:p>
              </w:tc>
              <w:tc>
                <w:tcPr>
                  <w:tcW w:w="913" w:type="dxa"/>
                  <w:tcBorders>
                    <w:tl2br w:val="nil"/>
                    <w:tr2bl w:val="nil"/>
                  </w:tcBorders>
                  <w:noWrap w:val="0"/>
                  <w:vAlign w:val="center"/>
                </w:tcPr>
                <w:p w14:paraId="57914DDF">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color w:val="auto"/>
                      <w:kern w:val="0"/>
                      <w:sz w:val="21"/>
                      <w:szCs w:val="21"/>
                    </w:rPr>
                  </w:pPr>
                  <w:r>
                    <w:rPr>
                      <w:color w:val="auto"/>
                      <w:kern w:val="0"/>
                      <w:sz w:val="21"/>
                      <w:szCs w:val="21"/>
                    </w:rPr>
                    <w:t>符合</w:t>
                  </w:r>
                </w:p>
              </w:tc>
            </w:tr>
            <w:tr w14:paraId="3788E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8" w:type="dxa"/>
                  <w:tcBorders>
                    <w:tl2br w:val="nil"/>
                    <w:tr2bl w:val="nil"/>
                  </w:tcBorders>
                  <w:noWrap w:val="0"/>
                  <w:vAlign w:val="center"/>
                </w:tcPr>
                <w:p w14:paraId="7109E82E">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四、进一步落实企业主体责任。推动企业主要负责人严格履行第一责任人责任，将环保设备设施安全作为企业安全管理的重要组成部分，全面负责落实本单位的环保设备设施安全生产工作。严格落实涉环保设备设施新、改、扩建项目环保和安全“三同时"有关要求，委托有资质的设计单位进行正规设计，在选用污染防治技术时要充分考虑安全因素;在环保设备设施改造中必须依法开展安全风险评估，按要求设置安全监测监控系统和联锁保护装置，做好安全防范。对涉环保设备设施相关岗位人员进行操作规程、风险管控、应急处置、典型事故警示等专项安全培训教育。开展环保设备设施安全风险辨识评估，系统排查隐患，依法建立隐患整改台账，明确整改责任人、措施、资金、时限和应急救援预案，及时消除隐患。认真落实相关技术标准规范，严格执行吊装、动火、高处等危险作业审批制度，加强有限空间、检维修作业安全管理，采取有效隔离措施，实施现场安全监护和科学施救。对受委托开展环保设备设施建设、运营和检维修第三方的安全生产工作进行统一协调、管理，定期进行安全检查，发现安全问题的，及时督促整改，不得“一包了之"，不管不问。</w:t>
                  </w:r>
                </w:p>
              </w:tc>
              <w:tc>
                <w:tcPr>
                  <w:tcW w:w="1396" w:type="dxa"/>
                  <w:tcBorders>
                    <w:tl2br w:val="nil"/>
                    <w:tr2bl w:val="nil"/>
                  </w:tcBorders>
                  <w:noWrap w:val="0"/>
                  <w:vAlign w:val="center"/>
                </w:tcPr>
                <w:p w14:paraId="3820D7F4">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企业主要负责人为第一责任人，严格执行环保和安全“三同时"有关要求。</w:t>
                  </w:r>
                </w:p>
              </w:tc>
              <w:tc>
                <w:tcPr>
                  <w:tcW w:w="913" w:type="dxa"/>
                  <w:tcBorders>
                    <w:tl2br w:val="nil"/>
                    <w:tr2bl w:val="nil"/>
                  </w:tcBorders>
                  <w:noWrap w:val="0"/>
                  <w:vAlign w:val="center"/>
                </w:tcPr>
                <w:p w14:paraId="25F8CF12">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color w:val="auto"/>
                      <w:kern w:val="0"/>
                      <w:sz w:val="21"/>
                      <w:szCs w:val="21"/>
                    </w:rPr>
                  </w:pPr>
                  <w:r>
                    <w:rPr>
                      <w:color w:val="auto"/>
                      <w:kern w:val="0"/>
                      <w:sz w:val="21"/>
                      <w:szCs w:val="21"/>
                    </w:rPr>
                    <w:t>符合</w:t>
                  </w:r>
                </w:p>
              </w:tc>
            </w:tr>
            <w:tr w14:paraId="195D6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8" w:type="dxa"/>
                  <w:tcBorders>
                    <w:tl2br w:val="nil"/>
                    <w:tr2bl w:val="nil"/>
                  </w:tcBorders>
                  <w:noWrap w:val="0"/>
                  <w:vAlign w:val="center"/>
                </w:tcPr>
                <w:p w14:paraId="7A207E25">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五、进一步发挥社会力量作用。要强化社会监督，充分运用举报奖励机制，鼓励社会公众</w:t>
                  </w:r>
                  <w:r>
                    <w:rPr>
                      <w:rFonts w:hint="eastAsia"/>
                      <w:color w:val="auto"/>
                      <w:kern w:val="0"/>
                      <w:sz w:val="21"/>
                      <w:szCs w:val="21"/>
                    </w:rPr>
                    <w:t>积</w:t>
                  </w:r>
                  <w:r>
                    <w:rPr>
                      <w:color w:val="auto"/>
                      <w:kern w:val="0"/>
                      <w:sz w:val="21"/>
                      <w:szCs w:val="21"/>
                    </w:rPr>
                    <w:t>极举报环保设备设施事故隐患和安全违法行为。强化联合惩戒，对环保设备设施安全存在严重违法行为的失信主体，及时纳入安全生产失信惩戒名单，将相关信息推送至全国信用信息共享平台。强化宣传教育，充分发挥主流媒体作用，</w:t>
                  </w:r>
                  <w:r>
                    <w:rPr>
                      <w:rFonts w:hint="eastAsia"/>
                      <w:color w:val="auto"/>
                      <w:kern w:val="0"/>
                      <w:sz w:val="21"/>
                      <w:szCs w:val="21"/>
                    </w:rPr>
                    <w:t>积</w:t>
                  </w:r>
                  <w:r>
                    <w:rPr>
                      <w:color w:val="auto"/>
                      <w:kern w:val="0"/>
                      <w:sz w:val="21"/>
                      <w:szCs w:val="21"/>
                    </w:rPr>
                    <w:t>极开展环保设备设施安全宣传引导，提升社会公众安全意识。</w:t>
                  </w:r>
                </w:p>
              </w:tc>
              <w:tc>
                <w:tcPr>
                  <w:tcW w:w="1396" w:type="dxa"/>
                  <w:tcBorders>
                    <w:tl2br w:val="nil"/>
                    <w:tr2bl w:val="nil"/>
                  </w:tcBorders>
                  <w:noWrap w:val="0"/>
                  <w:vAlign w:val="center"/>
                </w:tcPr>
                <w:p w14:paraId="0EC52975">
                  <w:pPr>
                    <w:keepNext w:val="0"/>
                    <w:keepLines w:val="0"/>
                    <w:pageBreakBefore w:val="0"/>
                    <w:widowControl w:val="0"/>
                    <w:kinsoku/>
                    <w:wordWrap/>
                    <w:overflowPunct/>
                    <w:topLinePunct w:val="0"/>
                    <w:autoSpaceDE/>
                    <w:autoSpaceDN/>
                    <w:bidi w:val="0"/>
                    <w:adjustRightInd/>
                    <w:snapToGrid w:val="0"/>
                    <w:spacing w:line="240" w:lineRule="auto"/>
                    <w:contextualSpacing/>
                    <w:jc w:val="left"/>
                    <w:textAlignment w:val="auto"/>
                    <w:rPr>
                      <w:color w:val="auto"/>
                      <w:kern w:val="0"/>
                      <w:sz w:val="21"/>
                      <w:szCs w:val="21"/>
                    </w:rPr>
                  </w:pPr>
                  <w:r>
                    <w:rPr>
                      <w:color w:val="auto"/>
                      <w:kern w:val="0"/>
                      <w:sz w:val="21"/>
                      <w:szCs w:val="21"/>
                    </w:rPr>
                    <w:t>企业接受社会监督。</w:t>
                  </w:r>
                </w:p>
              </w:tc>
              <w:tc>
                <w:tcPr>
                  <w:tcW w:w="913" w:type="dxa"/>
                  <w:tcBorders>
                    <w:tl2br w:val="nil"/>
                    <w:tr2bl w:val="nil"/>
                  </w:tcBorders>
                  <w:noWrap w:val="0"/>
                  <w:vAlign w:val="center"/>
                </w:tcPr>
                <w:p w14:paraId="63761F6B">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color w:val="auto"/>
                      <w:kern w:val="0"/>
                      <w:sz w:val="21"/>
                      <w:szCs w:val="21"/>
                    </w:rPr>
                  </w:pPr>
                  <w:r>
                    <w:rPr>
                      <w:color w:val="auto"/>
                      <w:kern w:val="0"/>
                      <w:sz w:val="21"/>
                      <w:szCs w:val="21"/>
                    </w:rPr>
                    <w:t>符合</w:t>
                  </w:r>
                </w:p>
              </w:tc>
            </w:tr>
          </w:tbl>
          <w:p w14:paraId="294ED69D">
            <w:pPr>
              <w:pStyle w:val="6"/>
              <w:keepNext/>
              <w:keepLines/>
              <w:pageBreakBefore w:val="0"/>
              <w:widowControl w:val="0"/>
              <w:numPr>
                <w:ilvl w:val="0"/>
                <w:numId w:val="0"/>
              </w:numPr>
              <w:kinsoku/>
              <w:wordWrap/>
              <w:overflowPunct/>
              <w:topLinePunct w:val="0"/>
              <w:autoSpaceDE/>
              <w:autoSpaceDN/>
              <w:bidi w:val="0"/>
              <w:adjustRightInd w:val="0"/>
              <w:snapToGrid/>
              <w:spacing w:before="0" w:beforeLines="0" w:after="0" w:afterLines="0"/>
              <w:ind w:leftChars="0" w:firstLine="480" w:firstLineChars="200"/>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w:t>
            </w:r>
            <w:r>
              <w:rPr>
                <w:rFonts w:hint="default" w:ascii="Times New Roman" w:hAnsi="Times New Roman" w:eastAsia="宋体" w:cs="Times New Roman"/>
                <w:b w:val="0"/>
                <w:bCs w:val="0"/>
                <w:color w:val="auto"/>
                <w:lang w:val="en-US" w:eastAsia="zh-CN"/>
              </w:rPr>
              <w:t>、环境风险评价结论</w:t>
            </w:r>
          </w:p>
          <w:p w14:paraId="542B165B">
            <w:pPr>
              <w:widowControl/>
              <w:adjustRightInd w:val="0"/>
              <w:snapToGrid w:val="0"/>
              <w:spacing w:line="360" w:lineRule="auto"/>
              <w:ind w:firstLine="480" w:firstLineChars="200"/>
              <w:rPr>
                <w:rFonts w:hint="default" w:ascii="Times New Roman" w:hAnsi="Times New Roman" w:cs="Times New Roman"/>
                <w:color w:val="auto"/>
                <w:sz w:val="21"/>
                <w:szCs w:val="21"/>
              </w:rPr>
            </w:pPr>
            <w:r>
              <w:rPr>
                <w:rFonts w:hint="eastAsia" w:ascii="Times New Roman" w:hAnsi="Times New Roman" w:cs="Times New Roman"/>
                <w:color w:val="auto"/>
                <w:spacing w:val="0"/>
                <w:position w:val="0"/>
                <w:lang w:val="en-US" w:eastAsia="zh-CN"/>
              </w:rPr>
              <w:t>项目</w:t>
            </w:r>
            <w:r>
              <w:rPr>
                <w:rFonts w:hint="eastAsia"/>
                <w:color w:val="auto"/>
                <w:sz w:val="24"/>
                <w:lang w:val="en-US" w:eastAsia="zh-CN"/>
              </w:rPr>
              <w:t>全部依托现有生产车间及辅助设施建设，无新增环境风险源，不改变现有项目环境风险等级，环境风险较小，环境风险防范主要依托现有防范措施，项目环境风险可防控</w:t>
            </w:r>
            <w:r>
              <w:rPr>
                <w:rFonts w:hint="default" w:ascii="Times New Roman" w:hAnsi="Times New Roman" w:cs="Times New Roman"/>
                <w:color w:val="auto"/>
                <w:spacing w:val="0"/>
                <w:position w:val="0"/>
              </w:rPr>
              <w:t>。</w:t>
            </w:r>
          </w:p>
          <w:p w14:paraId="6863E7A2">
            <w:pPr>
              <w:tabs>
                <w:tab w:val="left" w:pos="900"/>
              </w:tabs>
              <w:adjustRightInd w:val="0"/>
              <w:snapToGrid w:val="0"/>
              <w:ind w:firstLine="482" w:firstLineChars="200"/>
              <w:rPr>
                <w:rFonts w:hint="default" w:ascii="Times New Roman" w:hAnsi="Times New Roman" w:cs="Times New Roman"/>
                <w:b/>
                <w:bCs/>
                <w:color w:val="auto"/>
              </w:rPr>
            </w:pPr>
            <w:r>
              <w:rPr>
                <w:rFonts w:hint="eastAsia" w:cs="Times New Roman"/>
                <w:b/>
                <w:bCs/>
                <w:color w:val="auto"/>
                <w:lang w:val="en-US" w:eastAsia="zh-CN"/>
              </w:rPr>
              <w:t>八</w:t>
            </w:r>
            <w:r>
              <w:rPr>
                <w:rFonts w:hint="default" w:ascii="Times New Roman" w:hAnsi="Times New Roman" w:cs="Times New Roman"/>
                <w:b/>
                <w:bCs/>
                <w:color w:val="auto"/>
              </w:rPr>
              <w:t>、电磁辐射</w:t>
            </w:r>
          </w:p>
          <w:p w14:paraId="18DCEC51">
            <w:pPr>
              <w:ind w:firstLine="48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本项目不涉及电磁辐射。</w:t>
            </w:r>
          </w:p>
          <w:p w14:paraId="58BF4505">
            <w:pPr>
              <w:rPr>
                <w:rFonts w:hint="default" w:ascii="Times New Roman" w:hAnsi="Times New Roman" w:cs="Times New Roman"/>
                <w:color w:val="auto"/>
                <w:lang w:eastAsia="zh-CN"/>
              </w:rPr>
            </w:pPr>
          </w:p>
          <w:p w14:paraId="0AEBE17C">
            <w:pPr>
              <w:rPr>
                <w:rFonts w:hint="default" w:ascii="Times New Roman" w:hAnsi="Times New Roman" w:cs="Times New Roman"/>
                <w:color w:val="auto"/>
                <w:lang w:eastAsia="zh-CN"/>
              </w:rPr>
            </w:pPr>
          </w:p>
          <w:p w14:paraId="34FAFB52">
            <w:pPr>
              <w:rPr>
                <w:rFonts w:hint="default" w:ascii="Times New Roman" w:hAnsi="Times New Roman" w:cs="Times New Roman"/>
                <w:color w:val="auto"/>
                <w:lang w:eastAsia="zh-CN"/>
              </w:rPr>
            </w:pPr>
          </w:p>
          <w:p w14:paraId="4254FA33">
            <w:pPr>
              <w:rPr>
                <w:rFonts w:hint="default" w:ascii="Times New Roman" w:hAnsi="Times New Roman" w:cs="Times New Roman"/>
                <w:color w:val="auto"/>
                <w:lang w:eastAsia="zh-CN"/>
              </w:rPr>
            </w:pPr>
          </w:p>
          <w:p w14:paraId="33E311FF">
            <w:pPr>
              <w:rPr>
                <w:rFonts w:hint="default" w:ascii="Times New Roman" w:hAnsi="Times New Roman" w:cs="Times New Roman"/>
                <w:color w:val="auto"/>
                <w:lang w:eastAsia="zh-CN"/>
              </w:rPr>
            </w:pPr>
          </w:p>
          <w:p w14:paraId="36867C89">
            <w:pPr>
              <w:rPr>
                <w:rFonts w:hint="default" w:ascii="Times New Roman" w:hAnsi="Times New Roman" w:cs="Times New Roman"/>
                <w:color w:val="auto"/>
                <w:lang w:eastAsia="zh-CN"/>
              </w:rPr>
            </w:pPr>
          </w:p>
          <w:p w14:paraId="26A16C90">
            <w:pPr>
              <w:rPr>
                <w:rFonts w:hint="default" w:ascii="Times New Roman" w:hAnsi="Times New Roman" w:cs="Times New Roman"/>
                <w:color w:val="auto"/>
                <w:lang w:eastAsia="zh-CN"/>
              </w:rPr>
            </w:pPr>
          </w:p>
          <w:p w14:paraId="4B94274C">
            <w:pPr>
              <w:rPr>
                <w:rFonts w:hint="default" w:ascii="Times New Roman" w:hAnsi="Times New Roman" w:cs="Times New Roman"/>
                <w:color w:val="auto"/>
                <w:lang w:eastAsia="zh-CN"/>
              </w:rPr>
            </w:pPr>
          </w:p>
          <w:p w14:paraId="5E2E53E0">
            <w:pPr>
              <w:rPr>
                <w:rFonts w:hint="default" w:ascii="Times New Roman" w:hAnsi="Times New Roman" w:cs="Times New Roman"/>
                <w:color w:val="auto"/>
                <w:lang w:eastAsia="zh-CN"/>
              </w:rPr>
            </w:pPr>
          </w:p>
          <w:p w14:paraId="76E02F46">
            <w:pPr>
              <w:rPr>
                <w:rFonts w:hint="default" w:ascii="Times New Roman" w:hAnsi="Times New Roman" w:cs="Times New Roman"/>
                <w:color w:val="auto"/>
                <w:lang w:eastAsia="zh-CN"/>
              </w:rPr>
            </w:pPr>
          </w:p>
          <w:p w14:paraId="7E233174">
            <w:pPr>
              <w:rPr>
                <w:rFonts w:hint="default" w:ascii="Times New Roman" w:hAnsi="Times New Roman" w:cs="Times New Roman"/>
                <w:color w:val="auto"/>
                <w:lang w:eastAsia="zh-CN"/>
              </w:rPr>
            </w:pPr>
          </w:p>
          <w:p w14:paraId="62D54773">
            <w:pPr>
              <w:rPr>
                <w:rFonts w:hint="default" w:ascii="Times New Roman" w:hAnsi="Times New Roman" w:cs="Times New Roman"/>
                <w:color w:val="auto"/>
                <w:lang w:eastAsia="zh-CN"/>
              </w:rPr>
            </w:pPr>
          </w:p>
          <w:p w14:paraId="11C5E446">
            <w:pPr>
              <w:rPr>
                <w:rFonts w:hint="default" w:ascii="Times New Roman" w:hAnsi="Times New Roman" w:cs="Times New Roman"/>
                <w:color w:val="auto"/>
                <w:lang w:eastAsia="zh-CN"/>
              </w:rPr>
            </w:pPr>
          </w:p>
          <w:p w14:paraId="6D86FBFC">
            <w:pPr>
              <w:rPr>
                <w:rFonts w:hint="default" w:ascii="Times New Roman" w:hAnsi="Times New Roman" w:cs="Times New Roman"/>
                <w:color w:val="auto"/>
                <w:lang w:eastAsia="zh-CN"/>
              </w:rPr>
            </w:pPr>
          </w:p>
          <w:p w14:paraId="2191761A">
            <w:pPr>
              <w:rPr>
                <w:rFonts w:hint="default" w:ascii="Times New Roman" w:hAnsi="Times New Roman" w:cs="Times New Roman"/>
                <w:color w:val="auto"/>
                <w:lang w:eastAsia="zh-CN"/>
              </w:rPr>
            </w:pPr>
          </w:p>
          <w:p w14:paraId="0278409E">
            <w:pPr>
              <w:rPr>
                <w:rFonts w:hint="default" w:ascii="Times New Roman" w:hAnsi="Times New Roman" w:eastAsia="宋体" w:cs="Times New Roman"/>
                <w:color w:val="auto"/>
                <w:lang w:eastAsia="zh-CN"/>
              </w:rPr>
            </w:pPr>
          </w:p>
        </w:tc>
      </w:tr>
    </w:tbl>
    <w:p w14:paraId="28FDCAE1">
      <w:pPr>
        <w:pStyle w:val="19"/>
        <w:ind w:left="0" w:leftChars="0" w:firstLine="0" w:firstLineChars="0"/>
        <w:rPr>
          <w:rFonts w:hint="default" w:ascii="Times New Roman" w:hAnsi="Times New Roman"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11E6E34">
      <w:pPr>
        <w:pStyle w:val="3"/>
        <w:bidi w:val="0"/>
        <w:rPr>
          <w:rFonts w:hint="default" w:ascii="Times New Roman" w:hAnsi="Times New Roman" w:cs="Times New Roman"/>
          <w:color w:val="auto"/>
        </w:rPr>
      </w:pPr>
      <w:r>
        <w:rPr>
          <w:rFonts w:hint="default" w:ascii="Times New Roman" w:hAnsi="Times New Roman" w:cs="Times New Roman"/>
          <w:color w:val="auto"/>
        </w:rPr>
        <w:t>五、环境保护措施监督检查清单</w:t>
      </w:r>
    </w:p>
    <w:tbl>
      <w:tblPr>
        <w:tblStyle w:val="31"/>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980"/>
        <w:gridCol w:w="1647"/>
        <w:gridCol w:w="1455"/>
        <w:gridCol w:w="3018"/>
      </w:tblGrid>
      <w:tr w14:paraId="24B73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top"/>
          </w:tcPr>
          <w:p w14:paraId="5A015F79">
            <w:pPr>
              <w:adjustRightInd w:val="0"/>
              <w:snapToGrid w:val="0"/>
              <w:spacing w:line="240" w:lineRule="auto"/>
              <w:rPr>
                <w:rFonts w:hint="default" w:ascii="Times New Roman" w:hAnsi="Times New Roman" w:cs="Times New Roman"/>
                <w:b/>
                <w:bCs/>
                <w:color w:val="auto"/>
                <w:sz w:val="21"/>
              </w:rPr>
            </w:pPr>
            <w:r>
              <w:rPr>
                <w:rFonts w:hint="default" w:ascii="Times New Roman" w:hAnsi="Times New Roman" w:cs="Times New Roman"/>
                <w:color w:val="auto"/>
                <w:sz w:val="21"/>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-4445</wp:posOffset>
                      </wp:positionV>
                      <wp:extent cx="591820" cy="476885"/>
                      <wp:effectExtent l="3175" t="3810" r="14605" b="14605"/>
                      <wp:wrapNone/>
                      <wp:docPr id="1" name="直接连接符 1"/>
                      <wp:cNvGraphicFramePr/>
                      <a:graphic xmlns:a="http://schemas.openxmlformats.org/drawingml/2006/main">
                        <a:graphicData uri="http://schemas.microsoft.com/office/word/2010/wordprocessingShape">
                          <wps:wsp>
                            <wps:cNvCnPr/>
                            <wps:spPr>
                              <a:xfrm>
                                <a:off x="0" y="0"/>
                                <a:ext cx="591820" cy="47688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1" o:spid="_x0000_s1026" o:spt="32" type="#_x0000_t32" style="position:absolute;left:0pt;margin-left:-4.35pt;margin-top:-0.35pt;height:37.55pt;width:46.6pt;z-index:251659264;mso-width-relative:page;mso-height-relative:page;" filled="f" stroked="t" coordsize="21600,21600" o:gfxdata="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t8Fs1QAAAAYBAAAPAAAAAAAAAAEAIAAAACIAAABkcnMvZG93bnJldi54&#10;bWxQSwECFAAUAAAACACHTuJACc5QCv0BAAD0AwAADgAAAAAAAAABACAAAAAkAQAAZHJzL2Uyb0Rv&#10;Yy54bWxQSwUGAAAAAAYABgBZAQAAkwUAAAAA&#10;">
                      <v:fill on="f" focussize="0,0"/>
                      <v:stroke color="#000000" joinstyle="round"/>
                      <v:imagedata o:title=""/>
                      <o:lock v:ext="edit" aspectratio="f"/>
                    </v:shape>
                  </w:pict>
                </mc:Fallback>
              </mc:AlternateContent>
            </w:r>
            <w:r>
              <w:rPr>
                <w:rFonts w:hint="default" w:ascii="Times New Roman" w:hAnsi="Times New Roman" w:cs="Times New Roman"/>
                <w:b/>
                <w:bCs/>
                <w:color w:val="auto"/>
                <w:sz w:val="21"/>
              </w:rPr>
              <w:t>内容</w:t>
            </w:r>
          </w:p>
          <w:p w14:paraId="6E4C616E">
            <w:pPr>
              <w:adjustRightInd w:val="0"/>
              <w:snapToGrid w:val="0"/>
              <w:spacing w:line="240" w:lineRule="auto"/>
              <w:rPr>
                <w:rFonts w:hint="default" w:ascii="Times New Roman" w:hAnsi="Times New Roman" w:cs="Times New Roman"/>
                <w:b/>
                <w:bCs/>
                <w:color w:val="auto"/>
                <w:sz w:val="21"/>
              </w:rPr>
            </w:pPr>
          </w:p>
          <w:p w14:paraId="6FE7C566">
            <w:pPr>
              <w:adjustRightInd w:val="0"/>
              <w:snapToGrid w:val="0"/>
              <w:spacing w:line="240" w:lineRule="auto"/>
              <w:rPr>
                <w:rFonts w:hint="default" w:ascii="Times New Roman" w:hAnsi="Times New Roman" w:cs="Times New Roman"/>
                <w:b/>
                <w:bCs/>
                <w:color w:val="auto"/>
                <w:sz w:val="21"/>
              </w:rPr>
            </w:pPr>
            <w:r>
              <w:rPr>
                <w:rFonts w:hint="default" w:ascii="Times New Roman" w:hAnsi="Times New Roman" w:cs="Times New Roman"/>
                <w:b/>
                <w:bCs/>
                <w:color w:val="auto"/>
                <w:sz w:val="21"/>
              </w:rPr>
              <w:t>要素</w:t>
            </w:r>
          </w:p>
        </w:tc>
        <w:tc>
          <w:tcPr>
            <w:tcW w:w="1980" w:type="dxa"/>
            <w:noWrap w:val="0"/>
            <w:vAlign w:val="center"/>
          </w:tcPr>
          <w:p w14:paraId="51C8658E">
            <w:pPr>
              <w:adjustRightInd w:val="0"/>
              <w:snapToGrid w:val="0"/>
              <w:spacing w:line="240" w:lineRule="auto"/>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排放口（编号、名称）/污染源</w:t>
            </w:r>
          </w:p>
        </w:tc>
        <w:tc>
          <w:tcPr>
            <w:tcW w:w="1647" w:type="dxa"/>
            <w:noWrap w:val="0"/>
            <w:vAlign w:val="center"/>
          </w:tcPr>
          <w:p w14:paraId="54967C34">
            <w:pPr>
              <w:adjustRightInd w:val="0"/>
              <w:snapToGrid w:val="0"/>
              <w:spacing w:line="240" w:lineRule="auto"/>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污染物项目</w:t>
            </w:r>
          </w:p>
        </w:tc>
        <w:tc>
          <w:tcPr>
            <w:tcW w:w="1455" w:type="dxa"/>
            <w:noWrap w:val="0"/>
            <w:vAlign w:val="center"/>
          </w:tcPr>
          <w:p w14:paraId="5A89F0F0">
            <w:pPr>
              <w:adjustRightInd w:val="0"/>
              <w:snapToGrid w:val="0"/>
              <w:spacing w:line="240" w:lineRule="auto"/>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环境保护措施</w:t>
            </w:r>
          </w:p>
        </w:tc>
        <w:tc>
          <w:tcPr>
            <w:tcW w:w="3018" w:type="dxa"/>
            <w:noWrap w:val="0"/>
            <w:vAlign w:val="center"/>
          </w:tcPr>
          <w:p w14:paraId="15D398C7">
            <w:pPr>
              <w:adjustRightInd w:val="0"/>
              <w:snapToGrid w:val="0"/>
              <w:spacing w:line="240" w:lineRule="auto"/>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执行标准</w:t>
            </w:r>
          </w:p>
        </w:tc>
      </w:tr>
      <w:tr w14:paraId="31E38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restart"/>
            <w:noWrap w:val="0"/>
            <w:vAlign w:val="center"/>
          </w:tcPr>
          <w:p w14:paraId="65BFE3DC">
            <w:pPr>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lang w:val="en-US" w:eastAsia="zh-CN"/>
              </w:rPr>
              <w:t>大气环境</w:t>
            </w:r>
          </w:p>
        </w:tc>
        <w:tc>
          <w:tcPr>
            <w:tcW w:w="1980" w:type="dxa"/>
            <w:vMerge w:val="restart"/>
            <w:noWrap w:val="0"/>
            <w:vAlign w:val="center"/>
          </w:tcPr>
          <w:p w14:paraId="6C97BA11">
            <w:pPr>
              <w:pStyle w:val="4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DA027窑尾废气排气筒</w:t>
            </w:r>
          </w:p>
        </w:tc>
        <w:tc>
          <w:tcPr>
            <w:tcW w:w="1647" w:type="dxa"/>
            <w:noWrap w:val="0"/>
            <w:vAlign w:val="center"/>
          </w:tcPr>
          <w:p w14:paraId="7A4A7E0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455" w:type="dxa"/>
            <w:vMerge w:val="restart"/>
            <w:noWrap w:val="0"/>
            <w:vAlign w:val="center"/>
          </w:tcPr>
          <w:p w14:paraId="55253B0A">
            <w:pPr>
              <w:adjustRightInd w:val="0"/>
              <w:snapToGrid w:val="0"/>
              <w:spacing w:line="240" w:lineRule="auto"/>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低氮燃烧+高温+碱性环境+SCR+袋式除尘器（依托现有）</w:t>
            </w:r>
          </w:p>
        </w:tc>
        <w:tc>
          <w:tcPr>
            <w:tcW w:w="3018" w:type="dxa"/>
            <w:vMerge w:val="restart"/>
            <w:noWrap w:val="0"/>
            <w:vAlign w:val="center"/>
          </w:tcPr>
          <w:p w14:paraId="311AB0DC">
            <w:pPr>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《建材工业大气污染物排放标准》（DB37/2373-2018）表2一般控制区标准</w:t>
            </w:r>
          </w:p>
        </w:tc>
      </w:tr>
      <w:tr w14:paraId="67113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627AA9D5">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10962E9D">
            <w:pPr>
              <w:pStyle w:val="46"/>
              <w:rPr>
                <w:rFonts w:hint="default" w:ascii="Times New Roman" w:hAnsi="Times New Roman" w:cs="Times New Roman"/>
                <w:color w:val="auto"/>
                <w:lang w:val="en-US" w:eastAsia="zh-CN"/>
              </w:rPr>
            </w:pPr>
          </w:p>
        </w:tc>
        <w:tc>
          <w:tcPr>
            <w:tcW w:w="1647" w:type="dxa"/>
            <w:noWrap w:val="0"/>
            <w:vAlign w:val="center"/>
          </w:tcPr>
          <w:p w14:paraId="162739C6">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1455" w:type="dxa"/>
            <w:vMerge w:val="continue"/>
            <w:noWrap w:val="0"/>
            <w:vAlign w:val="center"/>
          </w:tcPr>
          <w:p w14:paraId="3408F217">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5C267F66">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74E35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69746DBF">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393650B0">
            <w:pPr>
              <w:pStyle w:val="46"/>
              <w:rPr>
                <w:rFonts w:hint="default" w:ascii="Times New Roman" w:hAnsi="Times New Roman" w:cs="Times New Roman"/>
                <w:color w:val="auto"/>
                <w:lang w:val="en-US" w:eastAsia="zh-CN"/>
              </w:rPr>
            </w:pPr>
          </w:p>
        </w:tc>
        <w:tc>
          <w:tcPr>
            <w:tcW w:w="1647" w:type="dxa"/>
            <w:noWrap w:val="0"/>
            <w:vAlign w:val="center"/>
          </w:tcPr>
          <w:p w14:paraId="3D02A89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NOx</w:t>
            </w:r>
          </w:p>
        </w:tc>
        <w:tc>
          <w:tcPr>
            <w:tcW w:w="1455" w:type="dxa"/>
            <w:vMerge w:val="continue"/>
            <w:noWrap w:val="0"/>
            <w:vAlign w:val="center"/>
          </w:tcPr>
          <w:p w14:paraId="45135361">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614720DC">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58E2B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3D717C07">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75581445">
            <w:pPr>
              <w:pStyle w:val="46"/>
              <w:rPr>
                <w:rFonts w:hint="default" w:ascii="Times New Roman" w:hAnsi="Times New Roman" w:cs="Times New Roman"/>
                <w:color w:val="auto"/>
                <w:lang w:val="en-US" w:eastAsia="zh-CN"/>
              </w:rPr>
            </w:pPr>
          </w:p>
        </w:tc>
        <w:tc>
          <w:tcPr>
            <w:tcW w:w="1647" w:type="dxa"/>
            <w:noWrap w:val="0"/>
            <w:vAlign w:val="center"/>
          </w:tcPr>
          <w:p w14:paraId="072318CC">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p>
        </w:tc>
        <w:tc>
          <w:tcPr>
            <w:tcW w:w="1455" w:type="dxa"/>
            <w:vMerge w:val="continue"/>
            <w:noWrap w:val="0"/>
            <w:vAlign w:val="center"/>
          </w:tcPr>
          <w:p w14:paraId="1714D2D6">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19C81FD6">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2D28F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5185B502">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092319B2">
            <w:pPr>
              <w:pStyle w:val="46"/>
              <w:rPr>
                <w:rFonts w:hint="default" w:ascii="Times New Roman" w:hAnsi="Times New Roman" w:cs="Times New Roman"/>
                <w:color w:val="auto"/>
                <w:lang w:val="en-US" w:eastAsia="zh-CN"/>
              </w:rPr>
            </w:pPr>
          </w:p>
        </w:tc>
        <w:tc>
          <w:tcPr>
            <w:tcW w:w="1647" w:type="dxa"/>
            <w:noWrap w:val="0"/>
            <w:vAlign w:val="center"/>
          </w:tcPr>
          <w:p w14:paraId="57932F4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HCl</w:t>
            </w:r>
          </w:p>
        </w:tc>
        <w:tc>
          <w:tcPr>
            <w:tcW w:w="1455" w:type="dxa"/>
            <w:vMerge w:val="continue"/>
            <w:noWrap w:val="0"/>
            <w:vAlign w:val="center"/>
          </w:tcPr>
          <w:p w14:paraId="54CAF033">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restart"/>
            <w:noWrap w:val="0"/>
            <w:vAlign w:val="center"/>
          </w:tcPr>
          <w:p w14:paraId="1E7CE656">
            <w:pPr>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《水泥窑协同处置固体废物污染物控制标准》（GB30485-2013）</w:t>
            </w:r>
          </w:p>
        </w:tc>
      </w:tr>
      <w:tr w14:paraId="73533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0D47187F">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6E8B7CA3">
            <w:pPr>
              <w:pStyle w:val="46"/>
              <w:rPr>
                <w:rFonts w:hint="default" w:ascii="Times New Roman" w:hAnsi="Times New Roman" w:cs="Times New Roman"/>
                <w:color w:val="auto"/>
                <w:lang w:val="en-US" w:eastAsia="zh-CN"/>
              </w:rPr>
            </w:pPr>
          </w:p>
        </w:tc>
        <w:tc>
          <w:tcPr>
            <w:tcW w:w="1647" w:type="dxa"/>
            <w:noWrap w:val="0"/>
            <w:vAlign w:val="center"/>
          </w:tcPr>
          <w:p w14:paraId="7C6B218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HF</w:t>
            </w:r>
          </w:p>
        </w:tc>
        <w:tc>
          <w:tcPr>
            <w:tcW w:w="1455" w:type="dxa"/>
            <w:vMerge w:val="continue"/>
            <w:noWrap w:val="0"/>
            <w:vAlign w:val="center"/>
          </w:tcPr>
          <w:p w14:paraId="3A04B595">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112EFA16">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4C00F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3081D275">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733C0FF3">
            <w:pPr>
              <w:pStyle w:val="46"/>
              <w:rPr>
                <w:rFonts w:hint="default" w:ascii="Times New Roman" w:hAnsi="Times New Roman" w:cs="Times New Roman"/>
                <w:color w:val="auto"/>
                <w:lang w:val="en-US" w:eastAsia="zh-CN"/>
              </w:rPr>
            </w:pPr>
          </w:p>
        </w:tc>
        <w:tc>
          <w:tcPr>
            <w:tcW w:w="1647" w:type="dxa"/>
            <w:noWrap w:val="0"/>
            <w:vAlign w:val="center"/>
          </w:tcPr>
          <w:p w14:paraId="61F53030">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汞及其化合物</w:t>
            </w:r>
          </w:p>
        </w:tc>
        <w:tc>
          <w:tcPr>
            <w:tcW w:w="1455" w:type="dxa"/>
            <w:vMerge w:val="continue"/>
            <w:noWrap w:val="0"/>
            <w:vAlign w:val="center"/>
          </w:tcPr>
          <w:p w14:paraId="6D3EA946">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0F67658F">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48BA4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7A23CC4A">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62C54619">
            <w:pPr>
              <w:pStyle w:val="46"/>
              <w:rPr>
                <w:rFonts w:hint="default" w:ascii="Times New Roman" w:hAnsi="Times New Roman" w:cs="Times New Roman"/>
                <w:color w:val="auto"/>
                <w:lang w:val="en-US" w:eastAsia="zh-CN"/>
              </w:rPr>
            </w:pPr>
          </w:p>
        </w:tc>
        <w:tc>
          <w:tcPr>
            <w:tcW w:w="1647" w:type="dxa"/>
            <w:noWrap w:val="0"/>
            <w:vAlign w:val="center"/>
          </w:tcPr>
          <w:p w14:paraId="55F155A2">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铊、镉、铅、砷及其化合物</w:t>
            </w:r>
          </w:p>
        </w:tc>
        <w:tc>
          <w:tcPr>
            <w:tcW w:w="1455" w:type="dxa"/>
            <w:vMerge w:val="continue"/>
            <w:noWrap w:val="0"/>
            <w:vAlign w:val="center"/>
          </w:tcPr>
          <w:p w14:paraId="3C1146C0">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5991AC20">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00157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20DC4885">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3F82DBF6">
            <w:pPr>
              <w:pStyle w:val="46"/>
              <w:rPr>
                <w:rFonts w:hint="default" w:ascii="Times New Roman" w:hAnsi="Times New Roman" w:cs="Times New Roman"/>
                <w:color w:val="auto"/>
                <w:lang w:val="en-US" w:eastAsia="zh-CN"/>
              </w:rPr>
            </w:pPr>
          </w:p>
        </w:tc>
        <w:tc>
          <w:tcPr>
            <w:tcW w:w="1647" w:type="dxa"/>
            <w:noWrap w:val="0"/>
            <w:vAlign w:val="center"/>
          </w:tcPr>
          <w:p w14:paraId="0FDE85E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eastAsia="zh-CN"/>
              </w:rPr>
              <w:t>铍、铬、锡、锑、铜、钴、锰、镍、钒及其化合物</w:t>
            </w:r>
          </w:p>
        </w:tc>
        <w:tc>
          <w:tcPr>
            <w:tcW w:w="1455" w:type="dxa"/>
            <w:vMerge w:val="continue"/>
            <w:noWrap w:val="0"/>
            <w:vAlign w:val="center"/>
          </w:tcPr>
          <w:p w14:paraId="7BD73756">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44EDB1F0">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6C0E2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7BF63400">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vMerge w:val="continue"/>
            <w:noWrap w:val="0"/>
            <w:vAlign w:val="center"/>
          </w:tcPr>
          <w:p w14:paraId="3FA4B576">
            <w:pPr>
              <w:pStyle w:val="46"/>
              <w:rPr>
                <w:rFonts w:hint="default" w:ascii="Times New Roman" w:hAnsi="Times New Roman" w:cs="Times New Roman"/>
                <w:color w:val="auto"/>
                <w:lang w:val="en-US" w:eastAsia="zh-CN"/>
              </w:rPr>
            </w:pPr>
          </w:p>
        </w:tc>
        <w:tc>
          <w:tcPr>
            <w:tcW w:w="1647" w:type="dxa"/>
            <w:noWrap w:val="0"/>
            <w:vAlign w:val="center"/>
          </w:tcPr>
          <w:p w14:paraId="37D7936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二噁英</w:t>
            </w:r>
          </w:p>
        </w:tc>
        <w:tc>
          <w:tcPr>
            <w:tcW w:w="1455" w:type="dxa"/>
            <w:vMerge w:val="continue"/>
            <w:noWrap w:val="0"/>
            <w:vAlign w:val="center"/>
          </w:tcPr>
          <w:p w14:paraId="3A2D462D">
            <w:pPr>
              <w:adjustRightInd w:val="0"/>
              <w:snapToGrid w:val="0"/>
              <w:spacing w:line="240" w:lineRule="auto"/>
              <w:jc w:val="center"/>
              <w:rPr>
                <w:rFonts w:hint="default" w:ascii="Times New Roman" w:hAnsi="Times New Roman" w:cs="Times New Roman"/>
                <w:color w:val="auto"/>
                <w:sz w:val="21"/>
                <w:lang w:val="en-US" w:eastAsia="zh-CN"/>
              </w:rPr>
            </w:pPr>
          </w:p>
        </w:tc>
        <w:tc>
          <w:tcPr>
            <w:tcW w:w="3018" w:type="dxa"/>
            <w:vMerge w:val="continue"/>
            <w:noWrap w:val="0"/>
            <w:vAlign w:val="center"/>
          </w:tcPr>
          <w:p w14:paraId="13E7DC1D">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0968C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7B60C360">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7421C2E3">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DA091煤矸石地坑收尘排放口</w:t>
            </w:r>
          </w:p>
        </w:tc>
        <w:tc>
          <w:tcPr>
            <w:tcW w:w="1647" w:type="dxa"/>
            <w:noWrap w:val="0"/>
            <w:vAlign w:val="center"/>
          </w:tcPr>
          <w:p w14:paraId="7EA220AA">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40C24F9E">
            <w:pPr>
              <w:adjustRightInd w:val="0"/>
              <w:snapToGrid w:val="0"/>
              <w:spacing w:line="240" w:lineRule="auto"/>
              <w:jc w:val="center"/>
              <w:rPr>
                <w:rFonts w:hint="default" w:ascii="Times New Roman" w:hAnsi="Times New Roman"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restart"/>
            <w:noWrap w:val="0"/>
            <w:vAlign w:val="center"/>
          </w:tcPr>
          <w:p w14:paraId="6A7F1E1F">
            <w:pPr>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《水泥工业大气污染物排放标准》（</w:t>
            </w:r>
            <w:r>
              <w:rPr>
                <w:rFonts w:hint="eastAsia" w:cs="Times New Roman"/>
                <w:color w:val="auto"/>
                <w:sz w:val="21"/>
                <w:lang w:val="en-US" w:eastAsia="zh-CN"/>
              </w:rPr>
              <w:t>G</w:t>
            </w:r>
            <w:r>
              <w:rPr>
                <w:rFonts w:hint="default" w:ascii="Times New Roman" w:hAnsi="Times New Roman" w:eastAsia="宋体" w:cs="Times New Roman"/>
                <w:color w:val="auto"/>
                <w:sz w:val="21"/>
                <w:lang w:val="en-US" w:eastAsia="zh-CN"/>
              </w:rPr>
              <w:t>B4915-201</w:t>
            </w:r>
            <w:r>
              <w:rPr>
                <w:rFonts w:hint="default" w:ascii="Times New Roman" w:hAnsi="Times New Roman" w:cs="Times New Roman"/>
                <w:color w:val="auto"/>
                <w:sz w:val="21"/>
                <w:lang w:val="en-US" w:eastAsia="zh-CN"/>
              </w:rPr>
              <w:t>3</w:t>
            </w:r>
            <w:r>
              <w:rPr>
                <w:rFonts w:hint="default" w:ascii="Times New Roman" w:hAnsi="Times New Roman" w:eastAsia="宋体" w:cs="Times New Roman"/>
                <w:color w:val="auto"/>
                <w:sz w:val="21"/>
                <w:lang w:val="en-US" w:eastAsia="zh-CN"/>
              </w:rPr>
              <w:t>））表2</w:t>
            </w:r>
          </w:p>
        </w:tc>
      </w:tr>
      <w:tr w14:paraId="331BE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3471FDFD">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5EE08196">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DA131原材料入库北侧收尘器排放口</w:t>
            </w:r>
          </w:p>
        </w:tc>
        <w:tc>
          <w:tcPr>
            <w:tcW w:w="1647" w:type="dxa"/>
            <w:noWrap w:val="0"/>
            <w:vAlign w:val="center"/>
          </w:tcPr>
          <w:p w14:paraId="76E77B70">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00D934ED">
            <w:pPr>
              <w:adjustRightInd w:val="0"/>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continue"/>
            <w:noWrap w:val="0"/>
            <w:vAlign w:val="center"/>
          </w:tcPr>
          <w:p w14:paraId="233FCC2F">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145E8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6837181E">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10A9C9D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DA132石膏粉料下料口</w:t>
            </w:r>
          </w:p>
        </w:tc>
        <w:tc>
          <w:tcPr>
            <w:tcW w:w="1647" w:type="dxa"/>
            <w:noWrap w:val="0"/>
            <w:vAlign w:val="center"/>
          </w:tcPr>
          <w:p w14:paraId="0953515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3B5EFF50">
            <w:pPr>
              <w:adjustRightInd w:val="0"/>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continue"/>
            <w:noWrap w:val="0"/>
            <w:vAlign w:val="center"/>
          </w:tcPr>
          <w:p w14:paraId="3E38E2EC">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13DC1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0E8DD92C">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3431AD4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DA133</w:t>
            </w:r>
            <w:r>
              <w:rPr>
                <w:kern w:val="2"/>
                <w:sz w:val="21"/>
                <w:lang w:val="en-US" w:eastAsia="zh-CN" w:bidi="ar-SA"/>
              </w:rPr>
              <w:t>原材料入库西侧收尘器</w:t>
            </w:r>
            <w:r>
              <w:rPr>
                <w:rFonts w:hint="eastAsia"/>
                <w:kern w:val="2"/>
                <w:sz w:val="21"/>
                <w:lang w:val="en-US" w:eastAsia="zh-CN" w:bidi="ar-SA"/>
              </w:rPr>
              <w:t>排放口</w:t>
            </w:r>
          </w:p>
        </w:tc>
        <w:tc>
          <w:tcPr>
            <w:tcW w:w="1647" w:type="dxa"/>
            <w:noWrap w:val="0"/>
            <w:vAlign w:val="center"/>
          </w:tcPr>
          <w:p w14:paraId="02FCC32F">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01287C15">
            <w:pPr>
              <w:adjustRightInd w:val="0"/>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continue"/>
            <w:noWrap w:val="0"/>
            <w:vAlign w:val="center"/>
          </w:tcPr>
          <w:p w14:paraId="1AAE4693">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5F8B6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0B96EC31">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54D699D4">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DA134</w:t>
            </w:r>
            <w:r>
              <w:rPr>
                <w:kern w:val="2"/>
                <w:sz w:val="21"/>
                <w:lang w:val="en-US" w:eastAsia="zh-CN" w:bidi="ar-SA"/>
              </w:rPr>
              <w:t>原材料入库转运收尘器</w:t>
            </w:r>
            <w:r>
              <w:rPr>
                <w:rFonts w:hint="eastAsia"/>
                <w:kern w:val="2"/>
                <w:sz w:val="21"/>
                <w:lang w:val="en-US" w:eastAsia="zh-CN" w:bidi="ar-SA"/>
              </w:rPr>
              <w:t>排放口</w:t>
            </w:r>
          </w:p>
        </w:tc>
        <w:tc>
          <w:tcPr>
            <w:tcW w:w="1647" w:type="dxa"/>
            <w:noWrap w:val="0"/>
            <w:vAlign w:val="center"/>
          </w:tcPr>
          <w:p w14:paraId="3C432A87">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3645A799">
            <w:pPr>
              <w:adjustRightInd w:val="0"/>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continue"/>
            <w:noWrap w:val="0"/>
            <w:vAlign w:val="center"/>
          </w:tcPr>
          <w:p w14:paraId="2CB15C8A">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16DF7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34BE44C3">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4BF0A7AD">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DA135原材料下料口收尘器排放口</w:t>
            </w:r>
          </w:p>
        </w:tc>
        <w:tc>
          <w:tcPr>
            <w:tcW w:w="1647" w:type="dxa"/>
            <w:noWrap w:val="0"/>
            <w:vAlign w:val="center"/>
          </w:tcPr>
          <w:p w14:paraId="7A961DD1">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0B5EF3FB">
            <w:pPr>
              <w:adjustRightInd w:val="0"/>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continue"/>
            <w:noWrap w:val="0"/>
            <w:vAlign w:val="center"/>
          </w:tcPr>
          <w:p w14:paraId="728FB7B3">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3D06D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10A0C7A3">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410C6BC0">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DA196煤粉仓收尘器排放口</w:t>
            </w:r>
          </w:p>
        </w:tc>
        <w:tc>
          <w:tcPr>
            <w:tcW w:w="1647" w:type="dxa"/>
            <w:noWrap w:val="0"/>
            <w:vAlign w:val="center"/>
          </w:tcPr>
          <w:p w14:paraId="3F8E5AD9">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40E9956D">
            <w:pPr>
              <w:adjustRightInd w:val="0"/>
              <w:snapToGrid w:val="0"/>
              <w:spacing w:line="240" w:lineRule="auto"/>
              <w:jc w:val="center"/>
              <w:rPr>
                <w:rFonts w:hint="eastAsia" w:cs="Times New Roman"/>
                <w:color w:val="auto"/>
                <w:sz w:val="21"/>
                <w:lang w:val="en-US" w:eastAsia="zh-CN"/>
              </w:rPr>
            </w:pPr>
            <w:r>
              <w:rPr>
                <w:rFonts w:hint="eastAsia" w:cs="Times New Roman"/>
                <w:color w:val="auto"/>
                <w:sz w:val="21"/>
                <w:lang w:val="en-US" w:eastAsia="zh-CN"/>
              </w:rPr>
              <w:t>袋式</w:t>
            </w:r>
            <w:r>
              <w:rPr>
                <w:rFonts w:hint="default" w:ascii="Times New Roman" w:hAnsi="Times New Roman" w:cs="Times New Roman"/>
                <w:color w:val="auto"/>
                <w:sz w:val="21"/>
                <w:lang w:val="en-US" w:eastAsia="zh-CN"/>
              </w:rPr>
              <w:t>除尘器</w:t>
            </w:r>
          </w:p>
        </w:tc>
        <w:tc>
          <w:tcPr>
            <w:tcW w:w="3018" w:type="dxa"/>
            <w:vMerge w:val="continue"/>
            <w:noWrap w:val="0"/>
            <w:vAlign w:val="center"/>
          </w:tcPr>
          <w:p w14:paraId="6F0A5CE0">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67FEA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vMerge w:val="continue"/>
            <w:noWrap w:val="0"/>
            <w:vAlign w:val="center"/>
          </w:tcPr>
          <w:p w14:paraId="2E69BB9E">
            <w:pPr>
              <w:adjustRightInd w:val="0"/>
              <w:snapToGrid w:val="0"/>
              <w:spacing w:line="240" w:lineRule="auto"/>
              <w:jc w:val="center"/>
              <w:rPr>
                <w:rFonts w:hint="default" w:ascii="Times New Roman" w:hAnsi="Times New Roman" w:cs="Times New Roman"/>
                <w:color w:val="auto"/>
                <w:sz w:val="21"/>
                <w:lang w:val="en-US" w:eastAsia="zh-CN"/>
              </w:rPr>
            </w:pPr>
          </w:p>
        </w:tc>
        <w:tc>
          <w:tcPr>
            <w:tcW w:w="1980" w:type="dxa"/>
            <w:shd w:val="clear" w:color="auto" w:fill="auto"/>
            <w:noWrap w:val="0"/>
            <w:vAlign w:val="center"/>
          </w:tcPr>
          <w:p w14:paraId="24FF2BBC">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cs="Times New Roman"/>
                <w:color w:val="auto"/>
                <w:sz w:val="21"/>
                <w:szCs w:val="21"/>
                <w:lang w:val="en-US" w:eastAsia="zh-CN"/>
              </w:rPr>
              <w:t>DA003RDF上料打散计量排气筒（海螺环保）</w:t>
            </w:r>
          </w:p>
        </w:tc>
        <w:tc>
          <w:tcPr>
            <w:tcW w:w="1647" w:type="dxa"/>
            <w:noWrap w:val="0"/>
            <w:vAlign w:val="center"/>
          </w:tcPr>
          <w:p w14:paraId="37044C45">
            <w:pPr>
              <w:pStyle w:val="81"/>
              <w:keepNext w:val="0"/>
              <w:keepLines w:val="0"/>
              <w:pageBreakBefore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455" w:type="dxa"/>
            <w:noWrap w:val="0"/>
            <w:vAlign w:val="center"/>
          </w:tcPr>
          <w:p w14:paraId="4F02A5FE">
            <w:pPr>
              <w:adjustRightInd w:val="0"/>
              <w:snapToGrid w:val="0"/>
              <w:spacing w:line="240" w:lineRule="auto"/>
              <w:jc w:val="center"/>
              <w:rPr>
                <w:rFonts w:hint="eastAsia" w:cs="Times New Roman"/>
                <w:color w:val="auto"/>
                <w:sz w:val="21"/>
                <w:lang w:val="en-US" w:eastAsia="zh-CN"/>
              </w:rPr>
            </w:pPr>
            <w:r>
              <w:rPr>
                <w:rFonts w:hint="default" w:ascii="Times New Roman" w:hAnsi="Times New Roman" w:eastAsia="宋体" w:cs="Times New Roman"/>
                <w:color w:val="auto"/>
                <w:kern w:val="2"/>
                <w:sz w:val="21"/>
                <w:szCs w:val="21"/>
                <w:lang w:val="en-US" w:eastAsia="zh-CN" w:bidi="ar-SA"/>
              </w:rPr>
              <w:t>袋式除尘器</w:t>
            </w:r>
          </w:p>
        </w:tc>
        <w:tc>
          <w:tcPr>
            <w:tcW w:w="3018" w:type="dxa"/>
            <w:vMerge w:val="continue"/>
            <w:noWrap w:val="0"/>
            <w:vAlign w:val="center"/>
          </w:tcPr>
          <w:p w14:paraId="3A18E200">
            <w:pPr>
              <w:adjustRightInd w:val="0"/>
              <w:snapToGrid w:val="0"/>
              <w:spacing w:line="240" w:lineRule="auto"/>
              <w:jc w:val="center"/>
              <w:rPr>
                <w:rFonts w:hint="default" w:ascii="Times New Roman" w:hAnsi="Times New Roman" w:eastAsia="宋体" w:cs="Times New Roman"/>
                <w:color w:val="auto"/>
                <w:sz w:val="21"/>
                <w:lang w:val="en-US" w:eastAsia="zh-CN"/>
              </w:rPr>
            </w:pPr>
          </w:p>
        </w:tc>
      </w:tr>
      <w:tr w14:paraId="32D8C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7B12577D">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地表水环境</w:t>
            </w:r>
          </w:p>
        </w:tc>
        <w:tc>
          <w:tcPr>
            <w:tcW w:w="8100" w:type="dxa"/>
            <w:gridSpan w:val="4"/>
            <w:noWrap w:val="0"/>
            <w:vAlign w:val="center"/>
          </w:tcPr>
          <w:p w14:paraId="253C0470">
            <w:pPr>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项目无废水产生</w:t>
            </w:r>
          </w:p>
        </w:tc>
      </w:tr>
      <w:tr w14:paraId="7A7ED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385B2873">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声环境</w:t>
            </w:r>
          </w:p>
        </w:tc>
        <w:tc>
          <w:tcPr>
            <w:tcW w:w="1980" w:type="dxa"/>
            <w:noWrap w:val="0"/>
            <w:vAlign w:val="center"/>
          </w:tcPr>
          <w:p w14:paraId="2F38BD10">
            <w:pPr>
              <w:adjustRightInd w:val="0"/>
              <w:snapToGrid w:val="0"/>
              <w:spacing w:line="240" w:lineRule="auto"/>
              <w:jc w:val="center"/>
              <w:rPr>
                <w:rFonts w:hint="default" w:ascii="Times New Roman" w:hAnsi="Times New Roman" w:eastAsia="宋体" w:cs="Times New Roman"/>
                <w:color w:val="auto"/>
                <w:sz w:val="21"/>
                <w:lang w:val="en-US" w:eastAsia="zh-CN"/>
              </w:rPr>
            </w:pPr>
            <w:r>
              <w:rPr>
                <w:rFonts w:hint="default" w:ascii="Times New Roman" w:hAnsi="Times New Roman" w:cs="Times New Roman"/>
                <w:color w:val="auto"/>
                <w:sz w:val="21"/>
                <w:lang w:val="en-US" w:eastAsia="zh-CN"/>
              </w:rPr>
              <w:t>输送机、闸板阀等</w:t>
            </w:r>
          </w:p>
        </w:tc>
        <w:tc>
          <w:tcPr>
            <w:tcW w:w="1647" w:type="dxa"/>
            <w:noWrap w:val="0"/>
            <w:vAlign w:val="center"/>
          </w:tcPr>
          <w:p w14:paraId="17E23590">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噪声</w:t>
            </w:r>
          </w:p>
        </w:tc>
        <w:tc>
          <w:tcPr>
            <w:tcW w:w="1455" w:type="dxa"/>
            <w:noWrap w:val="0"/>
            <w:vAlign w:val="center"/>
          </w:tcPr>
          <w:p w14:paraId="0458300F">
            <w:pPr>
              <w:adjustRightInd w:val="0"/>
              <w:snapToGrid w:val="0"/>
              <w:spacing w:line="240" w:lineRule="auto"/>
              <w:rPr>
                <w:rFonts w:hint="default" w:ascii="Times New Roman" w:hAnsi="Times New Roman" w:cs="Times New Roman"/>
                <w:color w:val="auto"/>
                <w:sz w:val="21"/>
              </w:rPr>
            </w:pPr>
            <w:r>
              <w:rPr>
                <w:rFonts w:hint="default" w:ascii="Times New Roman" w:hAnsi="Times New Roman" w:cs="Times New Roman"/>
                <w:bCs/>
                <w:color w:val="auto"/>
                <w:sz w:val="21"/>
              </w:rPr>
              <w:t>安装基础进行减振处理，通过车间隔声和距离衰减减少噪声排放。</w:t>
            </w:r>
          </w:p>
        </w:tc>
        <w:tc>
          <w:tcPr>
            <w:tcW w:w="3018" w:type="dxa"/>
            <w:noWrap w:val="0"/>
            <w:vAlign w:val="center"/>
          </w:tcPr>
          <w:p w14:paraId="72F1B152">
            <w:pPr>
              <w:adjustRightInd w:val="0"/>
              <w:snapToGrid w:val="0"/>
              <w:spacing w:line="240" w:lineRule="auto"/>
              <w:rPr>
                <w:rFonts w:hint="default" w:ascii="Times New Roman" w:hAnsi="Times New Roman" w:cs="Times New Roman"/>
                <w:color w:val="auto"/>
                <w:sz w:val="21"/>
              </w:rPr>
            </w:pPr>
            <w:r>
              <w:rPr>
                <w:rFonts w:hint="default" w:ascii="Times New Roman" w:hAnsi="Times New Roman" w:cs="Times New Roman"/>
                <w:color w:val="auto"/>
                <w:sz w:val="21"/>
              </w:rPr>
              <w:t>《工业企业厂界环境噪声排放标准》（GB12348--2008）</w:t>
            </w: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类标准</w:t>
            </w:r>
          </w:p>
        </w:tc>
      </w:tr>
      <w:tr w14:paraId="3CBB1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08B78640">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固体废物</w:t>
            </w:r>
          </w:p>
        </w:tc>
        <w:tc>
          <w:tcPr>
            <w:tcW w:w="3627" w:type="dxa"/>
            <w:gridSpan w:val="2"/>
            <w:noWrap w:val="0"/>
            <w:vAlign w:val="center"/>
          </w:tcPr>
          <w:p w14:paraId="56CE7BD8">
            <w:pPr>
              <w:pStyle w:val="46"/>
              <w:rPr>
                <w:rFonts w:hint="default" w:ascii="Times New Roman" w:hAnsi="Times New Roman" w:eastAsia="宋体" w:cs="Times New Roman"/>
                <w:bCs/>
                <w:color w:val="auto"/>
                <w:lang w:val="en-US" w:eastAsia="zh-CN"/>
              </w:rPr>
            </w:pPr>
            <w:r>
              <w:rPr>
                <w:rFonts w:hint="eastAsia" w:cs="Times New Roman"/>
                <w:bCs/>
                <w:color w:val="auto"/>
                <w:lang w:val="en-US" w:eastAsia="zh-CN"/>
              </w:rPr>
              <w:t>废矿物油及包装桶</w:t>
            </w:r>
          </w:p>
        </w:tc>
        <w:tc>
          <w:tcPr>
            <w:tcW w:w="1455" w:type="dxa"/>
            <w:shd w:val="clear" w:color="auto" w:fill="auto"/>
            <w:noWrap w:val="0"/>
            <w:vAlign w:val="center"/>
          </w:tcPr>
          <w:p w14:paraId="6B930EB7">
            <w:pPr>
              <w:pStyle w:val="46"/>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委托有资质的单位处置</w:t>
            </w:r>
          </w:p>
        </w:tc>
        <w:tc>
          <w:tcPr>
            <w:tcW w:w="3018" w:type="dxa"/>
            <w:shd w:val="clear" w:color="auto" w:fill="auto"/>
            <w:noWrap w:val="0"/>
            <w:vAlign w:val="center"/>
          </w:tcPr>
          <w:p w14:paraId="22EF33A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rPr>
              <w:t>满足《危险废物贮存污染控制标准》（GB18597-2023）</w:t>
            </w:r>
          </w:p>
        </w:tc>
      </w:tr>
      <w:tr w14:paraId="1C9D1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676FCEC1">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土壤及地下水污染防治措施</w:t>
            </w:r>
          </w:p>
        </w:tc>
        <w:tc>
          <w:tcPr>
            <w:tcW w:w="8100" w:type="dxa"/>
            <w:gridSpan w:val="4"/>
            <w:noWrap w:val="0"/>
            <w:vAlign w:val="center"/>
          </w:tcPr>
          <w:p w14:paraId="4DE3168A">
            <w:pPr>
              <w:numPr>
                <w:ilvl w:val="0"/>
                <w:numId w:val="0"/>
              </w:numPr>
              <w:snapToGrid w:val="0"/>
              <w:spacing w:line="240" w:lineRule="auto"/>
              <w:jc w:val="left"/>
              <w:rPr>
                <w:rFonts w:hint="default" w:ascii="Times New Roman" w:hAnsi="Times New Roman" w:cs="Times New Roman"/>
                <w:color w:val="auto"/>
                <w:sz w:val="21"/>
                <w:lang w:eastAsia="zh-CN"/>
              </w:rPr>
            </w:pPr>
            <w:r>
              <w:rPr>
                <w:rFonts w:hint="default" w:ascii="Times New Roman" w:hAnsi="Times New Roman" w:cs="Times New Roman"/>
                <w:color w:val="auto"/>
                <w:sz w:val="21"/>
              </w:rPr>
              <w:t>分区防渗</w:t>
            </w:r>
            <w:r>
              <w:rPr>
                <w:rFonts w:hint="default" w:ascii="Times New Roman" w:hAnsi="Times New Roman" w:cs="Times New Roman"/>
                <w:color w:val="auto"/>
                <w:sz w:val="21"/>
                <w:lang w:eastAsia="zh-CN"/>
              </w:rPr>
              <w:t>：一般防渗区应满足等效黏土防渗层Mb≥1.5m，K≤1×10</w:t>
            </w:r>
            <w:r>
              <w:rPr>
                <w:rFonts w:hint="default" w:ascii="Times New Roman" w:hAnsi="Times New Roman" w:cs="Times New Roman"/>
                <w:color w:val="auto"/>
                <w:sz w:val="21"/>
                <w:vertAlign w:val="superscript"/>
                <w:lang w:eastAsia="zh-CN"/>
              </w:rPr>
              <w:t>-7</w:t>
            </w:r>
            <w:r>
              <w:rPr>
                <w:rFonts w:hint="default" w:ascii="Times New Roman" w:hAnsi="Times New Roman" w:cs="Times New Roman"/>
                <w:color w:val="auto"/>
                <w:sz w:val="21"/>
                <w:lang w:eastAsia="zh-CN"/>
              </w:rPr>
              <w:t>cm/s 技术要求；</w:t>
            </w:r>
          </w:p>
          <w:p w14:paraId="558112DC">
            <w:pPr>
              <w:numPr>
                <w:ilvl w:val="0"/>
                <w:numId w:val="0"/>
              </w:numPr>
              <w:snapToGrid w:val="0"/>
              <w:spacing w:line="240" w:lineRule="auto"/>
              <w:jc w:val="left"/>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lang w:eastAsia="zh-CN"/>
              </w:rPr>
              <w:t>重点防渗区应满足等效黏土防渗层 Mb≥6.0m，K≤1×10</w:t>
            </w:r>
            <w:r>
              <w:rPr>
                <w:rFonts w:hint="default" w:ascii="Times New Roman" w:hAnsi="Times New Roman" w:cs="Times New Roman"/>
                <w:color w:val="auto"/>
                <w:sz w:val="21"/>
                <w:vertAlign w:val="superscript"/>
                <w:lang w:eastAsia="zh-CN"/>
              </w:rPr>
              <w:t>-7</w:t>
            </w:r>
            <w:r>
              <w:rPr>
                <w:rFonts w:hint="default" w:ascii="Times New Roman" w:hAnsi="Times New Roman" w:cs="Times New Roman"/>
                <w:color w:val="auto"/>
                <w:sz w:val="21"/>
                <w:lang w:eastAsia="zh-CN"/>
              </w:rPr>
              <w:t>cm/s技术要求</w:t>
            </w:r>
          </w:p>
        </w:tc>
      </w:tr>
      <w:tr w14:paraId="347C3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2DBAE302">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生态保护措施</w:t>
            </w:r>
          </w:p>
        </w:tc>
        <w:tc>
          <w:tcPr>
            <w:tcW w:w="8100" w:type="dxa"/>
            <w:gridSpan w:val="4"/>
            <w:noWrap w:val="0"/>
            <w:vAlign w:val="center"/>
          </w:tcPr>
          <w:p w14:paraId="12BFA1D1">
            <w:pPr>
              <w:adjustRightInd w:val="0"/>
              <w:snapToGrid w:val="0"/>
              <w:spacing w:line="240" w:lineRule="auto"/>
              <w:rPr>
                <w:rFonts w:hint="default" w:ascii="Times New Roman" w:hAnsi="Times New Roman" w:cs="Times New Roman"/>
                <w:color w:val="auto"/>
                <w:sz w:val="21"/>
              </w:rPr>
            </w:pPr>
            <w:r>
              <w:rPr>
                <w:rFonts w:hint="default" w:ascii="Times New Roman" w:hAnsi="Times New Roman" w:cs="Times New Roman"/>
                <w:color w:val="auto"/>
                <w:kern w:val="0"/>
                <w:sz w:val="21"/>
              </w:rPr>
              <w:t>本</w:t>
            </w:r>
            <w:r>
              <w:rPr>
                <w:rFonts w:hint="default" w:ascii="Times New Roman" w:hAnsi="Times New Roman" w:cs="Times New Roman"/>
                <w:color w:val="auto"/>
                <w:sz w:val="21"/>
              </w:rPr>
              <w:t>厂区内种植灌木、花草，减少裸露地面，能隔声、吸尘、吸收有害气体。</w:t>
            </w:r>
            <w:r>
              <w:rPr>
                <w:rFonts w:hint="default" w:ascii="Times New Roman" w:hAnsi="Times New Roman" w:cs="Times New Roman"/>
                <w:color w:val="auto"/>
                <w:kern w:val="0"/>
                <w:sz w:val="21"/>
                <w:lang w:bidi="ar"/>
              </w:rPr>
              <w:t>能起到降低扬尘、净化空气、改善环境的作用。</w:t>
            </w:r>
          </w:p>
        </w:tc>
      </w:tr>
      <w:tr w14:paraId="54522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11F1FC42">
            <w:pPr>
              <w:adjustRightInd w:val="0"/>
              <w:snapToGrid w:val="0"/>
              <w:spacing w:line="240" w:lineRule="auto"/>
              <w:jc w:val="center"/>
              <w:rPr>
                <w:rFonts w:hint="default" w:ascii="Times New Roman" w:hAnsi="Times New Roman" w:cs="Times New Roman"/>
                <w:color w:val="auto"/>
                <w:spacing w:val="-8"/>
                <w:sz w:val="21"/>
              </w:rPr>
            </w:pPr>
            <w:r>
              <w:rPr>
                <w:rFonts w:hint="default" w:ascii="Times New Roman" w:hAnsi="Times New Roman" w:cs="Times New Roman"/>
                <w:color w:val="auto"/>
                <w:spacing w:val="-8"/>
                <w:sz w:val="21"/>
              </w:rPr>
              <w:t>环境风险防范措施</w:t>
            </w:r>
          </w:p>
        </w:tc>
        <w:tc>
          <w:tcPr>
            <w:tcW w:w="8100" w:type="dxa"/>
            <w:gridSpan w:val="4"/>
            <w:noWrap w:val="0"/>
            <w:vAlign w:val="center"/>
          </w:tcPr>
          <w:p w14:paraId="3C7EAC3F">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①</w:t>
            </w:r>
            <w:r>
              <w:rPr>
                <w:color w:val="auto"/>
                <w:sz w:val="21"/>
                <w:szCs w:val="21"/>
              </w:rPr>
              <w:t>完善设备的操作规程，对设备操作人员进行定期培训，保证设备的正常运行。</w:t>
            </w:r>
          </w:p>
          <w:p w14:paraId="11384C35">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②</w:t>
            </w:r>
            <w:r>
              <w:rPr>
                <w:color w:val="auto"/>
                <w:sz w:val="21"/>
                <w:szCs w:val="21"/>
              </w:rPr>
              <w:t>按照规范进行例行监测，确保废气达标排放。</w:t>
            </w:r>
          </w:p>
          <w:p w14:paraId="6FD1C82D">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③</w:t>
            </w:r>
            <w:r>
              <w:rPr>
                <w:rFonts w:hint="eastAsia"/>
                <w:color w:val="auto"/>
                <w:sz w:val="21"/>
                <w:szCs w:val="21"/>
                <w:lang w:eastAsia="zh-CN"/>
              </w:rPr>
              <w:t>按要求定期</w:t>
            </w:r>
            <w:r>
              <w:rPr>
                <w:rFonts w:hint="eastAsia"/>
                <w:color w:val="auto"/>
                <w:sz w:val="21"/>
                <w:szCs w:val="21"/>
                <w:lang w:val="en-US" w:eastAsia="zh-CN"/>
              </w:rPr>
              <w:t>对废气处理设施进行保养维护，</w:t>
            </w:r>
            <w:r>
              <w:rPr>
                <w:color w:val="auto"/>
                <w:sz w:val="21"/>
                <w:szCs w:val="21"/>
              </w:rPr>
              <w:t>防止处理装置失效。</w:t>
            </w:r>
          </w:p>
          <w:p w14:paraId="0B934101">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④</w:t>
            </w:r>
            <w:r>
              <w:rPr>
                <w:color w:val="auto"/>
                <w:sz w:val="21"/>
                <w:szCs w:val="21"/>
              </w:rPr>
              <w:t>生产车间设禁烟火标识牌，并有专人管理。</w:t>
            </w:r>
          </w:p>
          <w:p w14:paraId="38B2765E">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⑤</w:t>
            </w:r>
            <w:r>
              <w:rPr>
                <w:color w:val="auto"/>
                <w:sz w:val="21"/>
                <w:szCs w:val="21"/>
              </w:rPr>
              <w:t>厂区配备灭火器、防毒面具等消防、个体防护的设备、器材。</w:t>
            </w:r>
          </w:p>
          <w:p w14:paraId="05AB9E51">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color w:val="auto"/>
                <w:sz w:val="21"/>
                <w:szCs w:val="21"/>
                <w:lang w:val="en-US" w:eastAsia="zh-CN"/>
              </w:rPr>
            </w:pPr>
            <w:r>
              <w:rPr>
                <w:rFonts w:hint="eastAsia"/>
                <w:color w:val="auto"/>
                <w:sz w:val="21"/>
                <w:szCs w:val="21"/>
                <w:lang w:val="en-US" w:eastAsia="zh-CN"/>
              </w:rPr>
              <w:t>⑥</w:t>
            </w:r>
            <w:r>
              <w:rPr>
                <w:rFonts w:hint="eastAsia"/>
                <w:color w:val="auto"/>
                <w:kern w:val="24"/>
                <w:sz w:val="21"/>
                <w:szCs w:val="21"/>
                <w:lang w:eastAsia="zh-CN"/>
              </w:rPr>
              <w:t>危废暂存间</w:t>
            </w:r>
            <w:r>
              <w:rPr>
                <w:rFonts w:hint="eastAsia"/>
                <w:color w:val="auto"/>
                <w:kern w:val="24"/>
                <w:sz w:val="21"/>
                <w:szCs w:val="21"/>
                <w:lang w:val="en-US" w:eastAsia="zh-CN"/>
              </w:rPr>
              <w:t>内设置导流沟</w:t>
            </w:r>
            <w:r>
              <w:rPr>
                <w:rFonts w:hint="eastAsia"/>
                <w:color w:val="auto"/>
                <w:kern w:val="24"/>
                <w:sz w:val="21"/>
                <w:szCs w:val="21"/>
                <w:lang w:eastAsia="zh-CN"/>
              </w:rPr>
              <w:t>，可将泄漏物控制在危废暂存间内</w:t>
            </w:r>
            <w:r>
              <w:rPr>
                <w:rFonts w:hint="eastAsia"/>
                <w:color w:val="auto"/>
                <w:sz w:val="21"/>
                <w:szCs w:val="21"/>
                <w:lang w:val="en-US" w:eastAsia="zh-CN"/>
              </w:rPr>
              <w:t>。</w:t>
            </w:r>
          </w:p>
          <w:p w14:paraId="40F1E494">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color w:val="auto"/>
                <w:sz w:val="21"/>
                <w:szCs w:val="21"/>
                <w:lang w:val="en-US" w:eastAsia="zh-CN"/>
              </w:rPr>
            </w:pPr>
            <w:r>
              <w:rPr>
                <w:rFonts w:hint="eastAsia"/>
                <w:color w:val="auto"/>
                <w:sz w:val="21"/>
                <w:szCs w:val="21"/>
                <w:lang w:val="en-US" w:eastAsia="zh-CN"/>
              </w:rPr>
              <w:t>⑦依托厂区现有事故水池及初期雨水池，能够对事故状态下泄露的物质进行有效拦截收集。</w:t>
            </w:r>
          </w:p>
          <w:p w14:paraId="08A6CB6E">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color w:val="auto"/>
                <w:sz w:val="21"/>
                <w:szCs w:val="21"/>
                <w:lang w:val="en-US" w:eastAsia="zh-CN"/>
              </w:rPr>
            </w:pPr>
            <w:r>
              <w:rPr>
                <w:rFonts w:hint="eastAsia"/>
                <w:color w:val="auto"/>
                <w:sz w:val="21"/>
                <w:szCs w:val="21"/>
                <w:lang w:val="en-US" w:eastAsia="zh-CN"/>
              </w:rPr>
              <w:t>⑧依托现有厂区雨水总排口截止阀</w:t>
            </w:r>
            <w:r>
              <w:rPr>
                <w:rFonts w:hint="eastAsia"/>
                <w:color w:val="auto"/>
                <w:sz w:val="21"/>
                <w:szCs w:val="21"/>
              </w:rPr>
              <w:t>或临时封堵管道</w:t>
            </w:r>
            <w:r>
              <w:rPr>
                <w:rFonts w:hint="eastAsia"/>
                <w:color w:val="auto"/>
                <w:sz w:val="21"/>
                <w:szCs w:val="21"/>
                <w:lang w:val="en-US" w:eastAsia="zh-CN"/>
              </w:rPr>
              <w:t>，能够在事故状态下将事故废水拦截在厂区内。</w:t>
            </w:r>
          </w:p>
          <w:p w14:paraId="6A395FA0">
            <w:pPr>
              <w:spacing w:line="240" w:lineRule="auto"/>
              <w:rPr>
                <w:rFonts w:hint="default" w:ascii="Times New Roman" w:hAnsi="Times New Roman" w:cs="Times New Roman"/>
                <w:color w:val="auto"/>
                <w:sz w:val="21"/>
              </w:rPr>
            </w:pPr>
            <w:r>
              <w:rPr>
                <w:rFonts w:hint="eastAsia"/>
                <w:color w:val="auto"/>
                <w:sz w:val="21"/>
                <w:szCs w:val="21"/>
                <w:lang w:val="en-US" w:eastAsia="zh-CN"/>
              </w:rPr>
              <w:t>⑨建成后根据自身的实际情况编制应急预案，并组织培训及应急演练</w:t>
            </w:r>
            <w:r>
              <w:rPr>
                <w:rFonts w:hint="default" w:ascii="Times New Roman" w:hAnsi="Times New Roman" w:cs="Times New Roman"/>
                <w:color w:val="auto"/>
                <w:sz w:val="21"/>
              </w:rPr>
              <w:t>。</w:t>
            </w:r>
          </w:p>
        </w:tc>
      </w:tr>
      <w:tr w14:paraId="4DA18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60" w:type="dxa"/>
            <w:noWrap w:val="0"/>
            <w:vAlign w:val="center"/>
          </w:tcPr>
          <w:p w14:paraId="21E06DA1">
            <w:pPr>
              <w:adjustRightInd w:val="0"/>
              <w:snapToGrid w:val="0"/>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其他环境管理要求</w:t>
            </w:r>
          </w:p>
        </w:tc>
        <w:tc>
          <w:tcPr>
            <w:tcW w:w="8100" w:type="dxa"/>
            <w:gridSpan w:val="4"/>
            <w:noWrap w:val="0"/>
            <w:vAlign w:val="center"/>
          </w:tcPr>
          <w:p w14:paraId="158AA21C">
            <w:pPr>
              <w:numPr>
                <w:ilvl w:val="0"/>
                <w:numId w:val="0"/>
              </w:numPr>
              <w:adjustRightInd w:val="0"/>
              <w:snapToGrid w:val="0"/>
              <w:spacing w:line="240" w:lineRule="auto"/>
              <w:rPr>
                <w:rFonts w:hint="eastAsia"/>
                <w:color w:val="auto"/>
                <w:spacing w:val="0"/>
                <w:position w:val="0"/>
                <w:sz w:val="21"/>
                <w:szCs w:val="21"/>
              </w:rPr>
            </w:pPr>
            <w:r>
              <w:rPr>
                <w:rFonts w:hint="eastAsia"/>
                <w:color w:val="auto"/>
                <w:spacing w:val="0"/>
                <w:position w:val="0"/>
                <w:sz w:val="21"/>
                <w:szCs w:val="21"/>
              </w:rPr>
              <w:t xml:space="preserve">①建设单位在项目建设及运营过程中必须认真落实治理措施，做到环保设施与建设的“三同时”制度。 </w:t>
            </w:r>
          </w:p>
          <w:p w14:paraId="500557A0">
            <w:pPr>
              <w:numPr>
                <w:ilvl w:val="0"/>
                <w:numId w:val="0"/>
              </w:numPr>
              <w:adjustRightInd w:val="0"/>
              <w:snapToGrid w:val="0"/>
              <w:spacing w:line="240" w:lineRule="auto"/>
              <w:rPr>
                <w:rFonts w:hint="eastAsia"/>
                <w:color w:val="auto"/>
                <w:spacing w:val="0"/>
                <w:position w:val="0"/>
                <w:sz w:val="21"/>
                <w:szCs w:val="21"/>
              </w:rPr>
            </w:pPr>
            <w:r>
              <w:rPr>
                <w:rFonts w:hint="eastAsia"/>
                <w:color w:val="auto"/>
                <w:spacing w:val="0"/>
                <w:position w:val="0"/>
                <w:sz w:val="21"/>
                <w:szCs w:val="21"/>
              </w:rPr>
              <w:t xml:space="preserve">②项目建设完毕需经竣工验收合格后，整个项目方可投产使用。在项目使用时，建设单位要负责维持环保设施的正常运行，做好防范措施，把项目对环境的影响控制在最低限度。 </w:t>
            </w:r>
          </w:p>
          <w:p w14:paraId="33DB1135">
            <w:pPr>
              <w:numPr>
                <w:ilvl w:val="0"/>
                <w:numId w:val="0"/>
              </w:numPr>
              <w:adjustRightInd w:val="0"/>
              <w:snapToGrid w:val="0"/>
              <w:spacing w:line="240" w:lineRule="auto"/>
              <w:rPr>
                <w:rFonts w:hint="eastAsia"/>
                <w:color w:val="auto"/>
                <w:spacing w:val="0"/>
                <w:position w:val="0"/>
                <w:sz w:val="21"/>
                <w:szCs w:val="21"/>
              </w:rPr>
            </w:pPr>
            <w:r>
              <w:rPr>
                <w:rFonts w:hint="eastAsia"/>
                <w:color w:val="auto"/>
                <w:spacing w:val="0"/>
                <w:position w:val="0"/>
                <w:sz w:val="21"/>
                <w:szCs w:val="21"/>
              </w:rPr>
              <w:t xml:space="preserve">③按照排污许可的相关要求，在实际排放污染物前，申请办理排污许可证。 </w:t>
            </w:r>
          </w:p>
          <w:p w14:paraId="0675743B">
            <w:pPr>
              <w:numPr>
                <w:ilvl w:val="0"/>
                <w:numId w:val="0"/>
              </w:numPr>
              <w:adjustRightInd w:val="0"/>
              <w:snapToGrid w:val="0"/>
              <w:spacing w:line="240" w:lineRule="auto"/>
              <w:rPr>
                <w:rFonts w:hint="eastAsia"/>
                <w:color w:val="auto"/>
                <w:spacing w:val="0"/>
                <w:position w:val="0"/>
                <w:sz w:val="21"/>
                <w:szCs w:val="21"/>
              </w:rPr>
            </w:pPr>
            <w:r>
              <w:rPr>
                <w:rFonts w:hint="eastAsia"/>
                <w:color w:val="auto"/>
                <w:spacing w:val="0"/>
                <w:position w:val="0"/>
                <w:sz w:val="21"/>
                <w:szCs w:val="21"/>
              </w:rPr>
              <w:t xml:space="preserve">④从环境保护的角度出发，建议加强自身企业管理，以及配套服务管理措施，贯彻垃圾减量化、资源化和无害化的原则。 </w:t>
            </w:r>
          </w:p>
          <w:p w14:paraId="4594E414">
            <w:pPr>
              <w:numPr>
                <w:ilvl w:val="0"/>
                <w:numId w:val="0"/>
              </w:numPr>
              <w:adjustRightInd w:val="0"/>
              <w:snapToGrid w:val="0"/>
              <w:spacing w:line="240" w:lineRule="auto"/>
              <w:rPr>
                <w:rFonts w:hint="default" w:ascii="Times New Roman" w:hAnsi="Times New Roman" w:cs="Times New Roman"/>
                <w:color w:val="auto"/>
                <w:sz w:val="21"/>
              </w:rPr>
            </w:pPr>
            <w:r>
              <w:rPr>
                <w:rFonts w:hint="eastAsia"/>
                <w:color w:val="auto"/>
                <w:spacing w:val="0"/>
                <w:position w:val="0"/>
                <w:sz w:val="21"/>
                <w:szCs w:val="21"/>
              </w:rPr>
              <w:t>⑤加强对员工的环保教育工作，增强员工环保意识。加强项目的废气、噪声等治理工作，确保不会对外环境产生不良影响。</w:t>
            </w:r>
          </w:p>
        </w:tc>
      </w:tr>
    </w:tbl>
    <w:p w14:paraId="71C5FEAB">
      <w:pPr>
        <w:spacing w:line="240" w:lineRule="auto"/>
        <w:rPr>
          <w:rFonts w:hint="default" w:ascii="Times New Roman" w:hAnsi="Times New Roman" w:cs="Times New Roman"/>
          <w:b/>
          <w:bCs/>
          <w:color w:val="auto"/>
          <w:sz w:val="30"/>
          <w:szCs w:val="30"/>
        </w:rPr>
      </w:pPr>
      <w:r>
        <w:rPr>
          <w:rFonts w:hint="default" w:ascii="Times New Roman" w:hAnsi="Times New Roman" w:cs="Times New Roman"/>
          <w:snapToGrid w:val="0"/>
          <w:color w:val="auto"/>
        </w:rPr>
        <w:br w:type="page"/>
      </w:r>
      <w:r>
        <w:rPr>
          <w:rFonts w:hint="default" w:ascii="Times New Roman" w:hAnsi="Times New Roman" w:cs="Times New Roman"/>
          <w:b/>
          <w:bCs/>
          <w:color w:val="auto"/>
          <w:sz w:val="30"/>
          <w:szCs w:val="30"/>
        </w:rPr>
        <w:t>六、结论</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49"/>
      </w:tblGrid>
      <w:tr w14:paraId="34743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349" w:type="dxa"/>
            <w:noWrap w:val="0"/>
            <w:vAlign w:val="center"/>
          </w:tcPr>
          <w:p w14:paraId="2DA701EB">
            <w:pPr>
              <w:pStyle w:val="99"/>
              <w:rPr>
                <w:rFonts w:hint="default" w:ascii="Times New Roman" w:hAnsi="Times New Roman" w:cs="Times New Roman"/>
                <w:color w:val="auto"/>
                <w:lang w:bidi="ar"/>
              </w:rPr>
            </w:pPr>
            <w:r>
              <w:rPr>
                <w:rFonts w:hint="default" w:ascii="Times New Roman" w:hAnsi="Times New Roman" w:cs="Times New Roman"/>
                <w:color w:val="auto"/>
                <w:lang w:bidi="ar"/>
              </w:rPr>
              <w:t>综上所述，</w:t>
            </w:r>
            <w:r>
              <w:rPr>
                <w:rFonts w:hint="default" w:ascii="Times New Roman" w:hAnsi="Times New Roman" w:cs="Times New Roman"/>
                <w:color w:val="auto"/>
                <w:lang w:val="en-GB" w:bidi="ar"/>
              </w:rPr>
              <w:t>本项目符合国家产业政策，符合相关环保政策，选址符合当地规划。在严格加强管理、落实各项污染防治措施后，项目污染物排放可以满足国家规定的相应排放标准要求，对周围环境影响较小。从环境保护的角度分析，本项目是可行的。</w:t>
            </w:r>
          </w:p>
          <w:p w14:paraId="7F1D5602">
            <w:pPr>
              <w:rPr>
                <w:rFonts w:hint="default" w:ascii="Times New Roman" w:hAnsi="Times New Roman" w:cs="Times New Roman"/>
                <w:color w:val="auto"/>
              </w:rPr>
            </w:pPr>
          </w:p>
        </w:tc>
      </w:tr>
    </w:tbl>
    <w:p w14:paraId="7F72887E">
      <w:pPr>
        <w:rPr>
          <w:rFonts w:hint="default" w:ascii="Times New Roman" w:hAnsi="Times New Roman" w:cs="Times New Roman"/>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7F0A0FB">
      <w:pPr>
        <w:pStyle w:val="25"/>
        <w:adjustRightInd w:val="0"/>
        <w:snapToGrid w:val="0"/>
        <w:spacing w:before="0" w:beforeAutospacing="0" w:after="0" w:afterAutospacing="0"/>
        <w:outlineLvl w:val="0"/>
        <w:rPr>
          <w:rFonts w:hint="default" w:ascii="Times New Roman" w:hAnsi="Times New Roman" w:cs="Times New Roman"/>
          <w:snapToGrid w:val="0"/>
          <w:color w:val="auto"/>
          <w:sz w:val="32"/>
          <w:szCs w:val="32"/>
        </w:rPr>
      </w:pPr>
      <w:r>
        <w:rPr>
          <w:rFonts w:hint="default" w:ascii="Times New Roman" w:hAnsi="Times New Roman" w:cs="Times New Roman"/>
          <w:snapToGrid w:val="0"/>
          <w:color w:val="auto"/>
          <w:sz w:val="32"/>
          <w:szCs w:val="32"/>
        </w:rPr>
        <w:t>附表</w:t>
      </w:r>
    </w:p>
    <w:p w14:paraId="59B20246">
      <w:pPr>
        <w:pStyle w:val="25"/>
        <w:adjustRightInd w:val="0"/>
        <w:snapToGrid w:val="0"/>
        <w:spacing w:before="0" w:beforeAutospacing="0" w:after="0" w:afterAutospacing="0" w:line="240" w:lineRule="auto"/>
        <w:jc w:val="center"/>
        <w:outlineLvl w:val="0"/>
        <w:rPr>
          <w:rFonts w:hint="default" w:ascii="Times New Roman" w:hAnsi="Times New Roman" w:cs="Times New Roman"/>
          <w:b/>
          <w:bCs/>
          <w:snapToGrid w:val="0"/>
          <w:color w:val="auto"/>
          <w:sz w:val="32"/>
          <w:szCs w:val="32"/>
          <w:highlight w:val="none"/>
        </w:rPr>
      </w:pPr>
      <w:r>
        <w:rPr>
          <w:rFonts w:hint="default" w:ascii="Times New Roman" w:hAnsi="Times New Roman" w:eastAsia="黑体" w:cs="Times New Roman"/>
          <w:b w:val="0"/>
          <w:bCs w:val="0"/>
          <w:snapToGrid w:val="0"/>
          <w:color w:val="auto"/>
          <w:sz w:val="32"/>
          <w:szCs w:val="32"/>
          <w:highlight w:val="none"/>
        </w:rPr>
        <w:t>建设项目污染物排放量汇总表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789"/>
        <w:gridCol w:w="1493"/>
        <w:gridCol w:w="1315"/>
        <w:gridCol w:w="1565"/>
        <w:gridCol w:w="1555"/>
        <w:gridCol w:w="1360"/>
        <w:gridCol w:w="1701"/>
        <w:gridCol w:w="1475"/>
      </w:tblGrid>
      <w:tr w14:paraId="08562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03" w:type="dxa"/>
            <w:tcBorders>
              <w:tl2br w:val="single" w:color="auto" w:sz="4" w:space="0"/>
            </w:tcBorders>
            <w:noWrap w:val="0"/>
            <w:tcMar>
              <w:left w:w="28" w:type="dxa"/>
              <w:right w:w="28" w:type="dxa"/>
            </w:tcMar>
            <w:vAlign w:val="center"/>
          </w:tcPr>
          <w:p w14:paraId="35DEB5A3">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jc w:val="right"/>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项目</w:t>
            </w:r>
          </w:p>
          <w:p w14:paraId="7F9F375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jc w:val="left"/>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分类</w:t>
            </w:r>
          </w:p>
        </w:tc>
        <w:tc>
          <w:tcPr>
            <w:tcW w:w="1789" w:type="dxa"/>
            <w:noWrap w:val="0"/>
            <w:tcMar>
              <w:left w:w="28" w:type="dxa"/>
              <w:right w:w="28" w:type="dxa"/>
            </w:tcMar>
            <w:vAlign w:val="center"/>
          </w:tcPr>
          <w:p w14:paraId="58202A4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污染物名称</w:t>
            </w:r>
          </w:p>
        </w:tc>
        <w:tc>
          <w:tcPr>
            <w:tcW w:w="1493" w:type="dxa"/>
            <w:noWrap w:val="0"/>
            <w:tcMar>
              <w:left w:w="28" w:type="dxa"/>
              <w:right w:w="28" w:type="dxa"/>
            </w:tcMar>
            <w:vAlign w:val="center"/>
          </w:tcPr>
          <w:p w14:paraId="2C915F6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现有工程</w:t>
            </w:r>
          </w:p>
          <w:p w14:paraId="427A64A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排放量（固体废物产生量</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r>
              <w:rPr>
                <w:rFonts w:hint="default" w:ascii="Times New Roman" w:hAnsi="Times New Roman" w:eastAsia="黑体" w:cs="Times New Roman"/>
                <w:snapToGrid w:val="0"/>
                <w:color w:val="auto"/>
                <w:spacing w:val="-6"/>
                <w:kern w:val="21"/>
                <w:sz w:val="21"/>
                <w:szCs w:val="21"/>
                <w:highlight w:val="none"/>
                <w:lang w:val="en-US" w:eastAsia="zh-CN"/>
              </w:rPr>
              <w:t>）</w:t>
            </w: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1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①</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315" w:type="dxa"/>
            <w:noWrap w:val="0"/>
            <w:tcMar>
              <w:left w:w="28" w:type="dxa"/>
              <w:right w:w="28" w:type="dxa"/>
            </w:tcMar>
            <w:vAlign w:val="center"/>
          </w:tcPr>
          <w:p w14:paraId="6B6992AB">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现有工程</w:t>
            </w:r>
          </w:p>
          <w:p w14:paraId="7C09B527">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许可排放量</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p>
          <w:p w14:paraId="42A0DEC7">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2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snapToGrid w:val="0"/>
                <w:color w:val="auto"/>
                <w:spacing w:val="-6"/>
                <w:kern w:val="21"/>
                <w:sz w:val="21"/>
                <w:szCs w:val="21"/>
                <w:highlight w:val="none"/>
                <w:lang w:val="en-US" w:eastAsia="zh-CN"/>
              </w:rPr>
              <w:t>②</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565" w:type="dxa"/>
            <w:noWrap w:val="0"/>
            <w:tcMar>
              <w:left w:w="28" w:type="dxa"/>
              <w:right w:w="28" w:type="dxa"/>
            </w:tcMar>
            <w:vAlign w:val="center"/>
          </w:tcPr>
          <w:p w14:paraId="6841AE7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在建工程</w:t>
            </w:r>
          </w:p>
          <w:p w14:paraId="15A31F2D">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排放量（固体废物产生量</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r>
              <w:rPr>
                <w:rFonts w:hint="default" w:ascii="Times New Roman" w:hAnsi="Times New Roman" w:eastAsia="黑体" w:cs="Times New Roman"/>
                <w:snapToGrid w:val="0"/>
                <w:color w:val="auto"/>
                <w:spacing w:val="-6"/>
                <w:kern w:val="21"/>
                <w:sz w:val="21"/>
                <w:szCs w:val="21"/>
                <w:highlight w:val="none"/>
                <w:lang w:val="en-US" w:eastAsia="zh-CN"/>
              </w:rPr>
              <w:t>）</w:t>
            </w: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3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③</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555" w:type="dxa"/>
            <w:noWrap w:val="0"/>
            <w:tcMar>
              <w:left w:w="28" w:type="dxa"/>
              <w:right w:w="28" w:type="dxa"/>
            </w:tcMar>
            <w:vAlign w:val="center"/>
          </w:tcPr>
          <w:p w14:paraId="1EE9A49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本项目</w:t>
            </w:r>
          </w:p>
          <w:p w14:paraId="1CB3F08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排放量（固体废物产生量</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r>
              <w:rPr>
                <w:rFonts w:hint="default" w:ascii="Times New Roman" w:hAnsi="Times New Roman" w:eastAsia="黑体" w:cs="Times New Roman"/>
                <w:snapToGrid w:val="0"/>
                <w:color w:val="auto"/>
                <w:spacing w:val="-6"/>
                <w:kern w:val="21"/>
                <w:sz w:val="21"/>
                <w:szCs w:val="21"/>
                <w:highlight w:val="none"/>
                <w:lang w:val="en-US" w:eastAsia="zh-CN"/>
              </w:rPr>
              <w:t>）</w:t>
            </w: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4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④</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360" w:type="dxa"/>
            <w:noWrap w:val="0"/>
            <w:tcMar>
              <w:left w:w="28" w:type="dxa"/>
              <w:right w:w="28" w:type="dxa"/>
            </w:tcMar>
            <w:vAlign w:val="center"/>
          </w:tcPr>
          <w:p w14:paraId="1D37086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以新带老削减量</w:t>
            </w:r>
          </w:p>
          <w:p w14:paraId="3B6EAA6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（新建项目不填</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r>
              <w:rPr>
                <w:rFonts w:hint="default" w:ascii="Times New Roman" w:hAnsi="Times New Roman" w:eastAsia="黑体" w:cs="Times New Roman"/>
                <w:snapToGrid w:val="0"/>
                <w:color w:val="auto"/>
                <w:spacing w:val="-16"/>
                <w:kern w:val="21"/>
                <w:sz w:val="21"/>
                <w:szCs w:val="21"/>
                <w:highlight w:val="none"/>
                <w:lang w:val="en-US" w:eastAsia="zh-CN"/>
              </w:rPr>
              <w:t>）</w:t>
            </w:r>
            <w:r>
              <w:rPr>
                <w:rFonts w:hint="default" w:ascii="Times New Roman" w:hAnsi="Times New Roman" w:eastAsia="黑体" w:cs="Times New Roman"/>
                <w:snapToGrid w:val="0"/>
                <w:color w:val="auto"/>
                <w:spacing w:val="-16"/>
                <w:kern w:val="21"/>
                <w:sz w:val="21"/>
                <w:szCs w:val="21"/>
                <w:highlight w:val="none"/>
                <w:lang w:val="en-US" w:eastAsia="zh-CN"/>
              </w:rPr>
              <w:fldChar w:fldCharType="begin"/>
            </w:r>
            <w:r>
              <w:rPr>
                <w:rFonts w:hint="default" w:ascii="Times New Roman" w:hAnsi="Times New Roman" w:eastAsia="黑体" w:cs="Times New Roman"/>
                <w:snapToGrid w:val="0"/>
                <w:color w:val="auto"/>
                <w:spacing w:val="-16"/>
                <w:kern w:val="21"/>
                <w:sz w:val="21"/>
                <w:szCs w:val="21"/>
                <w:highlight w:val="none"/>
                <w:lang w:val="en-US" w:eastAsia="zh-CN"/>
              </w:rPr>
              <w:instrText xml:space="preserve"> = 5 \* GB3 \* MERGEFORMAT </w:instrText>
            </w:r>
            <w:r>
              <w:rPr>
                <w:rFonts w:hint="default" w:ascii="Times New Roman" w:hAnsi="Times New Roman" w:eastAsia="黑体" w:cs="Times New Roman"/>
                <w:snapToGrid w:val="0"/>
                <w:color w:val="auto"/>
                <w:spacing w:val="-1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⑤</w:t>
            </w:r>
            <w:r>
              <w:rPr>
                <w:rFonts w:hint="default" w:ascii="Times New Roman" w:hAnsi="Times New Roman" w:eastAsia="黑体" w:cs="Times New Roman"/>
                <w:snapToGrid w:val="0"/>
                <w:color w:val="auto"/>
                <w:spacing w:val="-16"/>
                <w:kern w:val="21"/>
                <w:sz w:val="21"/>
                <w:szCs w:val="21"/>
                <w:highlight w:val="none"/>
                <w:lang w:val="en-US" w:eastAsia="zh-CN"/>
              </w:rPr>
              <w:fldChar w:fldCharType="end"/>
            </w:r>
          </w:p>
        </w:tc>
        <w:tc>
          <w:tcPr>
            <w:tcW w:w="1701" w:type="dxa"/>
            <w:noWrap w:val="0"/>
            <w:tcMar>
              <w:left w:w="28" w:type="dxa"/>
              <w:right w:w="28" w:type="dxa"/>
            </w:tcMar>
            <w:vAlign w:val="center"/>
          </w:tcPr>
          <w:p w14:paraId="0490B99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本项目建成后</w:t>
            </w:r>
          </w:p>
          <w:p w14:paraId="63F47DA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全厂排放量（固体废物产生量</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r>
              <w:rPr>
                <w:rFonts w:hint="default" w:ascii="Times New Roman" w:hAnsi="Times New Roman" w:eastAsia="黑体" w:cs="Times New Roman"/>
                <w:snapToGrid w:val="0"/>
                <w:color w:val="auto"/>
                <w:spacing w:val="-16"/>
                <w:kern w:val="21"/>
                <w:sz w:val="21"/>
                <w:szCs w:val="21"/>
                <w:highlight w:val="none"/>
                <w:lang w:val="en-US" w:eastAsia="zh-CN"/>
              </w:rPr>
              <w:t>）</w:t>
            </w:r>
            <w:r>
              <w:rPr>
                <w:rFonts w:hint="default" w:ascii="Times New Roman" w:hAnsi="Times New Roman" w:eastAsia="黑体" w:cs="Times New Roman"/>
                <w:snapToGrid w:val="0"/>
                <w:color w:val="auto"/>
                <w:spacing w:val="-16"/>
                <w:kern w:val="21"/>
                <w:sz w:val="21"/>
                <w:szCs w:val="21"/>
                <w:highlight w:val="none"/>
                <w:lang w:val="en-US" w:eastAsia="zh-CN"/>
              </w:rPr>
              <w:fldChar w:fldCharType="begin"/>
            </w:r>
            <w:r>
              <w:rPr>
                <w:rFonts w:hint="default" w:ascii="Times New Roman" w:hAnsi="Times New Roman" w:eastAsia="黑体" w:cs="Times New Roman"/>
                <w:snapToGrid w:val="0"/>
                <w:color w:val="auto"/>
                <w:spacing w:val="-16"/>
                <w:kern w:val="21"/>
                <w:sz w:val="21"/>
                <w:szCs w:val="21"/>
                <w:highlight w:val="none"/>
                <w:lang w:val="en-US" w:eastAsia="zh-CN"/>
              </w:rPr>
              <w:instrText xml:space="preserve"> = 6 \* GB3 \* MERGEFORMAT </w:instrText>
            </w:r>
            <w:r>
              <w:rPr>
                <w:rFonts w:hint="default" w:ascii="Times New Roman" w:hAnsi="Times New Roman" w:eastAsia="黑体" w:cs="Times New Roman"/>
                <w:snapToGrid w:val="0"/>
                <w:color w:val="auto"/>
                <w:spacing w:val="-1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⑥</w:t>
            </w:r>
            <w:r>
              <w:rPr>
                <w:rFonts w:hint="default" w:ascii="Times New Roman" w:hAnsi="Times New Roman" w:eastAsia="黑体" w:cs="Times New Roman"/>
                <w:snapToGrid w:val="0"/>
                <w:color w:val="auto"/>
                <w:spacing w:val="-16"/>
                <w:kern w:val="21"/>
                <w:sz w:val="21"/>
                <w:szCs w:val="21"/>
                <w:highlight w:val="none"/>
                <w:lang w:val="en-US" w:eastAsia="zh-CN"/>
              </w:rPr>
              <w:fldChar w:fldCharType="end"/>
            </w:r>
          </w:p>
        </w:tc>
        <w:tc>
          <w:tcPr>
            <w:tcW w:w="1475" w:type="dxa"/>
            <w:noWrap w:val="0"/>
            <w:tcMar>
              <w:left w:w="28" w:type="dxa"/>
              <w:right w:w="28" w:type="dxa"/>
            </w:tcMar>
            <w:vAlign w:val="center"/>
          </w:tcPr>
          <w:p w14:paraId="149BA53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变化量</w:t>
            </w:r>
            <w:r>
              <w:rPr>
                <w:rFonts w:hint="default" w:ascii="Times New Roman" w:hAnsi="Times New Roman" w:eastAsia="黑体" w:cs="Times New Roman"/>
                <w:snapToGrid w:val="0"/>
                <w:color w:val="auto"/>
                <w:spacing w:val="0"/>
                <w:kern w:val="21"/>
                <w:position w:val="0"/>
                <w:sz w:val="21"/>
                <w:szCs w:val="21"/>
                <w:highlight w:val="none"/>
                <w:lang w:val="en-US" w:eastAsia="zh-CN"/>
              </w:rPr>
              <w:t>t/a</w:t>
            </w:r>
          </w:p>
          <w:p w14:paraId="4E3B8B5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7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⑦</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r>
      <w:tr w14:paraId="0CD06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restart"/>
            <w:noWrap w:val="0"/>
            <w:vAlign w:val="center"/>
          </w:tcPr>
          <w:p w14:paraId="4EBBFB90">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废气（海螺水泥窑尾排气筒DA027）</w:t>
            </w:r>
          </w:p>
        </w:tc>
        <w:tc>
          <w:tcPr>
            <w:tcW w:w="1789" w:type="dxa"/>
            <w:noWrap w:val="0"/>
            <w:vAlign w:val="center"/>
          </w:tcPr>
          <w:p w14:paraId="058CF919">
            <w:pPr>
              <w:keepNext w:val="0"/>
              <w:keepLines w:val="0"/>
              <w:pageBreakBefore w:val="0"/>
              <w:kinsoku/>
              <w:wordWrap/>
              <w:topLinePunct w:val="0"/>
              <w:autoSpaceDE/>
              <w:autoSpaceDN/>
              <w:bidi w:val="0"/>
              <w:adjustRightInd w:val="0"/>
              <w:snapToGrid w:val="0"/>
              <w:spacing w:beforeAutospacing="0" w:afterAutospacing="0" w:line="240" w:lineRule="auto"/>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color w:val="auto"/>
                <w:sz w:val="21"/>
                <w:szCs w:val="21"/>
                <w:lang w:val="en-US" w:eastAsia="zh-CN"/>
              </w:rPr>
              <w:t>颗粒物</w:t>
            </w:r>
          </w:p>
        </w:tc>
        <w:tc>
          <w:tcPr>
            <w:tcW w:w="1493" w:type="dxa"/>
            <w:shd w:val="clear" w:color="auto" w:fill="auto"/>
            <w:noWrap w:val="0"/>
            <w:vAlign w:val="center"/>
          </w:tcPr>
          <w:p w14:paraId="26C3E35D">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18.009</w:t>
            </w:r>
          </w:p>
        </w:tc>
        <w:tc>
          <w:tcPr>
            <w:tcW w:w="1315" w:type="dxa"/>
            <w:shd w:val="clear" w:color="auto" w:fill="auto"/>
            <w:noWrap w:val="0"/>
            <w:vAlign w:val="center"/>
          </w:tcPr>
          <w:p w14:paraId="68992D58">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469.655</w:t>
            </w:r>
          </w:p>
        </w:tc>
        <w:tc>
          <w:tcPr>
            <w:tcW w:w="1565" w:type="dxa"/>
            <w:noWrap w:val="0"/>
            <w:vAlign w:val="center"/>
          </w:tcPr>
          <w:p w14:paraId="5B25126B">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shd w:val="clear" w:color="auto" w:fill="auto"/>
            <w:noWrap w:val="0"/>
            <w:vAlign w:val="center"/>
          </w:tcPr>
          <w:p w14:paraId="67C3D5F1">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18.009 </w:t>
            </w:r>
          </w:p>
        </w:tc>
        <w:tc>
          <w:tcPr>
            <w:tcW w:w="1360" w:type="dxa"/>
            <w:shd w:val="clear" w:color="auto" w:fill="auto"/>
            <w:noWrap w:val="0"/>
            <w:vAlign w:val="center"/>
          </w:tcPr>
          <w:p w14:paraId="14E52C7F">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18.009</w:t>
            </w:r>
          </w:p>
        </w:tc>
        <w:tc>
          <w:tcPr>
            <w:tcW w:w="1701" w:type="dxa"/>
            <w:shd w:val="clear" w:color="auto" w:fill="auto"/>
            <w:noWrap w:val="0"/>
            <w:vAlign w:val="center"/>
          </w:tcPr>
          <w:p w14:paraId="322C29CA">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18.009 </w:t>
            </w:r>
          </w:p>
        </w:tc>
        <w:tc>
          <w:tcPr>
            <w:tcW w:w="1475" w:type="dxa"/>
            <w:noWrap w:val="0"/>
            <w:vAlign w:val="center"/>
          </w:tcPr>
          <w:p w14:paraId="64519BEA">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w:t>
            </w:r>
          </w:p>
        </w:tc>
      </w:tr>
      <w:tr w14:paraId="1EA4C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03" w:type="dxa"/>
            <w:vMerge w:val="continue"/>
            <w:noWrap w:val="0"/>
            <w:vAlign w:val="center"/>
          </w:tcPr>
          <w:p w14:paraId="1A35A32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512EB5F1">
            <w:pPr>
              <w:pStyle w:val="46"/>
              <w:keepNext w:val="0"/>
              <w:keepLines w:val="0"/>
              <w:pageBreakBefore w:val="0"/>
              <w:kinsoku/>
              <w:wordWrap/>
              <w:topLinePunct w:val="0"/>
              <w:autoSpaceDE/>
              <w:autoSpaceDN/>
              <w:bidi w:val="0"/>
              <w:snapToGrid w:val="0"/>
              <w:spacing w:beforeLines="0" w:beforeAutospacing="0" w:afterLines="0" w:afterAutospacing="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二氧化硫</w:t>
            </w:r>
          </w:p>
        </w:tc>
        <w:tc>
          <w:tcPr>
            <w:tcW w:w="1493" w:type="dxa"/>
            <w:shd w:val="clear" w:color="auto" w:fill="auto"/>
            <w:noWrap w:val="0"/>
            <w:vAlign w:val="center"/>
          </w:tcPr>
          <w:p w14:paraId="5B92FCB8">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27.893</w:t>
            </w:r>
          </w:p>
        </w:tc>
        <w:tc>
          <w:tcPr>
            <w:tcW w:w="1315" w:type="dxa"/>
            <w:shd w:val="clear" w:color="auto" w:fill="auto"/>
            <w:noWrap w:val="0"/>
            <w:vAlign w:val="center"/>
          </w:tcPr>
          <w:p w14:paraId="095F33C3">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299.528</w:t>
            </w:r>
          </w:p>
        </w:tc>
        <w:tc>
          <w:tcPr>
            <w:tcW w:w="1565" w:type="dxa"/>
            <w:noWrap w:val="0"/>
            <w:vAlign w:val="center"/>
          </w:tcPr>
          <w:p w14:paraId="0998211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shd w:val="clear" w:color="auto" w:fill="auto"/>
            <w:noWrap w:val="0"/>
            <w:vAlign w:val="center"/>
          </w:tcPr>
          <w:p w14:paraId="32E63150">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37.504 </w:t>
            </w:r>
          </w:p>
        </w:tc>
        <w:tc>
          <w:tcPr>
            <w:tcW w:w="1360" w:type="dxa"/>
            <w:shd w:val="clear" w:color="auto" w:fill="auto"/>
            <w:noWrap w:val="0"/>
            <w:vAlign w:val="center"/>
          </w:tcPr>
          <w:p w14:paraId="276241F0">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27.893</w:t>
            </w:r>
          </w:p>
        </w:tc>
        <w:tc>
          <w:tcPr>
            <w:tcW w:w="1701" w:type="dxa"/>
            <w:shd w:val="clear" w:color="auto" w:fill="auto"/>
            <w:noWrap w:val="0"/>
            <w:vAlign w:val="center"/>
          </w:tcPr>
          <w:p w14:paraId="377DBFAB">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37.504 </w:t>
            </w:r>
          </w:p>
        </w:tc>
        <w:tc>
          <w:tcPr>
            <w:tcW w:w="1475" w:type="dxa"/>
            <w:noWrap w:val="0"/>
            <w:vAlign w:val="center"/>
          </w:tcPr>
          <w:p w14:paraId="3949C7BE">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+9.611</w:t>
            </w:r>
          </w:p>
        </w:tc>
      </w:tr>
      <w:tr w14:paraId="3619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5A78F44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5FA1BB38">
            <w:pPr>
              <w:pStyle w:val="46"/>
              <w:keepNext w:val="0"/>
              <w:keepLines w:val="0"/>
              <w:pageBreakBefore w:val="0"/>
              <w:kinsoku/>
              <w:wordWrap/>
              <w:topLinePunct w:val="0"/>
              <w:autoSpaceDE/>
              <w:autoSpaceDN/>
              <w:bidi w:val="0"/>
              <w:snapToGrid w:val="0"/>
              <w:spacing w:beforeLines="0" w:beforeAutospacing="0" w:afterLines="0" w:afterAutospacing="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氮氧化物</w:t>
            </w:r>
          </w:p>
        </w:tc>
        <w:tc>
          <w:tcPr>
            <w:tcW w:w="1493" w:type="dxa"/>
            <w:shd w:val="clear" w:color="auto" w:fill="auto"/>
            <w:noWrap w:val="0"/>
            <w:vAlign w:val="center"/>
          </w:tcPr>
          <w:p w14:paraId="1F48D82B">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190.091 </w:t>
            </w:r>
          </w:p>
        </w:tc>
        <w:tc>
          <w:tcPr>
            <w:tcW w:w="1315" w:type="dxa"/>
            <w:shd w:val="clear" w:color="auto" w:fill="auto"/>
            <w:noWrap w:val="0"/>
            <w:vAlign w:val="center"/>
          </w:tcPr>
          <w:p w14:paraId="681B9D28">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619.609</w:t>
            </w:r>
          </w:p>
        </w:tc>
        <w:tc>
          <w:tcPr>
            <w:tcW w:w="1565" w:type="dxa"/>
            <w:noWrap w:val="0"/>
            <w:vAlign w:val="center"/>
          </w:tcPr>
          <w:p w14:paraId="1B8269E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shd w:val="clear" w:color="auto" w:fill="auto"/>
            <w:noWrap w:val="0"/>
            <w:vAlign w:val="center"/>
          </w:tcPr>
          <w:p w14:paraId="6AF54DC6">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190.091 </w:t>
            </w:r>
          </w:p>
        </w:tc>
        <w:tc>
          <w:tcPr>
            <w:tcW w:w="1360" w:type="dxa"/>
            <w:shd w:val="clear" w:color="auto" w:fill="auto"/>
            <w:noWrap w:val="0"/>
            <w:vAlign w:val="center"/>
          </w:tcPr>
          <w:p w14:paraId="278DBB9A">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190.091 </w:t>
            </w:r>
          </w:p>
        </w:tc>
        <w:tc>
          <w:tcPr>
            <w:tcW w:w="1701" w:type="dxa"/>
            <w:shd w:val="clear" w:color="auto" w:fill="auto"/>
            <w:noWrap w:val="0"/>
            <w:vAlign w:val="center"/>
          </w:tcPr>
          <w:p w14:paraId="304FA022">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190.091 </w:t>
            </w:r>
          </w:p>
        </w:tc>
        <w:tc>
          <w:tcPr>
            <w:tcW w:w="1475" w:type="dxa"/>
            <w:noWrap w:val="0"/>
            <w:vAlign w:val="center"/>
          </w:tcPr>
          <w:p w14:paraId="29BEBE64">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r>
      <w:tr w14:paraId="236BB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3844962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CA7428B">
            <w:pPr>
              <w:pStyle w:val="46"/>
              <w:keepNext w:val="0"/>
              <w:keepLines w:val="0"/>
              <w:pageBreakBefore w:val="0"/>
              <w:kinsoku/>
              <w:wordWrap/>
              <w:topLinePunct w:val="0"/>
              <w:autoSpaceDE/>
              <w:autoSpaceDN/>
              <w:bidi w:val="0"/>
              <w:snapToGrid w:val="0"/>
              <w:spacing w:beforeLines="0" w:beforeAutospacing="0" w:afterLines="0" w:afterAutospacing="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氟化氢</w:t>
            </w:r>
          </w:p>
        </w:tc>
        <w:tc>
          <w:tcPr>
            <w:tcW w:w="1493" w:type="dxa"/>
            <w:shd w:val="clear" w:color="auto" w:fill="auto"/>
            <w:noWrap w:val="0"/>
            <w:vAlign w:val="center"/>
          </w:tcPr>
          <w:p w14:paraId="7AB49737">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0.722 </w:t>
            </w:r>
          </w:p>
        </w:tc>
        <w:tc>
          <w:tcPr>
            <w:tcW w:w="1315" w:type="dxa"/>
            <w:noWrap w:val="0"/>
            <w:vAlign w:val="center"/>
          </w:tcPr>
          <w:p w14:paraId="649FAC67">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73BEB31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35489695">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b w:val="0"/>
                <w:bCs w:val="0"/>
                <w:color w:val="auto"/>
                <w:lang w:val="en-US" w:eastAsia="zh-CN"/>
              </w:rPr>
            </w:pPr>
            <w:r>
              <w:rPr>
                <w:rFonts w:hint="eastAsia" w:ascii="Times New Roman" w:hAnsi="Times New Roman" w:cs="Times New Roman"/>
                <w:color w:val="auto"/>
                <w:highlight w:val="none"/>
                <w:lang w:val="en-US" w:eastAsia="zh-CN"/>
              </w:rPr>
              <w:t>3.32</w:t>
            </w:r>
          </w:p>
        </w:tc>
        <w:tc>
          <w:tcPr>
            <w:tcW w:w="1360" w:type="dxa"/>
            <w:shd w:val="clear" w:color="auto" w:fill="auto"/>
            <w:noWrap w:val="0"/>
            <w:vAlign w:val="center"/>
          </w:tcPr>
          <w:p w14:paraId="6F99A521">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0.722 </w:t>
            </w:r>
          </w:p>
        </w:tc>
        <w:tc>
          <w:tcPr>
            <w:tcW w:w="1701" w:type="dxa"/>
            <w:shd w:val="clear" w:color="auto" w:fill="auto"/>
            <w:noWrap w:val="0"/>
            <w:vAlign w:val="center"/>
          </w:tcPr>
          <w:p w14:paraId="5B448977">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highlight w:val="none"/>
                <w:lang w:val="en-US" w:eastAsia="zh-CN"/>
              </w:rPr>
              <w:t>3.32</w:t>
            </w:r>
          </w:p>
        </w:tc>
        <w:tc>
          <w:tcPr>
            <w:tcW w:w="1475" w:type="dxa"/>
            <w:noWrap w:val="0"/>
            <w:vAlign w:val="center"/>
          </w:tcPr>
          <w:p w14:paraId="732EA53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w:t>
            </w:r>
            <w:r>
              <w:rPr>
                <w:rFonts w:hint="eastAsia" w:ascii="Times New Roman" w:cs="Times New Roman"/>
                <w:snapToGrid w:val="0"/>
                <w:color w:val="auto"/>
                <w:kern w:val="21"/>
                <w:sz w:val="21"/>
                <w:szCs w:val="21"/>
                <w:highlight w:val="none"/>
                <w:lang w:val="en-US" w:eastAsia="zh-CN"/>
              </w:rPr>
              <w:t>2.598</w:t>
            </w:r>
          </w:p>
        </w:tc>
      </w:tr>
      <w:tr w14:paraId="4302C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21C7198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82E295D">
            <w:pPr>
              <w:pStyle w:val="46"/>
              <w:keepNext w:val="0"/>
              <w:keepLines w:val="0"/>
              <w:pageBreakBefore w:val="0"/>
              <w:kinsoku/>
              <w:wordWrap/>
              <w:topLinePunct w:val="0"/>
              <w:autoSpaceDE/>
              <w:autoSpaceDN/>
              <w:bidi w:val="0"/>
              <w:snapToGrid w:val="0"/>
              <w:spacing w:beforeLines="0" w:beforeAutospacing="0" w:afterLines="0" w:afterAutospacing="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氯化氢</w:t>
            </w:r>
          </w:p>
        </w:tc>
        <w:tc>
          <w:tcPr>
            <w:tcW w:w="1493" w:type="dxa"/>
            <w:shd w:val="clear" w:color="auto" w:fill="auto"/>
            <w:noWrap w:val="0"/>
            <w:vAlign w:val="center"/>
          </w:tcPr>
          <w:p w14:paraId="66BD1DD9">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9.723 </w:t>
            </w:r>
          </w:p>
        </w:tc>
        <w:tc>
          <w:tcPr>
            <w:tcW w:w="1315" w:type="dxa"/>
            <w:noWrap w:val="0"/>
            <w:vAlign w:val="center"/>
          </w:tcPr>
          <w:p w14:paraId="49B01F6B">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5ED32EE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08E807DE">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ascii="Times New Roman" w:hAnsi="Times New Roman" w:cs="Times New Roman"/>
                <w:color w:val="auto"/>
                <w:highlight w:val="none"/>
                <w:lang w:val="en-US" w:eastAsia="zh-CN"/>
              </w:rPr>
              <w:t>9.745</w:t>
            </w:r>
          </w:p>
        </w:tc>
        <w:tc>
          <w:tcPr>
            <w:tcW w:w="1360" w:type="dxa"/>
            <w:shd w:val="clear" w:color="auto" w:fill="auto"/>
            <w:noWrap w:val="0"/>
            <w:vAlign w:val="center"/>
          </w:tcPr>
          <w:p w14:paraId="6379FC16">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9.723 </w:t>
            </w:r>
          </w:p>
        </w:tc>
        <w:tc>
          <w:tcPr>
            <w:tcW w:w="1701" w:type="dxa"/>
            <w:shd w:val="clear" w:color="auto" w:fill="auto"/>
            <w:noWrap w:val="0"/>
            <w:vAlign w:val="center"/>
          </w:tcPr>
          <w:p w14:paraId="79470E55">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color w:val="auto"/>
                <w:highlight w:val="none"/>
                <w:lang w:val="en-US" w:eastAsia="zh-CN"/>
              </w:rPr>
              <w:t>9.745</w:t>
            </w:r>
          </w:p>
        </w:tc>
        <w:tc>
          <w:tcPr>
            <w:tcW w:w="1475" w:type="dxa"/>
            <w:noWrap w:val="0"/>
            <w:vAlign w:val="center"/>
          </w:tcPr>
          <w:p w14:paraId="69A00810">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eastAsia" w:ascii="Times New Roman" w:cs="Times New Roman"/>
                <w:snapToGrid w:val="0"/>
                <w:color w:val="auto"/>
                <w:kern w:val="21"/>
                <w:sz w:val="21"/>
                <w:szCs w:val="21"/>
                <w:highlight w:val="none"/>
                <w:lang w:val="en-US" w:eastAsia="zh-CN"/>
              </w:rPr>
              <w:t>+0.022</w:t>
            </w:r>
          </w:p>
        </w:tc>
      </w:tr>
      <w:tr w14:paraId="74793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54E10DD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0E81DBE2">
            <w:pPr>
              <w:pStyle w:val="46"/>
              <w:keepNext w:val="0"/>
              <w:keepLines w:val="0"/>
              <w:pageBreakBefore w:val="0"/>
              <w:kinsoku/>
              <w:wordWrap/>
              <w:topLinePunct w:val="0"/>
              <w:autoSpaceDE/>
              <w:autoSpaceDN/>
              <w:bidi w:val="0"/>
              <w:snapToGrid w:val="0"/>
              <w:spacing w:beforeLines="0" w:beforeAutospacing="0" w:afterLines="0" w:afterAutospacing="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1493" w:type="dxa"/>
            <w:shd w:val="clear" w:color="auto" w:fill="auto"/>
            <w:noWrap w:val="0"/>
            <w:vAlign w:val="center"/>
          </w:tcPr>
          <w:p w14:paraId="3FDF86DA">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4.940 </w:t>
            </w:r>
          </w:p>
        </w:tc>
        <w:tc>
          <w:tcPr>
            <w:tcW w:w="1315" w:type="dxa"/>
            <w:noWrap w:val="0"/>
            <w:vAlign w:val="center"/>
          </w:tcPr>
          <w:p w14:paraId="12030718">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43533FF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6E391889">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ascii="Times New Roman" w:hAnsi="Times New Roman" w:eastAsia="宋体" w:cs="Times New Roman"/>
                <w:b w:val="0"/>
                <w:bCs w:val="0"/>
                <w:color w:val="auto"/>
                <w:lang w:val="en-US" w:eastAsia="zh-CN"/>
              </w:rPr>
              <w:t>4.940</w:t>
            </w:r>
          </w:p>
        </w:tc>
        <w:tc>
          <w:tcPr>
            <w:tcW w:w="1360" w:type="dxa"/>
            <w:shd w:val="clear" w:color="auto" w:fill="auto"/>
            <w:noWrap w:val="0"/>
            <w:vAlign w:val="center"/>
          </w:tcPr>
          <w:p w14:paraId="7C9E6A68">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4.940 </w:t>
            </w:r>
          </w:p>
        </w:tc>
        <w:tc>
          <w:tcPr>
            <w:tcW w:w="1701" w:type="dxa"/>
            <w:shd w:val="clear" w:color="auto" w:fill="auto"/>
            <w:noWrap w:val="0"/>
            <w:vAlign w:val="center"/>
          </w:tcPr>
          <w:p w14:paraId="4C1141C0">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b w:val="0"/>
                <w:bCs w:val="0"/>
                <w:color w:val="auto"/>
                <w:lang w:val="en-US" w:eastAsia="zh-CN"/>
              </w:rPr>
              <w:t>4.940</w:t>
            </w:r>
          </w:p>
        </w:tc>
        <w:tc>
          <w:tcPr>
            <w:tcW w:w="1475" w:type="dxa"/>
            <w:noWrap w:val="0"/>
            <w:vAlign w:val="center"/>
          </w:tcPr>
          <w:p w14:paraId="51B6D6C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r>
      <w:tr w14:paraId="7E7C0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58C05BC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045F9B09">
            <w:pPr>
              <w:pStyle w:val="46"/>
              <w:keepNext w:val="0"/>
              <w:keepLines w:val="0"/>
              <w:pageBreakBefore w:val="0"/>
              <w:kinsoku/>
              <w:wordWrap/>
              <w:topLinePunct w:val="0"/>
              <w:autoSpaceDE/>
              <w:autoSpaceDN/>
              <w:bidi w:val="0"/>
              <w:snapToGrid w:val="0"/>
              <w:spacing w:beforeLines="0" w:beforeAutospacing="0" w:afterLines="0" w:afterAutospacing="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汞及其化合物</w:t>
            </w:r>
          </w:p>
        </w:tc>
        <w:tc>
          <w:tcPr>
            <w:tcW w:w="1493" w:type="dxa"/>
            <w:shd w:val="clear" w:color="auto" w:fill="auto"/>
            <w:noWrap w:val="0"/>
            <w:vAlign w:val="center"/>
          </w:tcPr>
          <w:p w14:paraId="0785C8FB">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0.006 </w:t>
            </w:r>
          </w:p>
        </w:tc>
        <w:tc>
          <w:tcPr>
            <w:tcW w:w="1315" w:type="dxa"/>
            <w:noWrap w:val="0"/>
            <w:vAlign w:val="center"/>
          </w:tcPr>
          <w:p w14:paraId="2ADA0290">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28C7DC30">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321C6C75">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0.046</w:t>
            </w:r>
          </w:p>
        </w:tc>
        <w:tc>
          <w:tcPr>
            <w:tcW w:w="1360" w:type="dxa"/>
            <w:shd w:val="clear" w:color="auto" w:fill="auto"/>
            <w:noWrap w:val="0"/>
            <w:vAlign w:val="center"/>
          </w:tcPr>
          <w:p w14:paraId="6FDE1BA7">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0.006 </w:t>
            </w:r>
          </w:p>
        </w:tc>
        <w:tc>
          <w:tcPr>
            <w:tcW w:w="1701" w:type="dxa"/>
            <w:shd w:val="clear" w:color="auto" w:fill="auto"/>
            <w:noWrap w:val="0"/>
            <w:vAlign w:val="center"/>
          </w:tcPr>
          <w:p w14:paraId="31A0ECAF">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0.046</w:t>
            </w:r>
          </w:p>
        </w:tc>
        <w:tc>
          <w:tcPr>
            <w:tcW w:w="1475" w:type="dxa"/>
            <w:noWrap w:val="0"/>
            <w:vAlign w:val="center"/>
          </w:tcPr>
          <w:p w14:paraId="5F772DAB">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w:t>
            </w:r>
            <w:r>
              <w:rPr>
                <w:rFonts w:hint="eastAsia" w:ascii="Times New Roman" w:cs="Times New Roman"/>
                <w:snapToGrid w:val="0"/>
                <w:color w:val="auto"/>
                <w:kern w:val="21"/>
                <w:sz w:val="21"/>
                <w:szCs w:val="21"/>
                <w:highlight w:val="none"/>
                <w:lang w:val="en-US" w:eastAsia="zh-CN"/>
              </w:rPr>
              <w:t>0.04</w:t>
            </w:r>
          </w:p>
        </w:tc>
      </w:tr>
      <w:tr w14:paraId="0A985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38F5BB5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07AB9A0C">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Tl+Cd+Pb+As</w:t>
            </w:r>
          </w:p>
        </w:tc>
        <w:tc>
          <w:tcPr>
            <w:tcW w:w="1493" w:type="dxa"/>
            <w:shd w:val="clear" w:color="auto" w:fill="auto"/>
            <w:noWrap w:val="0"/>
            <w:vAlign w:val="center"/>
          </w:tcPr>
          <w:p w14:paraId="38BE775A">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0.032 </w:t>
            </w:r>
          </w:p>
        </w:tc>
        <w:tc>
          <w:tcPr>
            <w:tcW w:w="1315" w:type="dxa"/>
            <w:noWrap w:val="0"/>
            <w:vAlign w:val="center"/>
          </w:tcPr>
          <w:p w14:paraId="6E19D425">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787B657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648D348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eastAsia" w:ascii="Times New Roman" w:cs="Times New Roman"/>
                <w:snapToGrid w:val="0"/>
                <w:color w:val="auto"/>
                <w:kern w:val="21"/>
                <w:sz w:val="21"/>
                <w:szCs w:val="21"/>
                <w:highlight w:val="none"/>
                <w:lang w:val="en-US" w:eastAsia="zh-CN"/>
              </w:rPr>
              <w:t>0.300</w:t>
            </w:r>
          </w:p>
        </w:tc>
        <w:tc>
          <w:tcPr>
            <w:tcW w:w="1360" w:type="dxa"/>
            <w:shd w:val="clear" w:color="auto" w:fill="auto"/>
            <w:noWrap w:val="0"/>
            <w:vAlign w:val="center"/>
          </w:tcPr>
          <w:p w14:paraId="10255ED7">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0.032 </w:t>
            </w:r>
          </w:p>
        </w:tc>
        <w:tc>
          <w:tcPr>
            <w:tcW w:w="1701" w:type="dxa"/>
            <w:shd w:val="clear" w:color="auto" w:fill="auto"/>
            <w:noWrap w:val="0"/>
            <w:vAlign w:val="center"/>
          </w:tcPr>
          <w:p w14:paraId="4D8894B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rPr>
              <w:t>0.300</w:t>
            </w:r>
          </w:p>
        </w:tc>
        <w:tc>
          <w:tcPr>
            <w:tcW w:w="1475" w:type="dxa"/>
            <w:noWrap w:val="0"/>
            <w:vAlign w:val="center"/>
          </w:tcPr>
          <w:p w14:paraId="5291CE03">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+0.268</w:t>
            </w:r>
          </w:p>
        </w:tc>
      </w:tr>
      <w:tr w14:paraId="283CD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01188C90">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E5004D8">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Be+Cr+Sn+Sb+Cu+Co+Mn+Ni+V</w:t>
            </w:r>
          </w:p>
        </w:tc>
        <w:tc>
          <w:tcPr>
            <w:tcW w:w="1493" w:type="dxa"/>
            <w:shd w:val="clear" w:color="auto" w:fill="auto"/>
            <w:noWrap w:val="0"/>
            <w:vAlign w:val="center"/>
          </w:tcPr>
          <w:p w14:paraId="265D96E6">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0.148 </w:t>
            </w:r>
          </w:p>
        </w:tc>
        <w:tc>
          <w:tcPr>
            <w:tcW w:w="1315" w:type="dxa"/>
            <w:noWrap w:val="0"/>
            <w:vAlign w:val="center"/>
          </w:tcPr>
          <w:p w14:paraId="7EA0158A">
            <w:pPr>
              <w:pStyle w:val="46"/>
              <w:keepNext w:val="0"/>
              <w:keepLines w:val="0"/>
              <w:pageBreakBefore w:val="0"/>
              <w:kinsoku/>
              <w:wordWrap/>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1DCC292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1811917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eastAsia" w:ascii="Times New Roman" w:cs="Times New Roman"/>
                <w:snapToGrid w:val="0"/>
                <w:color w:val="auto"/>
                <w:kern w:val="21"/>
                <w:sz w:val="21"/>
                <w:szCs w:val="21"/>
                <w:highlight w:val="none"/>
                <w:lang w:val="en-US" w:eastAsia="zh-CN"/>
              </w:rPr>
              <w:t>0.540</w:t>
            </w:r>
          </w:p>
        </w:tc>
        <w:tc>
          <w:tcPr>
            <w:tcW w:w="1360" w:type="dxa"/>
            <w:shd w:val="clear" w:color="auto" w:fill="auto"/>
            <w:noWrap w:val="0"/>
            <w:vAlign w:val="center"/>
          </w:tcPr>
          <w:p w14:paraId="6DAFC464">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 xml:space="preserve">0.148 </w:t>
            </w:r>
          </w:p>
        </w:tc>
        <w:tc>
          <w:tcPr>
            <w:tcW w:w="1701" w:type="dxa"/>
            <w:shd w:val="clear" w:color="auto" w:fill="auto"/>
            <w:noWrap w:val="0"/>
            <w:vAlign w:val="center"/>
          </w:tcPr>
          <w:p w14:paraId="1795170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rPr>
              <w:t>0.540</w:t>
            </w:r>
          </w:p>
        </w:tc>
        <w:tc>
          <w:tcPr>
            <w:tcW w:w="1475" w:type="dxa"/>
            <w:noWrap w:val="0"/>
            <w:vAlign w:val="center"/>
          </w:tcPr>
          <w:p w14:paraId="6E65BE2D">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bidi="ar-SA"/>
              </w:rPr>
              <w:t>+0.392</w:t>
            </w:r>
          </w:p>
        </w:tc>
      </w:tr>
      <w:tr w14:paraId="3AFCF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6C47C86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358BCE45">
            <w:pPr>
              <w:keepNext w:val="0"/>
              <w:keepLines w:val="0"/>
              <w:pageBreakBefore w:val="0"/>
              <w:widowControl/>
              <w:kinsoku/>
              <w:wordWrap/>
              <w:topLinePunct w:val="0"/>
              <w:autoSpaceDE/>
              <w:autoSpaceDN/>
              <w:bidi w:val="0"/>
              <w:adjustRightInd w:val="0"/>
              <w:snapToGrid w:val="0"/>
              <w:spacing w:beforeAutospacing="0" w:afterAutospacing="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二噁英类</w:t>
            </w:r>
          </w:p>
        </w:tc>
        <w:tc>
          <w:tcPr>
            <w:tcW w:w="1493" w:type="dxa"/>
            <w:shd w:val="clear" w:color="auto" w:fill="auto"/>
            <w:noWrap w:val="0"/>
            <w:vAlign w:val="center"/>
          </w:tcPr>
          <w:p w14:paraId="0D1ACFC1">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0.019</w:t>
            </w:r>
            <w:r>
              <w:rPr>
                <w:rFonts w:hint="eastAsia" w:cs="Times New Roman"/>
                <w:b w:val="0"/>
                <w:bCs w:val="0"/>
                <w:color w:val="auto"/>
                <w:lang w:val="en-US" w:eastAsia="zh-CN"/>
              </w:rPr>
              <w:t>g</w:t>
            </w:r>
            <w:r>
              <w:rPr>
                <w:rFonts w:hint="default" w:ascii="Times New Roman" w:hAnsi="Times New Roman" w:cs="Times New Roman"/>
                <w:snapToGrid w:val="0"/>
                <w:color w:val="auto"/>
                <w:kern w:val="21"/>
                <w:sz w:val="21"/>
                <w:szCs w:val="21"/>
                <w:highlight w:val="none"/>
                <w:lang w:val="en-US" w:eastAsia="zh-CN"/>
              </w:rPr>
              <w:t>TEQ</w:t>
            </w:r>
            <w:r>
              <w:rPr>
                <w:rFonts w:hint="eastAsia" w:cs="Times New Roman"/>
                <w:b w:val="0"/>
                <w:bCs w:val="0"/>
                <w:color w:val="auto"/>
                <w:lang w:val="en-US" w:eastAsia="zh-CN"/>
              </w:rPr>
              <w:t>/a</w:t>
            </w:r>
          </w:p>
        </w:tc>
        <w:tc>
          <w:tcPr>
            <w:tcW w:w="1315" w:type="dxa"/>
            <w:noWrap w:val="0"/>
            <w:vAlign w:val="center"/>
          </w:tcPr>
          <w:p w14:paraId="21C543F3">
            <w:pPr>
              <w:keepNext w:val="0"/>
              <w:keepLines w:val="0"/>
              <w:pageBreakBefore w:val="0"/>
              <w:widowControl/>
              <w:kinsoku/>
              <w:wordWrap/>
              <w:topLinePunct w:val="0"/>
              <w:autoSpaceDE/>
              <w:autoSpaceDN/>
              <w:bidi w:val="0"/>
              <w:snapToGrid w:val="0"/>
              <w:spacing w:beforeAutospacing="0" w:afterAutospacing="0" w:line="240" w:lineRule="auto"/>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65" w:type="dxa"/>
            <w:noWrap w:val="0"/>
            <w:vAlign w:val="center"/>
          </w:tcPr>
          <w:p w14:paraId="7A4E47FD">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687C52D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eastAsia" w:ascii="Times New Roman" w:cs="Times New Roman"/>
                <w:snapToGrid w:val="0"/>
                <w:color w:val="auto"/>
                <w:kern w:val="21"/>
                <w:sz w:val="21"/>
                <w:szCs w:val="21"/>
                <w:highlight w:val="none"/>
                <w:lang w:val="en-US" w:eastAsia="zh-CN"/>
              </w:rPr>
              <w:t>0.396</w:t>
            </w:r>
            <w:r>
              <w:rPr>
                <w:rFonts w:hint="eastAsia" w:cs="Times New Roman"/>
                <w:b w:val="0"/>
                <w:bCs w:val="0"/>
                <w:color w:val="auto"/>
                <w:lang w:val="en-US" w:eastAsia="zh-CN"/>
              </w:rPr>
              <w:t>g</w:t>
            </w:r>
            <w:r>
              <w:rPr>
                <w:rFonts w:hint="default" w:ascii="Times New Roman" w:hAnsi="Times New Roman" w:cs="Times New Roman"/>
                <w:snapToGrid w:val="0"/>
                <w:color w:val="auto"/>
                <w:kern w:val="21"/>
                <w:sz w:val="21"/>
                <w:szCs w:val="21"/>
                <w:highlight w:val="none"/>
                <w:lang w:val="en-US" w:eastAsia="zh-CN"/>
              </w:rPr>
              <w:t>TEQ</w:t>
            </w:r>
            <w:r>
              <w:rPr>
                <w:rFonts w:hint="eastAsia" w:cs="Times New Roman"/>
                <w:b w:val="0"/>
                <w:bCs w:val="0"/>
                <w:color w:val="auto"/>
                <w:lang w:val="en-US" w:eastAsia="zh-CN"/>
              </w:rPr>
              <w:t>/a</w:t>
            </w:r>
          </w:p>
        </w:tc>
        <w:tc>
          <w:tcPr>
            <w:tcW w:w="1360" w:type="dxa"/>
            <w:shd w:val="clear" w:color="auto" w:fill="auto"/>
            <w:noWrap w:val="0"/>
            <w:vAlign w:val="center"/>
          </w:tcPr>
          <w:p w14:paraId="39708B44">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0.019</w:t>
            </w:r>
            <w:r>
              <w:rPr>
                <w:rFonts w:hint="eastAsia" w:cs="Times New Roman"/>
                <w:b w:val="0"/>
                <w:bCs w:val="0"/>
                <w:color w:val="auto"/>
                <w:lang w:val="en-US" w:eastAsia="zh-CN"/>
              </w:rPr>
              <w:t>g</w:t>
            </w:r>
            <w:r>
              <w:rPr>
                <w:rFonts w:hint="default" w:ascii="Times New Roman" w:hAnsi="Times New Roman" w:cs="Times New Roman"/>
                <w:snapToGrid w:val="0"/>
                <w:color w:val="auto"/>
                <w:kern w:val="21"/>
                <w:sz w:val="21"/>
                <w:szCs w:val="21"/>
                <w:highlight w:val="none"/>
                <w:lang w:val="en-US" w:eastAsia="zh-CN"/>
              </w:rPr>
              <w:t>TEQ</w:t>
            </w:r>
            <w:r>
              <w:rPr>
                <w:rFonts w:hint="eastAsia" w:cs="Times New Roman"/>
                <w:b w:val="0"/>
                <w:bCs w:val="0"/>
                <w:color w:val="auto"/>
                <w:lang w:val="en-US" w:eastAsia="zh-CN"/>
              </w:rPr>
              <w:t>/a</w:t>
            </w:r>
          </w:p>
        </w:tc>
        <w:tc>
          <w:tcPr>
            <w:tcW w:w="1701" w:type="dxa"/>
            <w:shd w:val="clear" w:color="auto" w:fill="auto"/>
            <w:noWrap w:val="0"/>
            <w:vAlign w:val="center"/>
          </w:tcPr>
          <w:p w14:paraId="13996B0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 w:val="21"/>
                <w:szCs w:val="21"/>
                <w:highlight w:val="none"/>
                <w:lang w:val="en-US" w:eastAsia="zh-CN"/>
              </w:rPr>
              <w:t>0.396</w:t>
            </w:r>
            <w:r>
              <w:rPr>
                <w:rFonts w:hint="eastAsia" w:cs="Times New Roman"/>
                <w:b w:val="0"/>
                <w:bCs w:val="0"/>
                <w:color w:val="auto"/>
                <w:lang w:val="en-US" w:eastAsia="zh-CN"/>
              </w:rPr>
              <w:t>g</w:t>
            </w:r>
            <w:r>
              <w:rPr>
                <w:rFonts w:hint="default" w:ascii="Times New Roman" w:hAnsi="Times New Roman" w:cs="Times New Roman"/>
                <w:snapToGrid w:val="0"/>
                <w:color w:val="auto"/>
                <w:kern w:val="21"/>
                <w:sz w:val="21"/>
                <w:szCs w:val="21"/>
                <w:highlight w:val="none"/>
                <w:lang w:val="en-US" w:eastAsia="zh-CN"/>
              </w:rPr>
              <w:t>TEQ</w:t>
            </w:r>
            <w:r>
              <w:rPr>
                <w:rFonts w:hint="eastAsia" w:cs="Times New Roman"/>
                <w:b w:val="0"/>
                <w:bCs w:val="0"/>
                <w:color w:val="auto"/>
                <w:lang w:val="en-US" w:eastAsia="zh-CN"/>
              </w:rPr>
              <w:t>/a</w:t>
            </w:r>
          </w:p>
        </w:tc>
        <w:tc>
          <w:tcPr>
            <w:tcW w:w="1475" w:type="dxa"/>
            <w:noWrap w:val="0"/>
            <w:vAlign w:val="center"/>
          </w:tcPr>
          <w:p w14:paraId="4BBB40F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r>
              <w:rPr>
                <w:rFonts w:hint="eastAsia" w:ascii="Times New Roman" w:cs="Times New Roman"/>
                <w:snapToGrid w:val="0"/>
                <w:color w:val="auto"/>
                <w:kern w:val="21"/>
                <w:sz w:val="21"/>
                <w:szCs w:val="21"/>
                <w:highlight w:val="none"/>
                <w:lang w:val="en-US" w:eastAsia="zh-CN"/>
              </w:rPr>
              <w:t>377</w:t>
            </w:r>
          </w:p>
          <w:p w14:paraId="3E229B8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gTEQ/a</w:t>
            </w:r>
          </w:p>
        </w:tc>
      </w:tr>
      <w:tr w14:paraId="064B4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restart"/>
            <w:noWrap w:val="0"/>
            <w:vAlign w:val="center"/>
          </w:tcPr>
          <w:p w14:paraId="2587765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废水</w:t>
            </w:r>
          </w:p>
        </w:tc>
        <w:tc>
          <w:tcPr>
            <w:tcW w:w="1789" w:type="dxa"/>
            <w:noWrap w:val="0"/>
            <w:vAlign w:val="center"/>
          </w:tcPr>
          <w:p w14:paraId="7E2D119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水量</w:t>
            </w:r>
          </w:p>
        </w:tc>
        <w:tc>
          <w:tcPr>
            <w:tcW w:w="1493" w:type="dxa"/>
            <w:shd w:val="clear" w:color="auto" w:fill="auto"/>
            <w:noWrap w:val="0"/>
            <w:vAlign w:val="center"/>
          </w:tcPr>
          <w:p w14:paraId="1A03AA3B">
            <w:pPr>
              <w:pStyle w:val="46"/>
              <w:keepNext w:val="0"/>
              <w:keepLines w:val="0"/>
              <w:pageBreakBefore w:val="0"/>
              <w:kinsoku/>
              <w:wordWrap/>
              <w:topLinePunct w:val="0"/>
              <w:autoSpaceDE/>
              <w:autoSpaceDN/>
              <w:bidi w:val="0"/>
              <w:snapToGrid w:val="0"/>
              <w:spacing w:beforeLines="0" w:beforeAutospacing="0" w:afterLines="0" w:afterAutospacing="0"/>
              <w:jc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lang w:val="en-US" w:eastAsia="zh-CN"/>
              </w:rPr>
              <w:t>0</w:t>
            </w:r>
          </w:p>
        </w:tc>
        <w:tc>
          <w:tcPr>
            <w:tcW w:w="1315" w:type="dxa"/>
            <w:noWrap w:val="0"/>
            <w:vAlign w:val="center"/>
          </w:tcPr>
          <w:p w14:paraId="4F184D6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45821821">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1FC4139D">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6311292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noWrap w:val="0"/>
            <w:vAlign w:val="center"/>
          </w:tcPr>
          <w:p w14:paraId="46E4E760">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475" w:type="dxa"/>
            <w:noWrap w:val="0"/>
            <w:vAlign w:val="center"/>
          </w:tcPr>
          <w:p w14:paraId="186209B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color w:val="auto"/>
                <w:sz w:val="21"/>
                <w:szCs w:val="21"/>
                <w:highlight w:val="none"/>
                <w:lang w:val="en-US" w:eastAsia="zh-CN" w:bidi="ar"/>
              </w:rPr>
            </w:pPr>
            <w:r>
              <w:rPr>
                <w:rFonts w:hint="default" w:ascii="Times New Roman" w:hAnsi="Times New Roman" w:cs="Times New Roman"/>
                <w:snapToGrid w:val="0"/>
                <w:color w:val="auto"/>
                <w:kern w:val="21"/>
                <w:sz w:val="21"/>
                <w:szCs w:val="21"/>
                <w:highlight w:val="none"/>
                <w:lang w:val="en-US" w:eastAsia="zh-CN"/>
              </w:rPr>
              <w:t>0</w:t>
            </w:r>
          </w:p>
        </w:tc>
      </w:tr>
      <w:tr w14:paraId="39947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74C9E53C">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28BBA0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COD</w:t>
            </w:r>
          </w:p>
        </w:tc>
        <w:tc>
          <w:tcPr>
            <w:tcW w:w="1493" w:type="dxa"/>
            <w:noWrap w:val="0"/>
            <w:vAlign w:val="center"/>
          </w:tcPr>
          <w:p w14:paraId="287939B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15" w:type="dxa"/>
            <w:noWrap w:val="0"/>
            <w:vAlign w:val="center"/>
          </w:tcPr>
          <w:p w14:paraId="5A9433EB">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3D65419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0FDBBA0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0230710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noWrap w:val="0"/>
            <w:vAlign w:val="center"/>
          </w:tcPr>
          <w:p w14:paraId="741DC81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475" w:type="dxa"/>
            <w:noWrap w:val="0"/>
            <w:vAlign w:val="center"/>
          </w:tcPr>
          <w:p w14:paraId="3A0EBC0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r>
      <w:tr w14:paraId="5ADEC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5548CD4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5522826">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color w:val="auto"/>
                <w:sz w:val="21"/>
                <w:szCs w:val="21"/>
                <w:highlight w:val="none"/>
                <w:lang w:val="en-US" w:eastAsia="zh-CN"/>
              </w:rPr>
              <w:t>氨氮</w:t>
            </w:r>
          </w:p>
        </w:tc>
        <w:tc>
          <w:tcPr>
            <w:tcW w:w="1493" w:type="dxa"/>
            <w:noWrap w:val="0"/>
            <w:vAlign w:val="center"/>
          </w:tcPr>
          <w:p w14:paraId="1B2FD2C0">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15" w:type="dxa"/>
            <w:noWrap w:val="0"/>
            <w:vAlign w:val="center"/>
          </w:tcPr>
          <w:p w14:paraId="08D6987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254859D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493FB34C">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4374581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noWrap w:val="0"/>
            <w:vAlign w:val="center"/>
          </w:tcPr>
          <w:p w14:paraId="27BD87B1">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475" w:type="dxa"/>
            <w:noWrap w:val="0"/>
            <w:vAlign w:val="center"/>
          </w:tcPr>
          <w:p w14:paraId="57ACBC6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r>
      <w:tr w14:paraId="0F09C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restart"/>
            <w:noWrap w:val="0"/>
            <w:vAlign w:val="center"/>
          </w:tcPr>
          <w:p w14:paraId="173B780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一般固体废物</w:t>
            </w:r>
          </w:p>
        </w:tc>
        <w:tc>
          <w:tcPr>
            <w:tcW w:w="1789" w:type="dxa"/>
            <w:noWrap w:val="0"/>
            <w:vAlign w:val="center"/>
          </w:tcPr>
          <w:p w14:paraId="17191929">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生活垃圾</w:t>
            </w:r>
          </w:p>
        </w:tc>
        <w:tc>
          <w:tcPr>
            <w:tcW w:w="1493" w:type="dxa"/>
            <w:noWrap w:val="0"/>
            <w:vAlign w:val="center"/>
          </w:tcPr>
          <w:p w14:paraId="3DAD1FF0">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76.4</w:t>
            </w:r>
          </w:p>
        </w:tc>
        <w:tc>
          <w:tcPr>
            <w:tcW w:w="1315" w:type="dxa"/>
            <w:noWrap w:val="0"/>
            <w:vAlign w:val="center"/>
          </w:tcPr>
          <w:p w14:paraId="4780F9B1">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441C36B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739EBA59">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47A1F247">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14197AAB">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76.4</w:t>
            </w:r>
          </w:p>
        </w:tc>
        <w:tc>
          <w:tcPr>
            <w:tcW w:w="1475" w:type="dxa"/>
            <w:noWrap w:val="0"/>
            <w:vAlign w:val="center"/>
          </w:tcPr>
          <w:p w14:paraId="72ED1FEA">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eastAsia="宋体" w:cs="Times New Roman"/>
                <w:snapToGrid w:val="0"/>
                <w:color w:val="auto"/>
                <w:kern w:val="21"/>
                <w:sz w:val="21"/>
                <w:szCs w:val="21"/>
                <w:highlight w:val="none"/>
                <w:lang w:eastAsia="zh-CN"/>
              </w:rPr>
            </w:pPr>
            <w:r>
              <w:rPr>
                <w:rFonts w:hint="default" w:ascii="Times New Roman" w:hAnsi="Times New Roman" w:cs="Times New Roman"/>
                <w:color w:val="auto"/>
                <w:sz w:val="21"/>
                <w:szCs w:val="21"/>
                <w:highlight w:val="none"/>
                <w:lang w:val="en-US" w:eastAsia="zh-CN"/>
              </w:rPr>
              <w:t>0</w:t>
            </w:r>
          </w:p>
        </w:tc>
      </w:tr>
      <w:tr w14:paraId="4515B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58AAE99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61ABE40A">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除尘器收尘</w:t>
            </w:r>
          </w:p>
        </w:tc>
        <w:tc>
          <w:tcPr>
            <w:tcW w:w="1493" w:type="dxa"/>
            <w:noWrap w:val="0"/>
            <w:vAlign w:val="center"/>
          </w:tcPr>
          <w:p w14:paraId="6345098F">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360000</w:t>
            </w:r>
          </w:p>
        </w:tc>
        <w:tc>
          <w:tcPr>
            <w:tcW w:w="1315" w:type="dxa"/>
            <w:noWrap w:val="0"/>
            <w:vAlign w:val="center"/>
          </w:tcPr>
          <w:p w14:paraId="095C716C">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2DBEEE5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74C15B1A">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16863CC3">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7A55E27E">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360000</w:t>
            </w:r>
          </w:p>
        </w:tc>
        <w:tc>
          <w:tcPr>
            <w:tcW w:w="1475" w:type="dxa"/>
            <w:noWrap w:val="0"/>
            <w:vAlign w:val="center"/>
          </w:tcPr>
          <w:p w14:paraId="491A4ABD">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eastAsia="宋体" w:cs="Times New Roman"/>
                <w:snapToGrid w:val="0"/>
                <w:color w:val="auto"/>
                <w:kern w:val="21"/>
                <w:sz w:val="21"/>
                <w:szCs w:val="21"/>
                <w:highlight w:val="none"/>
                <w:lang w:eastAsia="zh-CN"/>
              </w:rPr>
            </w:pPr>
            <w:r>
              <w:rPr>
                <w:rFonts w:hint="default" w:ascii="Times New Roman" w:hAnsi="Times New Roman" w:cs="Times New Roman"/>
                <w:color w:val="auto"/>
                <w:sz w:val="21"/>
                <w:szCs w:val="21"/>
                <w:highlight w:val="none"/>
                <w:lang w:val="en-US" w:eastAsia="zh-CN"/>
              </w:rPr>
              <w:t>0</w:t>
            </w:r>
          </w:p>
        </w:tc>
      </w:tr>
      <w:tr w14:paraId="3FA23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3A73854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E13A2D8">
            <w:pPr>
              <w:pStyle w:val="46"/>
              <w:keepNext w:val="0"/>
              <w:keepLines w:val="0"/>
              <w:pageBreakBefore w:val="0"/>
              <w:kinsoku/>
              <w:wordWrap/>
              <w:topLinePunct w:val="0"/>
              <w:autoSpaceDE/>
              <w:autoSpaceDN/>
              <w:bidi w:val="0"/>
              <w:snapToGrid w:val="0"/>
              <w:spacing w:beforeLines="0" w:beforeAutospacing="0" w:afterLines="0" w:afterAutospacing="0"/>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沉淀池污泥</w:t>
            </w:r>
          </w:p>
        </w:tc>
        <w:tc>
          <w:tcPr>
            <w:tcW w:w="1493" w:type="dxa"/>
            <w:noWrap w:val="0"/>
            <w:vAlign w:val="center"/>
          </w:tcPr>
          <w:p w14:paraId="1D7E73C3">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1.3</w:t>
            </w:r>
          </w:p>
        </w:tc>
        <w:tc>
          <w:tcPr>
            <w:tcW w:w="1315" w:type="dxa"/>
            <w:shd w:val="clear" w:color="auto" w:fill="auto"/>
            <w:noWrap w:val="0"/>
            <w:vAlign w:val="center"/>
          </w:tcPr>
          <w:p w14:paraId="36DB432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565" w:type="dxa"/>
            <w:shd w:val="clear" w:color="auto" w:fill="auto"/>
            <w:noWrap w:val="0"/>
            <w:vAlign w:val="center"/>
          </w:tcPr>
          <w:p w14:paraId="0E24EB7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555" w:type="dxa"/>
            <w:shd w:val="clear" w:color="auto" w:fill="auto"/>
            <w:noWrap w:val="0"/>
            <w:vAlign w:val="center"/>
          </w:tcPr>
          <w:p w14:paraId="30F5874A">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360" w:type="dxa"/>
            <w:shd w:val="clear" w:color="auto" w:fill="auto"/>
            <w:noWrap w:val="0"/>
            <w:vAlign w:val="center"/>
          </w:tcPr>
          <w:p w14:paraId="34C9F327">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7265A0D9">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1.3</w:t>
            </w:r>
          </w:p>
        </w:tc>
        <w:tc>
          <w:tcPr>
            <w:tcW w:w="1475" w:type="dxa"/>
            <w:noWrap w:val="0"/>
            <w:vAlign w:val="center"/>
          </w:tcPr>
          <w:p w14:paraId="2BD776F3">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r w14:paraId="6544E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450A35E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0039106A">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lang w:val="en-US" w:eastAsia="zh-CN"/>
              </w:rPr>
            </w:pPr>
            <w:r>
              <w:rPr>
                <w:rFonts w:hint="eastAsia" w:cs="Times New Roman"/>
                <w:color w:val="auto"/>
                <w:lang w:val="en-US" w:eastAsia="zh-CN"/>
              </w:rPr>
              <w:t>气化炉灰渣</w:t>
            </w:r>
          </w:p>
        </w:tc>
        <w:tc>
          <w:tcPr>
            <w:tcW w:w="1493" w:type="dxa"/>
            <w:noWrap w:val="0"/>
            <w:vAlign w:val="center"/>
          </w:tcPr>
          <w:p w14:paraId="788D5DC4">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lang w:val="en-US" w:eastAsia="zh-CN"/>
              </w:rPr>
            </w:pPr>
            <w:r>
              <w:rPr>
                <w:rFonts w:hint="eastAsia" w:cs="Times New Roman"/>
                <w:color w:val="auto"/>
                <w:lang w:val="en-US" w:eastAsia="zh-CN"/>
              </w:rPr>
              <w:t>6200</w:t>
            </w:r>
          </w:p>
        </w:tc>
        <w:tc>
          <w:tcPr>
            <w:tcW w:w="1315" w:type="dxa"/>
            <w:shd w:val="clear" w:color="auto" w:fill="auto"/>
            <w:noWrap w:val="0"/>
            <w:vAlign w:val="center"/>
          </w:tcPr>
          <w:p w14:paraId="4A9DFB8F">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565" w:type="dxa"/>
            <w:shd w:val="clear" w:color="auto" w:fill="auto"/>
            <w:noWrap w:val="0"/>
            <w:vAlign w:val="center"/>
          </w:tcPr>
          <w:p w14:paraId="31229163">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555" w:type="dxa"/>
            <w:shd w:val="clear" w:color="auto" w:fill="auto"/>
            <w:noWrap w:val="0"/>
            <w:vAlign w:val="center"/>
          </w:tcPr>
          <w:p w14:paraId="509B4C5E">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360" w:type="dxa"/>
            <w:shd w:val="clear" w:color="auto" w:fill="auto"/>
            <w:noWrap w:val="0"/>
            <w:vAlign w:val="center"/>
          </w:tcPr>
          <w:p w14:paraId="1220CB35">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1E570604">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6200</w:t>
            </w:r>
          </w:p>
        </w:tc>
        <w:tc>
          <w:tcPr>
            <w:tcW w:w="1475" w:type="dxa"/>
            <w:noWrap w:val="0"/>
            <w:vAlign w:val="center"/>
          </w:tcPr>
          <w:p w14:paraId="0AD20CE5">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r w14:paraId="62A7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03" w:type="dxa"/>
            <w:vMerge w:val="continue"/>
            <w:noWrap w:val="0"/>
            <w:vAlign w:val="center"/>
          </w:tcPr>
          <w:p w14:paraId="3F8E69B2">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3F4DF89A">
            <w:pPr>
              <w:pStyle w:val="46"/>
              <w:keepNext w:val="0"/>
              <w:keepLines w:val="0"/>
              <w:pageBreakBefore w:val="0"/>
              <w:kinsoku/>
              <w:wordWrap/>
              <w:topLinePunct w:val="0"/>
              <w:autoSpaceDE/>
              <w:autoSpaceDN/>
              <w:bidi w:val="0"/>
              <w:snapToGrid w:val="0"/>
              <w:spacing w:beforeLines="0" w:beforeAutospacing="0" w:afterLines="0" w:afterAutospacing="0"/>
              <w:rPr>
                <w:rFonts w:hint="default" w:cs="Times New Roman"/>
                <w:color w:val="auto"/>
                <w:lang w:val="en-US" w:eastAsia="zh-CN"/>
              </w:rPr>
            </w:pPr>
            <w:r>
              <w:rPr>
                <w:rFonts w:hint="eastAsia" w:cs="Times New Roman"/>
                <w:color w:val="auto"/>
                <w:lang w:val="en-US" w:eastAsia="zh-CN"/>
              </w:rPr>
              <w:t>除尘器废布袋</w:t>
            </w:r>
          </w:p>
        </w:tc>
        <w:tc>
          <w:tcPr>
            <w:tcW w:w="1493" w:type="dxa"/>
            <w:noWrap w:val="0"/>
            <w:vAlign w:val="center"/>
          </w:tcPr>
          <w:p w14:paraId="5F4F0197">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2</w:t>
            </w:r>
          </w:p>
        </w:tc>
        <w:tc>
          <w:tcPr>
            <w:tcW w:w="1315" w:type="dxa"/>
            <w:shd w:val="clear" w:color="auto" w:fill="auto"/>
            <w:noWrap w:val="0"/>
            <w:vAlign w:val="center"/>
          </w:tcPr>
          <w:p w14:paraId="1E65F9F9">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565" w:type="dxa"/>
            <w:shd w:val="clear" w:color="auto" w:fill="auto"/>
            <w:noWrap w:val="0"/>
            <w:vAlign w:val="center"/>
          </w:tcPr>
          <w:p w14:paraId="6D4FA24C">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555" w:type="dxa"/>
            <w:shd w:val="clear" w:color="auto" w:fill="auto"/>
            <w:noWrap w:val="0"/>
            <w:vAlign w:val="center"/>
          </w:tcPr>
          <w:p w14:paraId="2F235F28">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360" w:type="dxa"/>
            <w:shd w:val="clear" w:color="auto" w:fill="auto"/>
            <w:noWrap w:val="0"/>
            <w:vAlign w:val="center"/>
          </w:tcPr>
          <w:p w14:paraId="624834A4">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715477EC">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2</w:t>
            </w:r>
          </w:p>
        </w:tc>
        <w:tc>
          <w:tcPr>
            <w:tcW w:w="1475" w:type="dxa"/>
            <w:noWrap w:val="0"/>
            <w:vAlign w:val="center"/>
          </w:tcPr>
          <w:p w14:paraId="7CDB68D5">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r w14:paraId="42449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03" w:type="dxa"/>
            <w:vMerge w:val="restart"/>
            <w:noWrap w:val="0"/>
            <w:vAlign w:val="center"/>
          </w:tcPr>
          <w:p w14:paraId="18B4DBE3">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危险废物</w:t>
            </w:r>
          </w:p>
        </w:tc>
        <w:tc>
          <w:tcPr>
            <w:tcW w:w="1789" w:type="dxa"/>
            <w:noWrap w:val="0"/>
            <w:vAlign w:val="center"/>
          </w:tcPr>
          <w:p w14:paraId="3A01BCFD">
            <w:pPr>
              <w:pStyle w:val="46"/>
              <w:keepNext w:val="0"/>
              <w:keepLines w:val="0"/>
              <w:pageBreakBefore w:val="0"/>
              <w:kinsoku/>
              <w:wordWrap/>
              <w:topLinePunct w:val="0"/>
              <w:autoSpaceDE/>
              <w:autoSpaceDN/>
              <w:bidi w:val="0"/>
              <w:snapToGrid w:val="0"/>
              <w:spacing w:beforeLines="0" w:beforeAutospacing="0" w:afterLines="0" w:afterAutospacing="0"/>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废活性炭</w:t>
            </w:r>
          </w:p>
        </w:tc>
        <w:tc>
          <w:tcPr>
            <w:tcW w:w="1493" w:type="dxa"/>
            <w:noWrap w:val="0"/>
            <w:vAlign w:val="center"/>
          </w:tcPr>
          <w:p w14:paraId="00293022">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0.3</w:t>
            </w:r>
          </w:p>
        </w:tc>
        <w:tc>
          <w:tcPr>
            <w:tcW w:w="1315" w:type="dxa"/>
            <w:noWrap w:val="0"/>
            <w:vAlign w:val="center"/>
          </w:tcPr>
          <w:p w14:paraId="041945A1">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1449EFF4">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53D46CB5">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7310CC13">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37EF695C">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0.3</w:t>
            </w:r>
          </w:p>
        </w:tc>
        <w:tc>
          <w:tcPr>
            <w:tcW w:w="1475" w:type="dxa"/>
            <w:noWrap w:val="0"/>
            <w:vAlign w:val="center"/>
          </w:tcPr>
          <w:p w14:paraId="2A489A64">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r w14:paraId="2C894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03" w:type="dxa"/>
            <w:vMerge w:val="continue"/>
            <w:noWrap w:val="0"/>
            <w:vAlign w:val="center"/>
          </w:tcPr>
          <w:p w14:paraId="25CC0F8E">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CC83437">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废催化剂</w:t>
            </w:r>
          </w:p>
        </w:tc>
        <w:tc>
          <w:tcPr>
            <w:tcW w:w="1493" w:type="dxa"/>
            <w:noWrap w:val="0"/>
            <w:vAlign w:val="center"/>
          </w:tcPr>
          <w:p w14:paraId="122107E5">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73.08</w:t>
            </w:r>
          </w:p>
        </w:tc>
        <w:tc>
          <w:tcPr>
            <w:tcW w:w="1315" w:type="dxa"/>
            <w:noWrap w:val="0"/>
            <w:vAlign w:val="center"/>
          </w:tcPr>
          <w:p w14:paraId="69A0C8FE">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0D6B1477">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079966A5">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618F735D">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64DC2CE9">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73.08</w:t>
            </w:r>
          </w:p>
        </w:tc>
        <w:tc>
          <w:tcPr>
            <w:tcW w:w="1475" w:type="dxa"/>
            <w:noWrap w:val="0"/>
            <w:vAlign w:val="center"/>
          </w:tcPr>
          <w:p w14:paraId="7794BBCA">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r w14:paraId="285AA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03" w:type="dxa"/>
            <w:vMerge w:val="continue"/>
            <w:noWrap w:val="0"/>
            <w:vAlign w:val="center"/>
          </w:tcPr>
          <w:p w14:paraId="4C71483A">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3D05367">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废矿物油及包装桶</w:t>
            </w:r>
          </w:p>
        </w:tc>
        <w:tc>
          <w:tcPr>
            <w:tcW w:w="1493" w:type="dxa"/>
            <w:noWrap w:val="0"/>
            <w:vAlign w:val="center"/>
          </w:tcPr>
          <w:p w14:paraId="1562D116">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0.24</w:t>
            </w:r>
          </w:p>
        </w:tc>
        <w:tc>
          <w:tcPr>
            <w:tcW w:w="1315" w:type="dxa"/>
            <w:noWrap w:val="0"/>
            <w:vAlign w:val="center"/>
          </w:tcPr>
          <w:p w14:paraId="500F8E12">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0AA6662F">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00060396">
            <w:pPr>
              <w:keepNext w:val="0"/>
              <w:keepLines w:val="0"/>
              <w:pageBreakBefore w:val="0"/>
              <w:kinsoku/>
              <w:wordWrap/>
              <w:topLinePunct w:val="0"/>
              <w:autoSpaceDE/>
              <w:autoSpaceDN/>
              <w:bidi w:val="0"/>
              <w:snapToGrid w:val="0"/>
              <w:spacing w:beforeAutospacing="0" w:afterAutospacing="0" w:line="240" w:lineRule="auto"/>
              <w:jc w:val="center"/>
              <w:rPr>
                <w:rFonts w:hint="default" w:ascii="Times New Roman" w:hAnsi="Times New Roman"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0.02</w:t>
            </w:r>
          </w:p>
        </w:tc>
        <w:tc>
          <w:tcPr>
            <w:tcW w:w="1360" w:type="dxa"/>
            <w:noWrap w:val="0"/>
            <w:vAlign w:val="center"/>
          </w:tcPr>
          <w:p w14:paraId="68D792F4">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5821B78D">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0.26</w:t>
            </w:r>
          </w:p>
        </w:tc>
        <w:tc>
          <w:tcPr>
            <w:tcW w:w="1475" w:type="dxa"/>
            <w:noWrap w:val="0"/>
            <w:vAlign w:val="center"/>
          </w:tcPr>
          <w:p w14:paraId="211A4007">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+0.02</w:t>
            </w:r>
          </w:p>
        </w:tc>
      </w:tr>
      <w:tr w14:paraId="5EDDD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03" w:type="dxa"/>
            <w:vMerge w:val="continue"/>
            <w:noWrap w:val="0"/>
            <w:vAlign w:val="center"/>
          </w:tcPr>
          <w:p w14:paraId="33936878">
            <w:pPr>
              <w:pStyle w:val="81"/>
              <w:keepNext w:val="0"/>
              <w:keepLines w:val="0"/>
              <w:pageBreakBefore w:val="0"/>
              <w:kinsoku/>
              <w:wordWrap/>
              <w:topLinePunct w:val="0"/>
              <w:autoSpaceDE/>
              <w:autoSpaceDN/>
              <w:bidi w:val="0"/>
              <w:snapToGrid w:val="0"/>
              <w:spacing w:beforeLines="0" w:beforeAutospacing="0" w:afterLines="0" w:afterAutospacing="0" w:line="240" w:lineRule="auto"/>
              <w:ind w:firstLine="0" w:firstLineChars="0"/>
              <w:rPr>
                <w:rFonts w:hint="default" w:ascii="Times New Roman" w:hAnsi="Times New Roman" w:cs="Times New Roman"/>
                <w:snapToGrid w:val="0"/>
                <w:color w:val="auto"/>
                <w:kern w:val="21"/>
                <w:sz w:val="21"/>
                <w:szCs w:val="21"/>
                <w:highlight w:val="none"/>
                <w:lang w:val="en-US" w:eastAsia="zh-CN"/>
              </w:rPr>
            </w:pPr>
          </w:p>
        </w:tc>
        <w:tc>
          <w:tcPr>
            <w:tcW w:w="1789" w:type="dxa"/>
            <w:noWrap w:val="0"/>
            <w:vAlign w:val="center"/>
          </w:tcPr>
          <w:p w14:paraId="4EF5B9C7">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废铅蓄电池</w:t>
            </w:r>
          </w:p>
        </w:tc>
        <w:tc>
          <w:tcPr>
            <w:tcW w:w="1493" w:type="dxa"/>
            <w:noWrap w:val="0"/>
            <w:vAlign w:val="center"/>
          </w:tcPr>
          <w:p w14:paraId="283DE964">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cs="Times New Roman"/>
                <w:color w:val="auto"/>
                <w:lang w:val="en-US" w:eastAsia="zh-CN"/>
              </w:rPr>
            </w:pPr>
            <w:r>
              <w:rPr>
                <w:rFonts w:hint="eastAsia" w:cs="Times New Roman"/>
                <w:color w:val="auto"/>
                <w:lang w:val="en-US" w:eastAsia="zh-CN"/>
              </w:rPr>
              <w:t>1.967</w:t>
            </w:r>
          </w:p>
        </w:tc>
        <w:tc>
          <w:tcPr>
            <w:tcW w:w="1315" w:type="dxa"/>
            <w:noWrap w:val="0"/>
            <w:vAlign w:val="center"/>
          </w:tcPr>
          <w:p w14:paraId="7781B65C">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65" w:type="dxa"/>
            <w:noWrap w:val="0"/>
            <w:vAlign w:val="center"/>
          </w:tcPr>
          <w:p w14:paraId="27E65F9D">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lang w:val="en-US" w:eastAsia="zh-CN"/>
              </w:rPr>
              <w:t>0</w:t>
            </w:r>
          </w:p>
        </w:tc>
        <w:tc>
          <w:tcPr>
            <w:tcW w:w="1555" w:type="dxa"/>
            <w:noWrap w:val="0"/>
            <w:vAlign w:val="center"/>
          </w:tcPr>
          <w:p w14:paraId="754C7952">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360" w:type="dxa"/>
            <w:noWrap w:val="0"/>
            <w:vAlign w:val="center"/>
          </w:tcPr>
          <w:p w14:paraId="7FBE89F1">
            <w:pPr>
              <w:keepNext w:val="0"/>
              <w:keepLines w:val="0"/>
              <w:pageBreakBefore w:val="0"/>
              <w:kinsoku/>
              <w:wordWrap/>
              <w:topLinePunct w:val="0"/>
              <w:autoSpaceDE/>
              <w:autoSpaceDN/>
              <w:bidi w:val="0"/>
              <w:snapToGrid w:val="0"/>
              <w:spacing w:beforeAutospacing="0" w:afterAutospacing="0" w:line="240" w:lineRule="auto"/>
              <w:ind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cs="Times New Roman"/>
                <w:snapToGrid w:val="0"/>
                <w:color w:val="auto"/>
                <w:kern w:val="21"/>
                <w:sz w:val="21"/>
                <w:szCs w:val="21"/>
                <w:highlight w:val="none"/>
                <w:lang w:val="en-US" w:eastAsia="zh-CN"/>
              </w:rPr>
              <w:t>0</w:t>
            </w:r>
          </w:p>
        </w:tc>
        <w:tc>
          <w:tcPr>
            <w:tcW w:w="1701" w:type="dxa"/>
            <w:shd w:val="clear" w:color="auto" w:fill="auto"/>
            <w:noWrap w:val="0"/>
            <w:vAlign w:val="center"/>
          </w:tcPr>
          <w:p w14:paraId="3261F0D7">
            <w:pPr>
              <w:pStyle w:val="46"/>
              <w:keepNext w:val="0"/>
              <w:keepLines w:val="0"/>
              <w:pageBreakBefore w:val="0"/>
              <w:kinsoku/>
              <w:wordWrap/>
              <w:topLinePunct w:val="0"/>
              <w:autoSpaceDE/>
              <w:autoSpaceDN/>
              <w:bidi w:val="0"/>
              <w:snapToGrid w:val="0"/>
              <w:spacing w:beforeLines="0" w:beforeAutospacing="0" w:afterLines="0" w:afterAutospacing="0"/>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1.967</w:t>
            </w:r>
          </w:p>
        </w:tc>
        <w:tc>
          <w:tcPr>
            <w:tcW w:w="1475" w:type="dxa"/>
            <w:noWrap w:val="0"/>
            <w:vAlign w:val="center"/>
          </w:tcPr>
          <w:p w14:paraId="4963FA59">
            <w:pPr>
              <w:pStyle w:val="46"/>
              <w:keepNext w:val="0"/>
              <w:keepLines w:val="0"/>
              <w:pageBreakBefore w:val="0"/>
              <w:kinsoku/>
              <w:wordWrap/>
              <w:topLinePunct w:val="0"/>
              <w:autoSpaceDE/>
              <w:autoSpaceDN/>
              <w:bidi w:val="0"/>
              <w:snapToGrid w:val="0"/>
              <w:spacing w:beforeLines="0" w:beforeAutospacing="0" w:afterLines="0" w:afterAutospacing="0" w:line="240" w:lineRule="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r>
    </w:tbl>
    <w:p w14:paraId="3498FDB4">
      <w:pPr>
        <w:pStyle w:val="81"/>
        <w:spacing w:before="192" w:beforeLines="80" w:after="24"/>
        <w:ind w:left="0" w:leftChars="0" w:firstLine="0" w:firstLineChars="0"/>
        <w:jc w:val="left"/>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footerReference r:id="rId8"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432E">
    <w:pPr>
      <w:pStyle w:val="2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5564">
    <w:pPr>
      <w:pStyle w:val="21"/>
      <w:framePr w:wrap="around" w:vAnchor="text" w:hAnchor="margin" w:xAlign="center" w:y="1"/>
      <w:rPr>
        <w:rStyle w:val="38"/>
      </w:rPr>
    </w:pPr>
    <w:r>
      <w:fldChar w:fldCharType="begin"/>
    </w:r>
    <w:r>
      <w:rPr>
        <w:rStyle w:val="38"/>
      </w:rPr>
      <w:instrText xml:space="preserve">PAGE  </w:instrText>
    </w:r>
    <w:r>
      <w:fldChar w:fldCharType="end"/>
    </w:r>
  </w:p>
  <w:p w14:paraId="0B95659F">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73D1">
    <w:pPr>
      <w:pStyle w:val="2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1829F">
                          <w:pPr>
                            <w:pStyle w:val="21"/>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2nWY8s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skIvStQHqDHzIWBuGu78gIsz+wGdmfmgos1f5EQwjgKfrwLLIRGRH61X63WFIYGx+YL47PF5iJDe&#10;Sm9JNhoacYJFWH56D2lMnVNyNefvtTFlisb95UDM7GG597HHbKVhP0yE9r49I58eh99Qh7tOiXnn&#10;UNu8J7MRZ2M/G8cQ9aEri5TrQbg9Jmyi9JYrjLBTYZxaYTdtWF6LP+8l6/Gv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Np1mPLAQAAnQMAAA4AAAAAAAAAAQAgAAAAHgEAAGRycy9lMm9E&#10;b2MueG1sUEsFBgAAAAAGAAYAWQEAAFsFAAAAAA==&#10;">
              <v:fill on="f" focussize="0,0"/>
              <v:stroke on="f"/>
              <v:imagedata o:title=""/>
              <o:lock v:ext="edit" aspectratio="f"/>
              <v:textbox inset="0mm,0mm,0mm,0mm" style="mso-fit-shape-to-text:t;">
                <w:txbxContent>
                  <w:p w14:paraId="4291829F">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25B0">
    <w:pPr>
      <w:pStyle w:val="21"/>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56EF0">
                          <w:pPr>
                            <w:pStyle w:val="21"/>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Style w:val="38"/>
                              <w:rFonts w:ascii="宋体" w:hAnsi="宋体"/>
                              <w:sz w:val="26"/>
                              <w:szCs w:val="26"/>
                            </w:rPr>
                            <w:fldChar w:fldCharType="begin"/>
                          </w:r>
                          <w:r>
                            <w:rPr>
                              <w:rStyle w:val="38"/>
                              <w:rFonts w:ascii="宋体" w:hAnsi="宋体"/>
                              <w:sz w:val="26"/>
                              <w:szCs w:val="26"/>
                            </w:rPr>
                            <w:instrText xml:space="preserve">PAGE  </w:instrText>
                          </w:r>
                          <w:r>
                            <w:rPr>
                              <w:rStyle w:val="38"/>
                              <w:rFonts w:ascii="宋体" w:hAnsi="宋体"/>
                              <w:sz w:val="26"/>
                              <w:szCs w:val="26"/>
                            </w:rPr>
                            <w:fldChar w:fldCharType="separate"/>
                          </w:r>
                          <w:r>
                            <w:rPr>
                              <w:rStyle w:val="38"/>
                              <w:rFonts w:ascii="宋体" w:hAnsi="宋体"/>
                              <w:sz w:val="26"/>
                              <w:szCs w:val="26"/>
                            </w:rPr>
                            <w:t>53</w:t>
                          </w:r>
                          <w:r>
                            <w:rPr>
                              <w:rStyle w:val="38"/>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kKY8sBAACd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OqGEsctTvzy/dvlx6/Lz69k&#10;WaEXJeoD1Jj5GDA3Dfd+wMWZ/YDOzHxQ0eYvciIYR4HPV4HlkIjIj9ar9brCkMDYfEF89vQ8REhv&#10;pbckGw2NOMEiLD+9hzSmzim5mvMP2pgyReP+ciBm9rDc+9hjttKwHyZCe9+ekU+Pw2+ow12nxLxz&#10;qG3ek9mIs7GfjWOI+tCVRcr1INwdEzZRessVRtipME6tsJs2LK/Fn/eS9fR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x5CmPLAQAAnQMAAA4AAAAAAAAAAQAgAAAAHgEAAGRycy9lMm9E&#10;b2MueG1sUEsFBgAAAAAGAAYAWQEAAFsFAAAAAA==&#10;">
              <v:fill on="f" focussize="0,0"/>
              <v:stroke on="f"/>
              <v:imagedata o:title=""/>
              <o:lock v:ext="edit" aspectratio="f"/>
              <v:textbox inset="0mm,0mm,0mm,0mm" style="mso-fit-shape-to-text:t;">
                <w:txbxContent>
                  <w:p w14:paraId="3A156EF0">
                    <w:pPr>
                      <w:pStyle w:val="21"/>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Style w:val="38"/>
                        <w:rFonts w:ascii="宋体" w:hAnsi="宋体"/>
                        <w:sz w:val="26"/>
                        <w:szCs w:val="26"/>
                      </w:rPr>
                      <w:fldChar w:fldCharType="begin"/>
                    </w:r>
                    <w:r>
                      <w:rPr>
                        <w:rStyle w:val="38"/>
                        <w:rFonts w:ascii="宋体" w:hAnsi="宋体"/>
                        <w:sz w:val="26"/>
                        <w:szCs w:val="26"/>
                      </w:rPr>
                      <w:instrText xml:space="preserve">PAGE  </w:instrText>
                    </w:r>
                    <w:r>
                      <w:rPr>
                        <w:rStyle w:val="38"/>
                        <w:rFonts w:ascii="宋体" w:hAnsi="宋体"/>
                        <w:sz w:val="26"/>
                        <w:szCs w:val="26"/>
                      </w:rPr>
                      <w:fldChar w:fldCharType="separate"/>
                    </w:r>
                    <w:r>
                      <w:rPr>
                        <w:rStyle w:val="38"/>
                        <w:rFonts w:ascii="宋体" w:hAnsi="宋体"/>
                        <w:sz w:val="26"/>
                        <w:szCs w:val="26"/>
                      </w:rPr>
                      <w:t>53</w:t>
                    </w:r>
                    <w:r>
                      <w:rPr>
                        <w:rStyle w:val="38"/>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74A47"/>
    <w:multiLevelType w:val="singleLevel"/>
    <w:tmpl w:val="C9674A47"/>
    <w:lvl w:ilvl="0" w:tentative="0">
      <w:start w:val="1"/>
      <w:numFmt w:val="chineseCounting"/>
      <w:suff w:val="nothing"/>
      <w:lvlText w:val="%1、"/>
      <w:lvlJc w:val="left"/>
      <w:rPr>
        <w:rFonts w:hint="eastAsia"/>
      </w:rPr>
    </w:lvl>
  </w:abstractNum>
  <w:abstractNum w:abstractNumId="1">
    <w:nsid w:val="11043860"/>
    <w:multiLevelType w:val="multilevel"/>
    <w:tmpl w:val="11043860"/>
    <w:lvl w:ilvl="0" w:tentative="0">
      <w:start w:val="1"/>
      <w:numFmt w:val="decimal"/>
      <w:suff w:val="nothing"/>
      <w:lvlText w:val="%1"/>
      <w:lvlJc w:val="left"/>
      <w:pPr>
        <w:ind w:left="5045" w:hanging="1985"/>
      </w:pPr>
      <w:rPr>
        <w:rFonts w:hint="eastAsia"/>
      </w:rPr>
    </w:lvl>
    <w:lvl w:ilvl="1" w:tentative="0">
      <w:start w:val="1"/>
      <w:numFmt w:val="decimal"/>
      <w:pStyle w:val="4"/>
      <w:suff w:val="nothing"/>
      <w:lvlText w:val="%1.%2 "/>
      <w:lvlJc w:val="left"/>
      <w:pPr>
        <w:ind w:left="2345" w:hanging="1985"/>
      </w:pPr>
      <w:rPr>
        <w:rFonts w:hint="default" w:ascii="Times New Roman" w:hAnsi="Times New Roman" w:eastAsia="黑体"/>
      </w:rPr>
    </w:lvl>
    <w:lvl w:ilvl="2" w:tentative="0">
      <w:start w:val="1"/>
      <w:numFmt w:val="decimal"/>
      <w:suff w:val="nothing"/>
      <w:lvlText w:val="%1.%2.%3 "/>
      <w:lvlJc w:val="left"/>
      <w:pPr>
        <w:ind w:left="1985" w:hanging="1985"/>
      </w:pPr>
      <w:rPr>
        <w:rFonts w:hint="default" w:ascii="Times New Roman" w:hAnsi="Times New Roman" w:eastAsia="黑体"/>
      </w:rPr>
    </w:lvl>
    <w:lvl w:ilvl="3" w:tentative="0">
      <w:start w:val="1"/>
      <w:numFmt w:val="decimal"/>
      <w:suff w:val="nothing"/>
      <w:lvlText w:val="%1.%2.%3.%4 "/>
      <w:lvlJc w:val="left"/>
      <w:pPr>
        <w:ind w:left="2884" w:hanging="1984"/>
      </w:pPr>
      <w:rPr>
        <w:rFonts w:hint="default" w:ascii="Times New Roman" w:hAnsi="Times New Roman"/>
      </w:rPr>
    </w:lvl>
    <w:lvl w:ilvl="4" w:tentative="0">
      <w:start w:val="1"/>
      <w:numFmt w:val="decimal"/>
      <w:lvlText w:val="%1.%2.%3.%4.%5"/>
      <w:lvlJc w:val="left"/>
      <w:pPr>
        <w:tabs>
          <w:tab w:val="left" w:pos="2551"/>
        </w:tabs>
        <w:ind w:left="2551" w:hanging="2551"/>
      </w:pPr>
      <w:rPr>
        <w:rFonts w:hint="eastAsia"/>
      </w:rPr>
    </w:lvl>
    <w:lvl w:ilvl="5" w:tentative="0">
      <w:start w:val="1"/>
      <w:numFmt w:val="decimal"/>
      <w:lvlText w:val="%1.%2.%3.%4.%5.%6"/>
      <w:lvlJc w:val="left"/>
      <w:pPr>
        <w:tabs>
          <w:tab w:val="left" w:pos="3260"/>
        </w:tabs>
        <w:ind w:left="3260" w:hanging="3260"/>
      </w:pPr>
      <w:rPr>
        <w:rFonts w:hint="eastAsia"/>
      </w:rPr>
    </w:lvl>
    <w:lvl w:ilvl="6" w:tentative="0">
      <w:start w:val="1"/>
      <w:numFmt w:val="decimal"/>
      <w:lvlText w:val="%1.%2.%3.%4.%5.%6.%7"/>
      <w:lvlJc w:val="left"/>
      <w:pPr>
        <w:tabs>
          <w:tab w:val="left" w:pos="3827"/>
        </w:tabs>
        <w:ind w:left="3827" w:hanging="3827"/>
      </w:pPr>
      <w:rPr>
        <w:rFonts w:hint="eastAsia"/>
      </w:rPr>
    </w:lvl>
    <w:lvl w:ilvl="7" w:tentative="0">
      <w:start w:val="1"/>
      <w:numFmt w:val="decimal"/>
      <w:lvlText w:val="%1.%2.%3.%4.%5.%6.%7.%8"/>
      <w:lvlJc w:val="left"/>
      <w:pPr>
        <w:tabs>
          <w:tab w:val="left" w:pos="4394"/>
        </w:tabs>
        <w:ind w:left="4394" w:hanging="4394"/>
      </w:pPr>
      <w:rPr>
        <w:rFonts w:hint="eastAsia"/>
      </w:rPr>
    </w:lvl>
    <w:lvl w:ilvl="8" w:tentative="0">
      <w:start w:val="1"/>
      <w:numFmt w:val="decimal"/>
      <w:lvlText w:val="%1.%2.%3.%4.%5.%6.%7.%8.%9"/>
      <w:lvlJc w:val="left"/>
      <w:pPr>
        <w:tabs>
          <w:tab w:val="left" w:pos="5102"/>
        </w:tabs>
        <w:ind w:left="5102" w:hanging="5102"/>
      </w:pPr>
      <w:rPr>
        <w:rFonts w:hint="eastAsia"/>
      </w:rPr>
    </w:lvl>
  </w:abstractNum>
  <w:abstractNum w:abstractNumId="2">
    <w:nsid w:val="2BC7AC8A"/>
    <w:multiLevelType w:val="singleLevel"/>
    <w:tmpl w:val="2BC7AC8A"/>
    <w:lvl w:ilvl="0" w:tentative="0">
      <w:start w:val="2"/>
      <w:numFmt w:val="decimal"/>
      <w:suff w:val="nothing"/>
      <w:lvlText w:val="%1、"/>
      <w:lvlJc w:val="left"/>
    </w:lvl>
  </w:abstractNum>
  <w:abstractNum w:abstractNumId="3">
    <w:nsid w:val="55604833"/>
    <w:multiLevelType w:val="singleLevel"/>
    <w:tmpl w:val="55604833"/>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4">
    <w:nsid w:val="79C0EF88"/>
    <w:multiLevelType w:val="multilevel"/>
    <w:tmpl w:val="79C0EF88"/>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756"/>
        </w:tabs>
        <w:ind w:left="756" w:hanging="576"/>
      </w:pPr>
      <w:rPr>
        <w:rFonts w:hint="eastAsia"/>
      </w:rPr>
    </w:lvl>
    <w:lvl w:ilvl="2" w:tentative="0">
      <w:start w:val="1"/>
      <w:numFmt w:val="decimal"/>
      <w:pStyle w:val="5"/>
      <w:lvlText w:val="%1.%2.%3"/>
      <w:lvlJc w:val="left"/>
      <w:pPr>
        <w:tabs>
          <w:tab w:val="left" w:pos="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7BB0B819"/>
    <w:multiLevelType w:val="multilevel"/>
    <w:tmpl w:val="7BB0B819"/>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1586"/>
        </w:tabs>
        <w:ind w:left="1586" w:hanging="1586"/>
      </w:pPr>
      <w:rPr>
        <w:rFonts w:hint="default" w:ascii="Times New Roman" w:hAnsi="Times New Roman" w:cs="Times New Roman"/>
      </w:rPr>
    </w:lvl>
    <w:lvl w:ilvl="2" w:tentative="0">
      <w:start w:val="1"/>
      <w:numFmt w:val="decimal"/>
      <w:lvlText w:val="%1.%2.%3"/>
      <w:lvlJc w:val="left"/>
      <w:pPr>
        <w:tabs>
          <w:tab w:val="left" w:pos="3660"/>
        </w:tabs>
        <w:ind w:left="3660" w:hanging="720"/>
      </w:pPr>
      <w:rPr>
        <w:rFonts w:hint="default" w:ascii="Times New Roman" w:hAnsi="Times New Roman" w:cs="Times New Roman"/>
        <w:b/>
      </w:rPr>
    </w:lvl>
    <w:lvl w:ilvl="3" w:tentative="0">
      <w:start w:val="1"/>
      <w:numFmt w:val="decimal"/>
      <w:pStyle w:val="6"/>
      <w:lvlText w:val="%1.%2.%3.%4"/>
      <w:lvlJc w:val="left"/>
      <w:pPr>
        <w:tabs>
          <w:tab w:val="left" w:pos="864"/>
        </w:tabs>
        <w:ind w:left="864" w:hanging="864"/>
      </w:pPr>
      <w:rPr>
        <w:rFonts w:hint="default" w:ascii="Times New Roman" w:hAnsi="Times New Roman" w:cs="Times New Roman"/>
        <w:b/>
        <w:color w:val="000000"/>
      </w:rPr>
    </w:lvl>
    <w:lvl w:ilvl="4" w:tentative="0">
      <w:start w:val="1"/>
      <w:numFmt w:val="decimal"/>
      <w:lvlText w:val="%1.%2.%3.%4.%5"/>
      <w:lvlJc w:val="left"/>
      <w:pPr>
        <w:tabs>
          <w:tab w:val="left" w:pos="1008"/>
        </w:tabs>
        <w:ind w:left="1009" w:hanging="1009"/>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M2EzZDgxODVlNmNjMjA0NWRjMGEyMjIxMzE1NjcifQ=="/>
  </w:docVars>
  <w:rsids>
    <w:rsidRoot w:val="00172A27"/>
    <w:rsid w:val="000060B3"/>
    <w:rsid w:val="000409B8"/>
    <w:rsid w:val="0004364B"/>
    <w:rsid w:val="000470BC"/>
    <w:rsid w:val="00061B1F"/>
    <w:rsid w:val="00063418"/>
    <w:rsid w:val="000723ED"/>
    <w:rsid w:val="000733C4"/>
    <w:rsid w:val="00073FFE"/>
    <w:rsid w:val="00074783"/>
    <w:rsid w:val="000775ED"/>
    <w:rsid w:val="0008070B"/>
    <w:rsid w:val="000810AC"/>
    <w:rsid w:val="00081A02"/>
    <w:rsid w:val="00082231"/>
    <w:rsid w:val="00082530"/>
    <w:rsid w:val="00092D38"/>
    <w:rsid w:val="0009377B"/>
    <w:rsid w:val="000A20C9"/>
    <w:rsid w:val="000A6C4E"/>
    <w:rsid w:val="000B058F"/>
    <w:rsid w:val="000B2E85"/>
    <w:rsid w:val="000B4467"/>
    <w:rsid w:val="000B4DB9"/>
    <w:rsid w:val="000C09AC"/>
    <w:rsid w:val="000C767F"/>
    <w:rsid w:val="000D5A44"/>
    <w:rsid w:val="000E3ED2"/>
    <w:rsid w:val="001129A2"/>
    <w:rsid w:val="00116D2E"/>
    <w:rsid w:val="00131F42"/>
    <w:rsid w:val="001357F1"/>
    <w:rsid w:val="00136B0A"/>
    <w:rsid w:val="00140FA8"/>
    <w:rsid w:val="00142FEB"/>
    <w:rsid w:val="00143A2D"/>
    <w:rsid w:val="0014526A"/>
    <w:rsid w:val="00145A41"/>
    <w:rsid w:val="00151675"/>
    <w:rsid w:val="00157435"/>
    <w:rsid w:val="001602AE"/>
    <w:rsid w:val="0017504D"/>
    <w:rsid w:val="0017671A"/>
    <w:rsid w:val="00177422"/>
    <w:rsid w:val="00184590"/>
    <w:rsid w:val="001870D1"/>
    <w:rsid w:val="0018781E"/>
    <w:rsid w:val="0019262D"/>
    <w:rsid w:val="00193168"/>
    <w:rsid w:val="001A1B35"/>
    <w:rsid w:val="001A48A2"/>
    <w:rsid w:val="001A6F61"/>
    <w:rsid w:val="001B72B8"/>
    <w:rsid w:val="001C1F95"/>
    <w:rsid w:val="001C69B3"/>
    <w:rsid w:val="001D5595"/>
    <w:rsid w:val="001D7874"/>
    <w:rsid w:val="001D7F22"/>
    <w:rsid w:val="001E144C"/>
    <w:rsid w:val="001E766E"/>
    <w:rsid w:val="001F0F17"/>
    <w:rsid w:val="001F3347"/>
    <w:rsid w:val="001F69E4"/>
    <w:rsid w:val="002125B4"/>
    <w:rsid w:val="002155B8"/>
    <w:rsid w:val="00224839"/>
    <w:rsid w:val="002249B2"/>
    <w:rsid w:val="00226574"/>
    <w:rsid w:val="002278EC"/>
    <w:rsid w:val="0023280E"/>
    <w:rsid w:val="002377D1"/>
    <w:rsid w:val="002506BC"/>
    <w:rsid w:val="00254345"/>
    <w:rsid w:val="002559C6"/>
    <w:rsid w:val="00264557"/>
    <w:rsid w:val="002805AB"/>
    <w:rsid w:val="00284204"/>
    <w:rsid w:val="00291773"/>
    <w:rsid w:val="002A168C"/>
    <w:rsid w:val="002A3DC7"/>
    <w:rsid w:val="002B49E2"/>
    <w:rsid w:val="002B7B00"/>
    <w:rsid w:val="002B7C44"/>
    <w:rsid w:val="002C2B17"/>
    <w:rsid w:val="002D3DD0"/>
    <w:rsid w:val="002D4A96"/>
    <w:rsid w:val="002E1F3A"/>
    <w:rsid w:val="002E298A"/>
    <w:rsid w:val="002E782C"/>
    <w:rsid w:val="002F24B3"/>
    <w:rsid w:val="00301978"/>
    <w:rsid w:val="0030332C"/>
    <w:rsid w:val="003051C2"/>
    <w:rsid w:val="00312296"/>
    <w:rsid w:val="00314F0E"/>
    <w:rsid w:val="00321D8E"/>
    <w:rsid w:val="00322EEE"/>
    <w:rsid w:val="00325928"/>
    <w:rsid w:val="0032629E"/>
    <w:rsid w:val="00332863"/>
    <w:rsid w:val="003367CE"/>
    <w:rsid w:val="0033684D"/>
    <w:rsid w:val="00337B42"/>
    <w:rsid w:val="00341B42"/>
    <w:rsid w:val="0034348F"/>
    <w:rsid w:val="00343826"/>
    <w:rsid w:val="003461B5"/>
    <w:rsid w:val="00356653"/>
    <w:rsid w:val="0035743F"/>
    <w:rsid w:val="00357BE2"/>
    <w:rsid w:val="00357DEE"/>
    <w:rsid w:val="0036170C"/>
    <w:rsid w:val="00366E0F"/>
    <w:rsid w:val="00381A72"/>
    <w:rsid w:val="00384676"/>
    <w:rsid w:val="00390857"/>
    <w:rsid w:val="00397093"/>
    <w:rsid w:val="003A142C"/>
    <w:rsid w:val="003A4BF3"/>
    <w:rsid w:val="003B0B45"/>
    <w:rsid w:val="003B420D"/>
    <w:rsid w:val="003C6C16"/>
    <w:rsid w:val="003C7112"/>
    <w:rsid w:val="003D794D"/>
    <w:rsid w:val="003E3058"/>
    <w:rsid w:val="003E556F"/>
    <w:rsid w:val="003E76A9"/>
    <w:rsid w:val="003F0809"/>
    <w:rsid w:val="003F6A8C"/>
    <w:rsid w:val="003F755C"/>
    <w:rsid w:val="00402B02"/>
    <w:rsid w:val="00406F01"/>
    <w:rsid w:val="00416D50"/>
    <w:rsid w:val="00416FD5"/>
    <w:rsid w:val="00417772"/>
    <w:rsid w:val="00420E6A"/>
    <w:rsid w:val="00425A9E"/>
    <w:rsid w:val="00426D6B"/>
    <w:rsid w:val="00427251"/>
    <w:rsid w:val="00431E6C"/>
    <w:rsid w:val="00433CE7"/>
    <w:rsid w:val="00445D79"/>
    <w:rsid w:val="00452738"/>
    <w:rsid w:val="00456091"/>
    <w:rsid w:val="00457480"/>
    <w:rsid w:val="00461B47"/>
    <w:rsid w:val="00466321"/>
    <w:rsid w:val="00466818"/>
    <w:rsid w:val="00484B9B"/>
    <w:rsid w:val="004855F6"/>
    <w:rsid w:val="0048661E"/>
    <w:rsid w:val="00493075"/>
    <w:rsid w:val="00494670"/>
    <w:rsid w:val="004A124A"/>
    <w:rsid w:val="004A1DCA"/>
    <w:rsid w:val="004A3823"/>
    <w:rsid w:val="004E6946"/>
    <w:rsid w:val="004F1AD8"/>
    <w:rsid w:val="004F1CA4"/>
    <w:rsid w:val="005039CB"/>
    <w:rsid w:val="0050558F"/>
    <w:rsid w:val="00506286"/>
    <w:rsid w:val="00510813"/>
    <w:rsid w:val="00511990"/>
    <w:rsid w:val="00511DE0"/>
    <w:rsid w:val="00514870"/>
    <w:rsid w:val="00514B9B"/>
    <w:rsid w:val="00517F02"/>
    <w:rsid w:val="00524303"/>
    <w:rsid w:val="0052484E"/>
    <w:rsid w:val="005258A2"/>
    <w:rsid w:val="005401AE"/>
    <w:rsid w:val="00541ABE"/>
    <w:rsid w:val="00542E07"/>
    <w:rsid w:val="00545424"/>
    <w:rsid w:val="00554A7B"/>
    <w:rsid w:val="0055572C"/>
    <w:rsid w:val="005563AF"/>
    <w:rsid w:val="0056106A"/>
    <w:rsid w:val="005720AE"/>
    <w:rsid w:val="00572A8A"/>
    <w:rsid w:val="00587006"/>
    <w:rsid w:val="00594D77"/>
    <w:rsid w:val="005969E4"/>
    <w:rsid w:val="005A06B7"/>
    <w:rsid w:val="005A0D90"/>
    <w:rsid w:val="005A1759"/>
    <w:rsid w:val="005A3E19"/>
    <w:rsid w:val="005A68A7"/>
    <w:rsid w:val="005B3A8A"/>
    <w:rsid w:val="005C1C71"/>
    <w:rsid w:val="005C6998"/>
    <w:rsid w:val="005D36AB"/>
    <w:rsid w:val="00606F1E"/>
    <w:rsid w:val="00616467"/>
    <w:rsid w:val="00617CC3"/>
    <w:rsid w:val="006377A6"/>
    <w:rsid w:val="00637A3D"/>
    <w:rsid w:val="006411EF"/>
    <w:rsid w:val="00642D95"/>
    <w:rsid w:val="00644E79"/>
    <w:rsid w:val="00657788"/>
    <w:rsid w:val="006625C5"/>
    <w:rsid w:val="006748B8"/>
    <w:rsid w:val="006775C3"/>
    <w:rsid w:val="0069290A"/>
    <w:rsid w:val="006941AB"/>
    <w:rsid w:val="0069775A"/>
    <w:rsid w:val="00697813"/>
    <w:rsid w:val="006A3EE8"/>
    <w:rsid w:val="006A72BF"/>
    <w:rsid w:val="006B03F2"/>
    <w:rsid w:val="006B37DC"/>
    <w:rsid w:val="006B4DDC"/>
    <w:rsid w:val="006B4F68"/>
    <w:rsid w:val="006C0592"/>
    <w:rsid w:val="006C1D15"/>
    <w:rsid w:val="006C272E"/>
    <w:rsid w:val="006C5479"/>
    <w:rsid w:val="006D13B5"/>
    <w:rsid w:val="006E0580"/>
    <w:rsid w:val="006E12FF"/>
    <w:rsid w:val="006E5E6A"/>
    <w:rsid w:val="006E607E"/>
    <w:rsid w:val="006F728A"/>
    <w:rsid w:val="0070593B"/>
    <w:rsid w:val="00706C5D"/>
    <w:rsid w:val="00707B36"/>
    <w:rsid w:val="00731BE1"/>
    <w:rsid w:val="00732922"/>
    <w:rsid w:val="007349E6"/>
    <w:rsid w:val="007351FF"/>
    <w:rsid w:val="007446BD"/>
    <w:rsid w:val="0075162E"/>
    <w:rsid w:val="00754034"/>
    <w:rsid w:val="00756556"/>
    <w:rsid w:val="007618C4"/>
    <w:rsid w:val="00763D5F"/>
    <w:rsid w:val="00767980"/>
    <w:rsid w:val="00770B19"/>
    <w:rsid w:val="0077463F"/>
    <w:rsid w:val="00775751"/>
    <w:rsid w:val="007836EA"/>
    <w:rsid w:val="00784228"/>
    <w:rsid w:val="00784CDA"/>
    <w:rsid w:val="007906C4"/>
    <w:rsid w:val="00793BA1"/>
    <w:rsid w:val="007940EA"/>
    <w:rsid w:val="007967E8"/>
    <w:rsid w:val="007A2170"/>
    <w:rsid w:val="007A22BF"/>
    <w:rsid w:val="007A3323"/>
    <w:rsid w:val="007B46C4"/>
    <w:rsid w:val="007B6748"/>
    <w:rsid w:val="007B72B8"/>
    <w:rsid w:val="007B7A58"/>
    <w:rsid w:val="007C21B5"/>
    <w:rsid w:val="007D01BE"/>
    <w:rsid w:val="007E4BD2"/>
    <w:rsid w:val="00801393"/>
    <w:rsid w:val="00802F88"/>
    <w:rsid w:val="0081293E"/>
    <w:rsid w:val="00812B7C"/>
    <w:rsid w:val="00815465"/>
    <w:rsid w:val="00817E9A"/>
    <w:rsid w:val="008306BD"/>
    <w:rsid w:val="00831A80"/>
    <w:rsid w:val="00833743"/>
    <w:rsid w:val="008340A4"/>
    <w:rsid w:val="00835306"/>
    <w:rsid w:val="008427AF"/>
    <w:rsid w:val="0087135F"/>
    <w:rsid w:val="00872D94"/>
    <w:rsid w:val="00880364"/>
    <w:rsid w:val="00884DBE"/>
    <w:rsid w:val="00890241"/>
    <w:rsid w:val="00891592"/>
    <w:rsid w:val="00891E9E"/>
    <w:rsid w:val="008A2F68"/>
    <w:rsid w:val="008B4FA6"/>
    <w:rsid w:val="008B5282"/>
    <w:rsid w:val="008B7C17"/>
    <w:rsid w:val="008C2D01"/>
    <w:rsid w:val="008C40E6"/>
    <w:rsid w:val="008D0F7A"/>
    <w:rsid w:val="008D68E4"/>
    <w:rsid w:val="008E0506"/>
    <w:rsid w:val="008E0CFF"/>
    <w:rsid w:val="008E1ABB"/>
    <w:rsid w:val="008E5D6B"/>
    <w:rsid w:val="008E76F0"/>
    <w:rsid w:val="008F15FE"/>
    <w:rsid w:val="008F25DE"/>
    <w:rsid w:val="008F2D29"/>
    <w:rsid w:val="008F5187"/>
    <w:rsid w:val="008F60D8"/>
    <w:rsid w:val="00902727"/>
    <w:rsid w:val="0090312B"/>
    <w:rsid w:val="0091736D"/>
    <w:rsid w:val="0092689A"/>
    <w:rsid w:val="0093037A"/>
    <w:rsid w:val="0094154D"/>
    <w:rsid w:val="0095155F"/>
    <w:rsid w:val="00953C31"/>
    <w:rsid w:val="00954429"/>
    <w:rsid w:val="009563CE"/>
    <w:rsid w:val="00970D7E"/>
    <w:rsid w:val="00976328"/>
    <w:rsid w:val="0097680D"/>
    <w:rsid w:val="00982438"/>
    <w:rsid w:val="0098404C"/>
    <w:rsid w:val="00985283"/>
    <w:rsid w:val="00987167"/>
    <w:rsid w:val="00995992"/>
    <w:rsid w:val="009A0254"/>
    <w:rsid w:val="009A03E5"/>
    <w:rsid w:val="009A0F3B"/>
    <w:rsid w:val="009A1BB4"/>
    <w:rsid w:val="009A2628"/>
    <w:rsid w:val="009A3200"/>
    <w:rsid w:val="009B0897"/>
    <w:rsid w:val="009B7BD9"/>
    <w:rsid w:val="009C7DD5"/>
    <w:rsid w:val="009E227D"/>
    <w:rsid w:val="009E5019"/>
    <w:rsid w:val="009F2156"/>
    <w:rsid w:val="00A00AF1"/>
    <w:rsid w:val="00A04F1B"/>
    <w:rsid w:val="00A0501B"/>
    <w:rsid w:val="00A14947"/>
    <w:rsid w:val="00A162B6"/>
    <w:rsid w:val="00A20F14"/>
    <w:rsid w:val="00A32A83"/>
    <w:rsid w:val="00A368DB"/>
    <w:rsid w:val="00A423AA"/>
    <w:rsid w:val="00A53EC6"/>
    <w:rsid w:val="00A55C0F"/>
    <w:rsid w:val="00A56B97"/>
    <w:rsid w:val="00A85826"/>
    <w:rsid w:val="00A8713F"/>
    <w:rsid w:val="00A90BA1"/>
    <w:rsid w:val="00A97A9A"/>
    <w:rsid w:val="00AA0671"/>
    <w:rsid w:val="00AA2531"/>
    <w:rsid w:val="00AA43D8"/>
    <w:rsid w:val="00AB1E09"/>
    <w:rsid w:val="00AB5330"/>
    <w:rsid w:val="00AB7747"/>
    <w:rsid w:val="00AC14CE"/>
    <w:rsid w:val="00AC2A56"/>
    <w:rsid w:val="00AD055E"/>
    <w:rsid w:val="00AD47A7"/>
    <w:rsid w:val="00AF0CBF"/>
    <w:rsid w:val="00AF257F"/>
    <w:rsid w:val="00AF33CF"/>
    <w:rsid w:val="00AF4D50"/>
    <w:rsid w:val="00AF6179"/>
    <w:rsid w:val="00B0582C"/>
    <w:rsid w:val="00B1295A"/>
    <w:rsid w:val="00B201A7"/>
    <w:rsid w:val="00B20A45"/>
    <w:rsid w:val="00B22C5C"/>
    <w:rsid w:val="00B24F30"/>
    <w:rsid w:val="00B31ABF"/>
    <w:rsid w:val="00B33BE3"/>
    <w:rsid w:val="00B458EC"/>
    <w:rsid w:val="00B53B5D"/>
    <w:rsid w:val="00B6055E"/>
    <w:rsid w:val="00B61589"/>
    <w:rsid w:val="00B6317D"/>
    <w:rsid w:val="00B64B9E"/>
    <w:rsid w:val="00B7723F"/>
    <w:rsid w:val="00B80534"/>
    <w:rsid w:val="00B8433C"/>
    <w:rsid w:val="00B87491"/>
    <w:rsid w:val="00B97DA1"/>
    <w:rsid w:val="00BA29E9"/>
    <w:rsid w:val="00BA7142"/>
    <w:rsid w:val="00BB237C"/>
    <w:rsid w:val="00BB41A3"/>
    <w:rsid w:val="00BC1E00"/>
    <w:rsid w:val="00BC32DC"/>
    <w:rsid w:val="00BC35B6"/>
    <w:rsid w:val="00BC6457"/>
    <w:rsid w:val="00BD1B51"/>
    <w:rsid w:val="00BD4596"/>
    <w:rsid w:val="00BE1405"/>
    <w:rsid w:val="00BE312D"/>
    <w:rsid w:val="00BF1930"/>
    <w:rsid w:val="00BF1C20"/>
    <w:rsid w:val="00C00B38"/>
    <w:rsid w:val="00C06EE7"/>
    <w:rsid w:val="00C10578"/>
    <w:rsid w:val="00C135BC"/>
    <w:rsid w:val="00C15C95"/>
    <w:rsid w:val="00C16C78"/>
    <w:rsid w:val="00C2596A"/>
    <w:rsid w:val="00C27537"/>
    <w:rsid w:val="00C328FE"/>
    <w:rsid w:val="00C33507"/>
    <w:rsid w:val="00C4250F"/>
    <w:rsid w:val="00C4409D"/>
    <w:rsid w:val="00C44E72"/>
    <w:rsid w:val="00C45A06"/>
    <w:rsid w:val="00C47E5B"/>
    <w:rsid w:val="00C61878"/>
    <w:rsid w:val="00C61E4B"/>
    <w:rsid w:val="00C64BFF"/>
    <w:rsid w:val="00C704E9"/>
    <w:rsid w:val="00C763C9"/>
    <w:rsid w:val="00C80057"/>
    <w:rsid w:val="00C82232"/>
    <w:rsid w:val="00C82913"/>
    <w:rsid w:val="00C972B1"/>
    <w:rsid w:val="00CA2CCE"/>
    <w:rsid w:val="00CA43FD"/>
    <w:rsid w:val="00CA7EF8"/>
    <w:rsid w:val="00CB743D"/>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64D63"/>
    <w:rsid w:val="00D66715"/>
    <w:rsid w:val="00D9469D"/>
    <w:rsid w:val="00D94A7C"/>
    <w:rsid w:val="00D95896"/>
    <w:rsid w:val="00DB2983"/>
    <w:rsid w:val="00DB7FEC"/>
    <w:rsid w:val="00DC1257"/>
    <w:rsid w:val="00DC3DC0"/>
    <w:rsid w:val="00DC5B2B"/>
    <w:rsid w:val="00DD318D"/>
    <w:rsid w:val="00DF2E12"/>
    <w:rsid w:val="00DF514A"/>
    <w:rsid w:val="00DF6690"/>
    <w:rsid w:val="00DF6804"/>
    <w:rsid w:val="00E0358D"/>
    <w:rsid w:val="00E03EDD"/>
    <w:rsid w:val="00E04323"/>
    <w:rsid w:val="00E070A2"/>
    <w:rsid w:val="00E25946"/>
    <w:rsid w:val="00E2656A"/>
    <w:rsid w:val="00E277CD"/>
    <w:rsid w:val="00E30F4D"/>
    <w:rsid w:val="00E34C07"/>
    <w:rsid w:val="00E412D0"/>
    <w:rsid w:val="00E46784"/>
    <w:rsid w:val="00E56322"/>
    <w:rsid w:val="00E60982"/>
    <w:rsid w:val="00E62C62"/>
    <w:rsid w:val="00E654C1"/>
    <w:rsid w:val="00E65D97"/>
    <w:rsid w:val="00E72A5A"/>
    <w:rsid w:val="00E73354"/>
    <w:rsid w:val="00E9242D"/>
    <w:rsid w:val="00E956C9"/>
    <w:rsid w:val="00EB5255"/>
    <w:rsid w:val="00EB5C47"/>
    <w:rsid w:val="00EC4807"/>
    <w:rsid w:val="00ED0639"/>
    <w:rsid w:val="00ED6A31"/>
    <w:rsid w:val="00EF253E"/>
    <w:rsid w:val="00EF4755"/>
    <w:rsid w:val="00EF7135"/>
    <w:rsid w:val="00EF7ADA"/>
    <w:rsid w:val="00F027DB"/>
    <w:rsid w:val="00F14A7A"/>
    <w:rsid w:val="00F22985"/>
    <w:rsid w:val="00F3383E"/>
    <w:rsid w:val="00F465A7"/>
    <w:rsid w:val="00F50B7C"/>
    <w:rsid w:val="00F550E6"/>
    <w:rsid w:val="00F555EF"/>
    <w:rsid w:val="00F64644"/>
    <w:rsid w:val="00F74345"/>
    <w:rsid w:val="00F80A0A"/>
    <w:rsid w:val="00F82B19"/>
    <w:rsid w:val="00F9212D"/>
    <w:rsid w:val="00F965DA"/>
    <w:rsid w:val="00FA406A"/>
    <w:rsid w:val="00FB0A23"/>
    <w:rsid w:val="00FB503A"/>
    <w:rsid w:val="00FB516C"/>
    <w:rsid w:val="00FC64C7"/>
    <w:rsid w:val="00FD0236"/>
    <w:rsid w:val="00FD18F4"/>
    <w:rsid w:val="00FD1B74"/>
    <w:rsid w:val="00FD54DB"/>
    <w:rsid w:val="00FD619F"/>
    <w:rsid w:val="01290F7E"/>
    <w:rsid w:val="015D1E09"/>
    <w:rsid w:val="01663B6C"/>
    <w:rsid w:val="01905E65"/>
    <w:rsid w:val="02103B5A"/>
    <w:rsid w:val="02521EA2"/>
    <w:rsid w:val="02697903"/>
    <w:rsid w:val="0271318D"/>
    <w:rsid w:val="02C957CC"/>
    <w:rsid w:val="02F96569"/>
    <w:rsid w:val="033370C7"/>
    <w:rsid w:val="03505506"/>
    <w:rsid w:val="037404DE"/>
    <w:rsid w:val="039B7DED"/>
    <w:rsid w:val="03B54964"/>
    <w:rsid w:val="03EA7B21"/>
    <w:rsid w:val="049B69AA"/>
    <w:rsid w:val="04AF4457"/>
    <w:rsid w:val="0544634F"/>
    <w:rsid w:val="056E3AFA"/>
    <w:rsid w:val="059C5E02"/>
    <w:rsid w:val="05AD3936"/>
    <w:rsid w:val="05C96222"/>
    <w:rsid w:val="05D01922"/>
    <w:rsid w:val="05F83EAE"/>
    <w:rsid w:val="063E7D85"/>
    <w:rsid w:val="064C75F3"/>
    <w:rsid w:val="06F3462A"/>
    <w:rsid w:val="07060CD2"/>
    <w:rsid w:val="07293586"/>
    <w:rsid w:val="07295285"/>
    <w:rsid w:val="072F64D3"/>
    <w:rsid w:val="07462294"/>
    <w:rsid w:val="075B4D12"/>
    <w:rsid w:val="07636392"/>
    <w:rsid w:val="07770C56"/>
    <w:rsid w:val="078E70D0"/>
    <w:rsid w:val="07A64E88"/>
    <w:rsid w:val="07BD28A6"/>
    <w:rsid w:val="08095F26"/>
    <w:rsid w:val="08297CB2"/>
    <w:rsid w:val="08535187"/>
    <w:rsid w:val="08BE3571"/>
    <w:rsid w:val="0911187A"/>
    <w:rsid w:val="092217DD"/>
    <w:rsid w:val="093A7294"/>
    <w:rsid w:val="09DE0D9B"/>
    <w:rsid w:val="09E41D8F"/>
    <w:rsid w:val="0A202CFA"/>
    <w:rsid w:val="0A263993"/>
    <w:rsid w:val="0A2D3AC2"/>
    <w:rsid w:val="0A4A7050"/>
    <w:rsid w:val="0AA755DF"/>
    <w:rsid w:val="0AAB1C21"/>
    <w:rsid w:val="0AF371EC"/>
    <w:rsid w:val="0B120D44"/>
    <w:rsid w:val="0B776EC0"/>
    <w:rsid w:val="0BA8062E"/>
    <w:rsid w:val="0BD27BF6"/>
    <w:rsid w:val="0BF77791"/>
    <w:rsid w:val="0C3B3C7D"/>
    <w:rsid w:val="0C596F9B"/>
    <w:rsid w:val="0CAB2EAE"/>
    <w:rsid w:val="0CC223BD"/>
    <w:rsid w:val="0CD072EC"/>
    <w:rsid w:val="0D070F9C"/>
    <w:rsid w:val="0D4265B1"/>
    <w:rsid w:val="0D5736C7"/>
    <w:rsid w:val="0D621C7D"/>
    <w:rsid w:val="0E185306"/>
    <w:rsid w:val="0E73034D"/>
    <w:rsid w:val="0E9C79C6"/>
    <w:rsid w:val="0ED6636C"/>
    <w:rsid w:val="0F13775A"/>
    <w:rsid w:val="0F500E40"/>
    <w:rsid w:val="0F5F45FE"/>
    <w:rsid w:val="0F9A112B"/>
    <w:rsid w:val="0FC52E44"/>
    <w:rsid w:val="10111E35"/>
    <w:rsid w:val="10423695"/>
    <w:rsid w:val="106D2F64"/>
    <w:rsid w:val="109B765B"/>
    <w:rsid w:val="10A50214"/>
    <w:rsid w:val="10B63710"/>
    <w:rsid w:val="10F10820"/>
    <w:rsid w:val="111C2F7A"/>
    <w:rsid w:val="11665CA1"/>
    <w:rsid w:val="119E4295"/>
    <w:rsid w:val="12181A07"/>
    <w:rsid w:val="12492CBA"/>
    <w:rsid w:val="12500052"/>
    <w:rsid w:val="12666DBA"/>
    <w:rsid w:val="12954B1D"/>
    <w:rsid w:val="12C32F26"/>
    <w:rsid w:val="12D8200E"/>
    <w:rsid w:val="13066B90"/>
    <w:rsid w:val="13951726"/>
    <w:rsid w:val="14396509"/>
    <w:rsid w:val="147971DE"/>
    <w:rsid w:val="14DD2C3C"/>
    <w:rsid w:val="150317C5"/>
    <w:rsid w:val="156E37B5"/>
    <w:rsid w:val="15E87E37"/>
    <w:rsid w:val="16087E1D"/>
    <w:rsid w:val="163559AE"/>
    <w:rsid w:val="1739327C"/>
    <w:rsid w:val="17701D14"/>
    <w:rsid w:val="17735226"/>
    <w:rsid w:val="17AA6368"/>
    <w:rsid w:val="185C6978"/>
    <w:rsid w:val="189F624C"/>
    <w:rsid w:val="18D2639D"/>
    <w:rsid w:val="191A317F"/>
    <w:rsid w:val="1925777F"/>
    <w:rsid w:val="199211C8"/>
    <w:rsid w:val="19A7540A"/>
    <w:rsid w:val="1A1C66C0"/>
    <w:rsid w:val="1A3936B3"/>
    <w:rsid w:val="1A42393B"/>
    <w:rsid w:val="1A56230D"/>
    <w:rsid w:val="1A674621"/>
    <w:rsid w:val="1A6C6B6D"/>
    <w:rsid w:val="1A874E9C"/>
    <w:rsid w:val="1A9633E0"/>
    <w:rsid w:val="1AAD45DE"/>
    <w:rsid w:val="1B046F80"/>
    <w:rsid w:val="1B0F2730"/>
    <w:rsid w:val="1B3267B5"/>
    <w:rsid w:val="1B40161D"/>
    <w:rsid w:val="1B441859"/>
    <w:rsid w:val="1B6606B1"/>
    <w:rsid w:val="1B72597D"/>
    <w:rsid w:val="1BA06205"/>
    <w:rsid w:val="1C5E7925"/>
    <w:rsid w:val="1C9E272B"/>
    <w:rsid w:val="1CFD070F"/>
    <w:rsid w:val="1D42325F"/>
    <w:rsid w:val="1D5F6196"/>
    <w:rsid w:val="1D6132A5"/>
    <w:rsid w:val="1D8C2B4A"/>
    <w:rsid w:val="1D8E56D5"/>
    <w:rsid w:val="1D9F7EC8"/>
    <w:rsid w:val="1DD12E18"/>
    <w:rsid w:val="1E37428D"/>
    <w:rsid w:val="1E583197"/>
    <w:rsid w:val="1E7A43DA"/>
    <w:rsid w:val="1E841D36"/>
    <w:rsid w:val="1E971721"/>
    <w:rsid w:val="1F211521"/>
    <w:rsid w:val="1F4F0695"/>
    <w:rsid w:val="1FA12F25"/>
    <w:rsid w:val="1FD33BCB"/>
    <w:rsid w:val="1FE65F6B"/>
    <w:rsid w:val="1FE7539E"/>
    <w:rsid w:val="20671BE0"/>
    <w:rsid w:val="20857532"/>
    <w:rsid w:val="208C34BF"/>
    <w:rsid w:val="20963CB8"/>
    <w:rsid w:val="20A81A1B"/>
    <w:rsid w:val="20A94516"/>
    <w:rsid w:val="20B07FB6"/>
    <w:rsid w:val="20B646FB"/>
    <w:rsid w:val="212F4703"/>
    <w:rsid w:val="213B74B1"/>
    <w:rsid w:val="21445F86"/>
    <w:rsid w:val="21471BB1"/>
    <w:rsid w:val="215A2310"/>
    <w:rsid w:val="21764D82"/>
    <w:rsid w:val="2194305F"/>
    <w:rsid w:val="21951A6F"/>
    <w:rsid w:val="21D21CED"/>
    <w:rsid w:val="21D22C43"/>
    <w:rsid w:val="21DE318A"/>
    <w:rsid w:val="21EF5B80"/>
    <w:rsid w:val="2231205F"/>
    <w:rsid w:val="22576990"/>
    <w:rsid w:val="22DF0165"/>
    <w:rsid w:val="22F05D03"/>
    <w:rsid w:val="22F47480"/>
    <w:rsid w:val="22F5333A"/>
    <w:rsid w:val="23300095"/>
    <w:rsid w:val="233366AC"/>
    <w:rsid w:val="23DE1C48"/>
    <w:rsid w:val="23FB4D9D"/>
    <w:rsid w:val="240210CD"/>
    <w:rsid w:val="240C05AD"/>
    <w:rsid w:val="242D0274"/>
    <w:rsid w:val="24400FC4"/>
    <w:rsid w:val="246C15DF"/>
    <w:rsid w:val="24BF09F7"/>
    <w:rsid w:val="24E830D0"/>
    <w:rsid w:val="24F54E3D"/>
    <w:rsid w:val="25287F77"/>
    <w:rsid w:val="252D53FE"/>
    <w:rsid w:val="25B83F05"/>
    <w:rsid w:val="25EC2D81"/>
    <w:rsid w:val="25EE679B"/>
    <w:rsid w:val="25FB342C"/>
    <w:rsid w:val="26177838"/>
    <w:rsid w:val="267D4877"/>
    <w:rsid w:val="26A660F3"/>
    <w:rsid w:val="26ED70F8"/>
    <w:rsid w:val="277057A2"/>
    <w:rsid w:val="27B64475"/>
    <w:rsid w:val="28096C9A"/>
    <w:rsid w:val="28952F83"/>
    <w:rsid w:val="28F84AB7"/>
    <w:rsid w:val="29206EB8"/>
    <w:rsid w:val="29595666"/>
    <w:rsid w:val="29874881"/>
    <w:rsid w:val="29C554FD"/>
    <w:rsid w:val="29D31046"/>
    <w:rsid w:val="29E22549"/>
    <w:rsid w:val="29E325E0"/>
    <w:rsid w:val="29FB2B42"/>
    <w:rsid w:val="2A161AC1"/>
    <w:rsid w:val="2A452503"/>
    <w:rsid w:val="2B0E1393"/>
    <w:rsid w:val="2B1D4306"/>
    <w:rsid w:val="2B615F6D"/>
    <w:rsid w:val="2B7E2D23"/>
    <w:rsid w:val="2BA936A8"/>
    <w:rsid w:val="2BD16B93"/>
    <w:rsid w:val="2C041C52"/>
    <w:rsid w:val="2C315A5A"/>
    <w:rsid w:val="2C4B1C25"/>
    <w:rsid w:val="2CC84006"/>
    <w:rsid w:val="2D9D7929"/>
    <w:rsid w:val="2D9E56F5"/>
    <w:rsid w:val="2DA316A4"/>
    <w:rsid w:val="2E667F96"/>
    <w:rsid w:val="2E8226AB"/>
    <w:rsid w:val="2E915E1B"/>
    <w:rsid w:val="2F011B6F"/>
    <w:rsid w:val="2F0762A9"/>
    <w:rsid w:val="2F125B53"/>
    <w:rsid w:val="2F2A6B4B"/>
    <w:rsid w:val="2F5E5B1E"/>
    <w:rsid w:val="2F7D49AF"/>
    <w:rsid w:val="2FD065E6"/>
    <w:rsid w:val="2FD96870"/>
    <w:rsid w:val="30580BC9"/>
    <w:rsid w:val="30F36BA7"/>
    <w:rsid w:val="311E2ED7"/>
    <w:rsid w:val="315619EE"/>
    <w:rsid w:val="315C449C"/>
    <w:rsid w:val="315E7607"/>
    <w:rsid w:val="31B82709"/>
    <w:rsid w:val="31D05482"/>
    <w:rsid w:val="31F22435"/>
    <w:rsid w:val="32400B34"/>
    <w:rsid w:val="329E6876"/>
    <w:rsid w:val="32DA6910"/>
    <w:rsid w:val="333015F2"/>
    <w:rsid w:val="334B6320"/>
    <w:rsid w:val="3397044E"/>
    <w:rsid w:val="33D934D4"/>
    <w:rsid w:val="33FE2F6A"/>
    <w:rsid w:val="340E07E5"/>
    <w:rsid w:val="34235BF7"/>
    <w:rsid w:val="345C2E14"/>
    <w:rsid w:val="34D64DF7"/>
    <w:rsid w:val="34E031A9"/>
    <w:rsid w:val="34F825F3"/>
    <w:rsid w:val="351A0F47"/>
    <w:rsid w:val="353675AA"/>
    <w:rsid w:val="354F46D2"/>
    <w:rsid w:val="356563A5"/>
    <w:rsid w:val="358C5FA8"/>
    <w:rsid w:val="35C15DF1"/>
    <w:rsid w:val="35FD0AF8"/>
    <w:rsid w:val="36006BEF"/>
    <w:rsid w:val="36074A7F"/>
    <w:rsid w:val="36280C33"/>
    <w:rsid w:val="3647586B"/>
    <w:rsid w:val="36670B09"/>
    <w:rsid w:val="36923549"/>
    <w:rsid w:val="36B75FBF"/>
    <w:rsid w:val="36BD0C45"/>
    <w:rsid w:val="36D5280E"/>
    <w:rsid w:val="36FC541A"/>
    <w:rsid w:val="370273AD"/>
    <w:rsid w:val="374B2E2B"/>
    <w:rsid w:val="37A3048B"/>
    <w:rsid w:val="37A73BCB"/>
    <w:rsid w:val="37E00298"/>
    <w:rsid w:val="381D3211"/>
    <w:rsid w:val="386B3417"/>
    <w:rsid w:val="387B29C2"/>
    <w:rsid w:val="38964AD5"/>
    <w:rsid w:val="38B302F9"/>
    <w:rsid w:val="38EB6C1C"/>
    <w:rsid w:val="38F12CD3"/>
    <w:rsid w:val="38F92413"/>
    <w:rsid w:val="38F94775"/>
    <w:rsid w:val="390A2D8A"/>
    <w:rsid w:val="392971ED"/>
    <w:rsid w:val="39325651"/>
    <w:rsid w:val="39BC79B8"/>
    <w:rsid w:val="39D75630"/>
    <w:rsid w:val="39FC4AC1"/>
    <w:rsid w:val="3A1A409E"/>
    <w:rsid w:val="3A872856"/>
    <w:rsid w:val="3ADC48A5"/>
    <w:rsid w:val="3B116F54"/>
    <w:rsid w:val="3B254F1C"/>
    <w:rsid w:val="3B3763D1"/>
    <w:rsid w:val="3B860CE3"/>
    <w:rsid w:val="3BB6503F"/>
    <w:rsid w:val="3BC9601A"/>
    <w:rsid w:val="3C2F6E1E"/>
    <w:rsid w:val="3C42731D"/>
    <w:rsid w:val="3C4F64BA"/>
    <w:rsid w:val="3C5B60FB"/>
    <w:rsid w:val="3C844032"/>
    <w:rsid w:val="3CDA245A"/>
    <w:rsid w:val="3CDB53A2"/>
    <w:rsid w:val="3D1E06B7"/>
    <w:rsid w:val="3DB16CF2"/>
    <w:rsid w:val="3DE9136B"/>
    <w:rsid w:val="3ED402CB"/>
    <w:rsid w:val="3EDA0523"/>
    <w:rsid w:val="3F12422F"/>
    <w:rsid w:val="3F9002E8"/>
    <w:rsid w:val="403E7988"/>
    <w:rsid w:val="405F1177"/>
    <w:rsid w:val="406441EB"/>
    <w:rsid w:val="407A6407"/>
    <w:rsid w:val="407E5E78"/>
    <w:rsid w:val="40E8577C"/>
    <w:rsid w:val="4105385E"/>
    <w:rsid w:val="411A735C"/>
    <w:rsid w:val="4200449D"/>
    <w:rsid w:val="42324A0A"/>
    <w:rsid w:val="423A3BCC"/>
    <w:rsid w:val="424E57D2"/>
    <w:rsid w:val="42B26C49"/>
    <w:rsid w:val="42FC597E"/>
    <w:rsid w:val="433A6FE6"/>
    <w:rsid w:val="43480868"/>
    <w:rsid w:val="4350713C"/>
    <w:rsid w:val="436653E0"/>
    <w:rsid w:val="438B76F5"/>
    <w:rsid w:val="43B55F78"/>
    <w:rsid w:val="43C21AE0"/>
    <w:rsid w:val="43C4431A"/>
    <w:rsid w:val="442279FB"/>
    <w:rsid w:val="44290050"/>
    <w:rsid w:val="44A46D96"/>
    <w:rsid w:val="44B951CC"/>
    <w:rsid w:val="44CD14E0"/>
    <w:rsid w:val="44F20B0B"/>
    <w:rsid w:val="44F834FE"/>
    <w:rsid w:val="452B3F75"/>
    <w:rsid w:val="452E5F4C"/>
    <w:rsid w:val="45612018"/>
    <w:rsid w:val="458946E9"/>
    <w:rsid w:val="45A436C1"/>
    <w:rsid w:val="45A47C0E"/>
    <w:rsid w:val="45F938BE"/>
    <w:rsid w:val="46275A13"/>
    <w:rsid w:val="46577FD6"/>
    <w:rsid w:val="46D52FAA"/>
    <w:rsid w:val="46D955A7"/>
    <w:rsid w:val="46F9465F"/>
    <w:rsid w:val="47133957"/>
    <w:rsid w:val="473978A9"/>
    <w:rsid w:val="47A07E0C"/>
    <w:rsid w:val="47B70069"/>
    <w:rsid w:val="47BE447C"/>
    <w:rsid w:val="47C93C61"/>
    <w:rsid w:val="4870272E"/>
    <w:rsid w:val="487B163A"/>
    <w:rsid w:val="488B3960"/>
    <w:rsid w:val="491C0184"/>
    <w:rsid w:val="492547A2"/>
    <w:rsid w:val="494D658F"/>
    <w:rsid w:val="49920446"/>
    <w:rsid w:val="49A73673"/>
    <w:rsid w:val="49DC7715"/>
    <w:rsid w:val="49FE4504"/>
    <w:rsid w:val="4A023139"/>
    <w:rsid w:val="4A2006C9"/>
    <w:rsid w:val="4A4714F6"/>
    <w:rsid w:val="4A763EAD"/>
    <w:rsid w:val="4A7B576F"/>
    <w:rsid w:val="4AAD2843"/>
    <w:rsid w:val="4AB10DA0"/>
    <w:rsid w:val="4AF561A9"/>
    <w:rsid w:val="4B756271"/>
    <w:rsid w:val="4C2C513F"/>
    <w:rsid w:val="4C4A0649"/>
    <w:rsid w:val="4C5E05AC"/>
    <w:rsid w:val="4C7E5ECA"/>
    <w:rsid w:val="4C876AA5"/>
    <w:rsid w:val="4CD24C1E"/>
    <w:rsid w:val="4CE30FB8"/>
    <w:rsid w:val="4CFD651E"/>
    <w:rsid w:val="4D0E00FB"/>
    <w:rsid w:val="4D176606"/>
    <w:rsid w:val="4DCB752D"/>
    <w:rsid w:val="4DDF4665"/>
    <w:rsid w:val="4DEC4FB0"/>
    <w:rsid w:val="4E075D8A"/>
    <w:rsid w:val="4E0B5E7A"/>
    <w:rsid w:val="4E0E6BC0"/>
    <w:rsid w:val="4E2714E0"/>
    <w:rsid w:val="4E6F2A96"/>
    <w:rsid w:val="4EC00FAD"/>
    <w:rsid w:val="4EC746C5"/>
    <w:rsid w:val="4EDD6607"/>
    <w:rsid w:val="4F0A2BC7"/>
    <w:rsid w:val="4F294193"/>
    <w:rsid w:val="4F9843DC"/>
    <w:rsid w:val="4FC62A8C"/>
    <w:rsid w:val="4FD415C8"/>
    <w:rsid w:val="4FE20F0D"/>
    <w:rsid w:val="4FE227D2"/>
    <w:rsid w:val="4FE51552"/>
    <w:rsid w:val="50056B41"/>
    <w:rsid w:val="50084FFB"/>
    <w:rsid w:val="500A15F7"/>
    <w:rsid w:val="504125C1"/>
    <w:rsid w:val="50504C4B"/>
    <w:rsid w:val="505E3F19"/>
    <w:rsid w:val="50981E7D"/>
    <w:rsid w:val="509C6E7C"/>
    <w:rsid w:val="509E63CF"/>
    <w:rsid w:val="50AD60DA"/>
    <w:rsid w:val="511B5F5B"/>
    <w:rsid w:val="5162104E"/>
    <w:rsid w:val="51A42E62"/>
    <w:rsid w:val="5286619B"/>
    <w:rsid w:val="52D013AD"/>
    <w:rsid w:val="52ED0062"/>
    <w:rsid w:val="534D42FC"/>
    <w:rsid w:val="53742FA5"/>
    <w:rsid w:val="53754FD6"/>
    <w:rsid w:val="53A039CC"/>
    <w:rsid w:val="53A1505A"/>
    <w:rsid w:val="53AD65CF"/>
    <w:rsid w:val="54063E08"/>
    <w:rsid w:val="54165217"/>
    <w:rsid w:val="543437E8"/>
    <w:rsid w:val="54F73313"/>
    <w:rsid w:val="54F80955"/>
    <w:rsid w:val="54FA0480"/>
    <w:rsid w:val="555170A7"/>
    <w:rsid w:val="5587536D"/>
    <w:rsid w:val="559B174B"/>
    <w:rsid w:val="55B553AF"/>
    <w:rsid w:val="55CE0CF4"/>
    <w:rsid w:val="55D0014A"/>
    <w:rsid w:val="5630741A"/>
    <w:rsid w:val="56693EB5"/>
    <w:rsid w:val="5685314C"/>
    <w:rsid w:val="56A848F8"/>
    <w:rsid w:val="56B22A9C"/>
    <w:rsid w:val="56D04BE4"/>
    <w:rsid w:val="56D94134"/>
    <w:rsid w:val="572E71D3"/>
    <w:rsid w:val="575A5BBC"/>
    <w:rsid w:val="57922F1A"/>
    <w:rsid w:val="57B72A76"/>
    <w:rsid w:val="57BC5292"/>
    <w:rsid w:val="57C3426C"/>
    <w:rsid w:val="57CA524F"/>
    <w:rsid w:val="57CE1F93"/>
    <w:rsid w:val="58250ADB"/>
    <w:rsid w:val="582B03E3"/>
    <w:rsid w:val="58753A6F"/>
    <w:rsid w:val="58854B47"/>
    <w:rsid w:val="588743D1"/>
    <w:rsid w:val="5887701A"/>
    <w:rsid w:val="589F1880"/>
    <w:rsid w:val="58BB2AAA"/>
    <w:rsid w:val="59752DEE"/>
    <w:rsid w:val="59824FFB"/>
    <w:rsid w:val="59C0439F"/>
    <w:rsid w:val="59D834A5"/>
    <w:rsid w:val="5A11715F"/>
    <w:rsid w:val="5A364E1D"/>
    <w:rsid w:val="5A3D77C2"/>
    <w:rsid w:val="5A6E369F"/>
    <w:rsid w:val="5A720D92"/>
    <w:rsid w:val="5ABE2233"/>
    <w:rsid w:val="5AEA5A1F"/>
    <w:rsid w:val="5B9C7AD3"/>
    <w:rsid w:val="5BDF5D95"/>
    <w:rsid w:val="5BFE7528"/>
    <w:rsid w:val="5C31035B"/>
    <w:rsid w:val="5CAC586B"/>
    <w:rsid w:val="5CCA50E6"/>
    <w:rsid w:val="5D350389"/>
    <w:rsid w:val="5D9808AB"/>
    <w:rsid w:val="5DD60DF1"/>
    <w:rsid w:val="5E2467F1"/>
    <w:rsid w:val="5E88729E"/>
    <w:rsid w:val="5ED94942"/>
    <w:rsid w:val="5EDA046D"/>
    <w:rsid w:val="5EE01827"/>
    <w:rsid w:val="5F011313"/>
    <w:rsid w:val="5F1A2B43"/>
    <w:rsid w:val="5F645ED3"/>
    <w:rsid w:val="5F8B2C40"/>
    <w:rsid w:val="5FA960BB"/>
    <w:rsid w:val="5FB837BB"/>
    <w:rsid w:val="60075343"/>
    <w:rsid w:val="609A27A5"/>
    <w:rsid w:val="60B534BB"/>
    <w:rsid w:val="60BB1D7A"/>
    <w:rsid w:val="60CB2852"/>
    <w:rsid w:val="60CC405A"/>
    <w:rsid w:val="60E37445"/>
    <w:rsid w:val="60FB47DB"/>
    <w:rsid w:val="611A085E"/>
    <w:rsid w:val="618E3C0B"/>
    <w:rsid w:val="61E215D8"/>
    <w:rsid w:val="621B3775"/>
    <w:rsid w:val="62364782"/>
    <w:rsid w:val="63320513"/>
    <w:rsid w:val="634A37C9"/>
    <w:rsid w:val="635D49F4"/>
    <w:rsid w:val="63870498"/>
    <w:rsid w:val="6394356A"/>
    <w:rsid w:val="63AF4C1C"/>
    <w:rsid w:val="63C61B2C"/>
    <w:rsid w:val="63CC711C"/>
    <w:rsid w:val="63D40BE9"/>
    <w:rsid w:val="63D86AA1"/>
    <w:rsid w:val="63E45217"/>
    <w:rsid w:val="64102431"/>
    <w:rsid w:val="641B0B00"/>
    <w:rsid w:val="64A5243A"/>
    <w:rsid w:val="64E05DC5"/>
    <w:rsid w:val="64F531DE"/>
    <w:rsid w:val="650A0BDF"/>
    <w:rsid w:val="65133D84"/>
    <w:rsid w:val="65373578"/>
    <w:rsid w:val="65C66526"/>
    <w:rsid w:val="65E10754"/>
    <w:rsid w:val="65F04A1A"/>
    <w:rsid w:val="66276B36"/>
    <w:rsid w:val="671F124A"/>
    <w:rsid w:val="677A33C6"/>
    <w:rsid w:val="67D619EE"/>
    <w:rsid w:val="67E4235D"/>
    <w:rsid w:val="67F500C6"/>
    <w:rsid w:val="680B17C8"/>
    <w:rsid w:val="68134487"/>
    <w:rsid w:val="681C6446"/>
    <w:rsid w:val="681F6961"/>
    <w:rsid w:val="68610A2F"/>
    <w:rsid w:val="68634C04"/>
    <w:rsid w:val="68734CE2"/>
    <w:rsid w:val="687E4739"/>
    <w:rsid w:val="68805514"/>
    <w:rsid w:val="68D0631D"/>
    <w:rsid w:val="690606C8"/>
    <w:rsid w:val="69316E2F"/>
    <w:rsid w:val="694E2071"/>
    <w:rsid w:val="695B712E"/>
    <w:rsid w:val="69766163"/>
    <w:rsid w:val="697A3B33"/>
    <w:rsid w:val="69883464"/>
    <w:rsid w:val="69D44760"/>
    <w:rsid w:val="69ED5961"/>
    <w:rsid w:val="69F03822"/>
    <w:rsid w:val="6A1376DF"/>
    <w:rsid w:val="6A520EC7"/>
    <w:rsid w:val="6A521656"/>
    <w:rsid w:val="6A6A763D"/>
    <w:rsid w:val="6AF87E20"/>
    <w:rsid w:val="6B1D3DDD"/>
    <w:rsid w:val="6B244AEC"/>
    <w:rsid w:val="6B322639"/>
    <w:rsid w:val="6BF56E2A"/>
    <w:rsid w:val="6C3B25A4"/>
    <w:rsid w:val="6C636C38"/>
    <w:rsid w:val="6CBE317C"/>
    <w:rsid w:val="6CF823DA"/>
    <w:rsid w:val="6D3B47CD"/>
    <w:rsid w:val="6D6B3656"/>
    <w:rsid w:val="6D7F4976"/>
    <w:rsid w:val="6DB34098"/>
    <w:rsid w:val="6DB545B6"/>
    <w:rsid w:val="6DD86EA8"/>
    <w:rsid w:val="6DE02FB4"/>
    <w:rsid w:val="6E3928CA"/>
    <w:rsid w:val="6E514CED"/>
    <w:rsid w:val="6E5D69C5"/>
    <w:rsid w:val="6E6C09B6"/>
    <w:rsid w:val="6E880723"/>
    <w:rsid w:val="6EA9576B"/>
    <w:rsid w:val="6EB34837"/>
    <w:rsid w:val="6EB563D5"/>
    <w:rsid w:val="6ED92677"/>
    <w:rsid w:val="6F225983"/>
    <w:rsid w:val="6F7973AC"/>
    <w:rsid w:val="6F7D2210"/>
    <w:rsid w:val="6FBD0371"/>
    <w:rsid w:val="6FFC5590"/>
    <w:rsid w:val="701A6E7E"/>
    <w:rsid w:val="706D1DD0"/>
    <w:rsid w:val="70856B87"/>
    <w:rsid w:val="70D527EE"/>
    <w:rsid w:val="70F90D22"/>
    <w:rsid w:val="71134645"/>
    <w:rsid w:val="715B5300"/>
    <w:rsid w:val="71D27F8A"/>
    <w:rsid w:val="71FA58B2"/>
    <w:rsid w:val="72343EE1"/>
    <w:rsid w:val="724C24DD"/>
    <w:rsid w:val="72553024"/>
    <w:rsid w:val="726605FC"/>
    <w:rsid w:val="727C579D"/>
    <w:rsid w:val="729845D0"/>
    <w:rsid w:val="72C133B4"/>
    <w:rsid w:val="72DA504C"/>
    <w:rsid w:val="72E679EC"/>
    <w:rsid w:val="73021175"/>
    <w:rsid w:val="73122968"/>
    <w:rsid w:val="7318133E"/>
    <w:rsid w:val="73197C72"/>
    <w:rsid w:val="731B4F3A"/>
    <w:rsid w:val="731F5D5E"/>
    <w:rsid w:val="736A2BC4"/>
    <w:rsid w:val="739308B9"/>
    <w:rsid w:val="73A40477"/>
    <w:rsid w:val="73B9644B"/>
    <w:rsid w:val="73C51AD5"/>
    <w:rsid w:val="741E793C"/>
    <w:rsid w:val="742F6E56"/>
    <w:rsid w:val="745E3944"/>
    <w:rsid w:val="74CA571A"/>
    <w:rsid w:val="75257B04"/>
    <w:rsid w:val="756D3991"/>
    <w:rsid w:val="75A6081C"/>
    <w:rsid w:val="75D12F49"/>
    <w:rsid w:val="7635099D"/>
    <w:rsid w:val="764A5A05"/>
    <w:rsid w:val="76AC673B"/>
    <w:rsid w:val="76BF2DDD"/>
    <w:rsid w:val="77276A3D"/>
    <w:rsid w:val="77277B70"/>
    <w:rsid w:val="77762421"/>
    <w:rsid w:val="779C232A"/>
    <w:rsid w:val="77AB737E"/>
    <w:rsid w:val="77B56B1F"/>
    <w:rsid w:val="77B627AB"/>
    <w:rsid w:val="78097AC3"/>
    <w:rsid w:val="780A3D11"/>
    <w:rsid w:val="780F09F4"/>
    <w:rsid w:val="78A90480"/>
    <w:rsid w:val="78B25EFE"/>
    <w:rsid w:val="78BF0974"/>
    <w:rsid w:val="79294073"/>
    <w:rsid w:val="798B0086"/>
    <w:rsid w:val="7A154099"/>
    <w:rsid w:val="7A364017"/>
    <w:rsid w:val="7A4153ED"/>
    <w:rsid w:val="7A8265E1"/>
    <w:rsid w:val="7AAB2866"/>
    <w:rsid w:val="7AC75A48"/>
    <w:rsid w:val="7AE95AE1"/>
    <w:rsid w:val="7AEB44F3"/>
    <w:rsid w:val="7B6273C9"/>
    <w:rsid w:val="7B686D42"/>
    <w:rsid w:val="7B841746"/>
    <w:rsid w:val="7BB2613B"/>
    <w:rsid w:val="7BE11493"/>
    <w:rsid w:val="7BF722B1"/>
    <w:rsid w:val="7BFA7117"/>
    <w:rsid w:val="7C077C2F"/>
    <w:rsid w:val="7C1A4400"/>
    <w:rsid w:val="7C607832"/>
    <w:rsid w:val="7C6C5AC7"/>
    <w:rsid w:val="7C875CCC"/>
    <w:rsid w:val="7C972180"/>
    <w:rsid w:val="7CC6544B"/>
    <w:rsid w:val="7CDC30CF"/>
    <w:rsid w:val="7CEC7ADE"/>
    <w:rsid w:val="7D0239FF"/>
    <w:rsid w:val="7D0D0F5E"/>
    <w:rsid w:val="7D5E40CD"/>
    <w:rsid w:val="7D9843CF"/>
    <w:rsid w:val="7DCD56F2"/>
    <w:rsid w:val="7DEB59CB"/>
    <w:rsid w:val="7E19183E"/>
    <w:rsid w:val="7E493507"/>
    <w:rsid w:val="7E8458A8"/>
    <w:rsid w:val="7E891C89"/>
    <w:rsid w:val="7ED36351"/>
    <w:rsid w:val="7F001CE7"/>
    <w:rsid w:val="7F3A41FE"/>
    <w:rsid w:val="7F41597A"/>
    <w:rsid w:val="7F9B6731"/>
    <w:rsid w:val="7FE47E50"/>
    <w:rsid w:val="7FED06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qFormat="1"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qFormat="1" w:unhideWhenUsed="0" w:uiPriority="99"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iPriority="99"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qFormat="1"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3">
    <w:name w:val="heading 1"/>
    <w:basedOn w:val="1"/>
    <w:next w:val="1"/>
    <w:link w:val="51"/>
    <w:qFormat/>
    <w:locked/>
    <w:uiPriority w:val="99"/>
    <w:pPr>
      <w:keepNext/>
      <w:overflowPunct w:val="0"/>
      <w:snapToGrid w:val="0"/>
      <w:spacing w:line="240" w:lineRule="auto"/>
      <w:ind w:left="431" w:hanging="431"/>
      <w:outlineLvl w:val="0"/>
    </w:pPr>
    <w:rPr>
      <w:rFonts w:ascii="Times New Roman" w:hAnsi="Times New Roman" w:eastAsia="黑体"/>
      <w:bCs/>
      <w:color w:val="000000"/>
      <w:kern w:val="44"/>
      <w:sz w:val="30"/>
      <w:szCs w:val="30"/>
    </w:rPr>
  </w:style>
  <w:style w:type="paragraph" w:styleId="4">
    <w:name w:val="heading 2"/>
    <w:basedOn w:val="1"/>
    <w:next w:val="1"/>
    <w:link w:val="52"/>
    <w:unhideWhenUsed/>
    <w:qFormat/>
    <w:locked/>
    <w:uiPriority w:val="0"/>
    <w:pPr>
      <w:keepNext/>
      <w:keepLines/>
      <w:numPr>
        <w:ilvl w:val="1"/>
        <w:numId w:val="1"/>
      </w:numPr>
      <w:snapToGrid/>
      <w:spacing w:line="360" w:lineRule="auto"/>
      <w:ind w:left="0" w:firstLine="0"/>
      <w:outlineLvl w:val="1"/>
    </w:pPr>
    <w:rPr>
      <w:rFonts w:ascii="Times New Roman" w:hAnsi="Times New Roman" w:eastAsia="黑体"/>
      <w:bCs/>
      <w:sz w:val="24"/>
      <w:szCs w:val="30"/>
    </w:rPr>
  </w:style>
  <w:style w:type="paragraph" w:styleId="5">
    <w:name w:val="heading 3"/>
    <w:basedOn w:val="1"/>
    <w:next w:val="1"/>
    <w:link w:val="42"/>
    <w:qFormat/>
    <w:locked/>
    <w:uiPriority w:val="0"/>
    <w:pPr>
      <w:keepNext/>
      <w:keepLines/>
      <w:numPr>
        <w:ilvl w:val="2"/>
        <w:numId w:val="2"/>
      </w:numPr>
      <w:spacing w:before="50" w:beforeLines="50" w:after="50" w:afterLines="50"/>
      <w:ind w:firstLineChars="0"/>
      <w:jc w:val="left"/>
      <w:outlineLvl w:val="2"/>
    </w:pPr>
    <w:rPr>
      <w:b/>
      <w:bCs/>
      <w:kern w:val="0"/>
      <w:szCs w:val="32"/>
    </w:rPr>
  </w:style>
  <w:style w:type="paragraph" w:styleId="6">
    <w:name w:val="heading 4"/>
    <w:basedOn w:val="1"/>
    <w:next w:val="1"/>
    <w:qFormat/>
    <w:locked/>
    <w:uiPriority w:val="0"/>
    <w:pPr>
      <w:keepNext/>
      <w:keepLines/>
      <w:numPr>
        <w:ilvl w:val="3"/>
        <w:numId w:val="3"/>
      </w:numPr>
      <w:adjustRightInd w:val="0"/>
      <w:snapToGrid w:val="0"/>
      <w:spacing w:before="50" w:beforeLines="50" w:after="50" w:afterLines="50" w:line="360" w:lineRule="auto"/>
      <w:ind w:left="864" w:hanging="864"/>
      <w:outlineLvl w:val="3"/>
    </w:pPr>
    <w:rPr>
      <w:rFonts w:ascii="黑体" w:hAnsi="黑体" w:eastAsia="黑体"/>
      <w:b/>
      <w:bCs/>
      <w:color w:val="000000"/>
      <w:sz w:val="24"/>
    </w:rPr>
  </w:style>
  <w:style w:type="paragraph" w:styleId="7">
    <w:name w:val="heading 5"/>
    <w:basedOn w:val="1"/>
    <w:next w:val="1"/>
    <w:qFormat/>
    <w:locked/>
    <w:uiPriority w:val="0"/>
    <w:pPr>
      <w:ind w:left="1360" w:hanging="901"/>
      <w:outlineLvl w:val="4"/>
    </w:pPr>
    <w:rPr>
      <w:b/>
      <w:bCs/>
      <w:sz w:val="24"/>
      <w:szCs w:val="24"/>
    </w:rPr>
  </w:style>
  <w:style w:type="character" w:default="1" w:styleId="36">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macro"/>
    <w:basedOn w:val="1"/>
    <w:next w:val="1"/>
    <w:qFormat/>
    <w:locked/>
    <w:uiPriority w:val="99"/>
    <w:pPr>
      <w:widowControl/>
      <w:tabs>
        <w:tab w:val="left" w:pos="480"/>
        <w:tab w:val="left" w:pos="960"/>
        <w:tab w:val="left" w:pos="1276"/>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ind w:left="2127"/>
      <w:jc w:val="center"/>
    </w:pPr>
    <w:rPr>
      <w:rFonts w:eastAsia="黑体"/>
      <w:sz w:val="24"/>
      <w:szCs w:val="21"/>
    </w:rPr>
  </w:style>
  <w:style w:type="paragraph" w:styleId="8">
    <w:name w:val="Note Heading"/>
    <w:basedOn w:val="1"/>
    <w:next w:val="1"/>
    <w:unhideWhenUsed/>
    <w:qFormat/>
    <w:locked/>
    <w:uiPriority w:val="99"/>
    <w:pPr>
      <w:spacing w:beforeLines="70"/>
      <w:jc w:val="center"/>
    </w:pPr>
    <w:rPr>
      <w:rFonts w:eastAsia="黑体"/>
      <w:kern w:val="0"/>
      <w:sz w:val="24"/>
    </w:rPr>
  </w:style>
  <w:style w:type="paragraph" w:styleId="9">
    <w:name w:val="Normal Indent"/>
    <w:basedOn w:val="1"/>
    <w:qFormat/>
    <w:locked/>
    <w:uiPriority w:val="0"/>
    <w:pPr>
      <w:spacing w:line="360" w:lineRule="auto"/>
      <w:ind w:firstLine="200" w:firstLineChars="200"/>
    </w:pPr>
    <w:rPr>
      <w:kern w:val="0"/>
      <w:sz w:val="28"/>
    </w:rPr>
  </w:style>
  <w:style w:type="paragraph" w:styleId="10">
    <w:name w:val="annotation text"/>
    <w:basedOn w:val="1"/>
    <w:link w:val="53"/>
    <w:semiHidden/>
    <w:qFormat/>
    <w:uiPriority w:val="0"/>
    <w:pPr>
      <w:jc w:val="left"/>
    </w:pPr>
    <w:rPr>
      <w:kern w:val="0"/>
      <w:szCs w:val="20"/>
    </w:rPr>
  </w:style>
  <w:style w:type="paragraph" w:styleId="11">
    <w:name w:val="Salutation"/>
    <w:basedOn w:val="1"/>
    <w:next w:val="1"/>
    <w:qFormat/>
    <w:locked/>
    <w:uiPriority w:val="0"/>
    <w:rPr>
      <w:rFonts w:ascii="Calibri" w:hAnsi="Calibri"/>
      <w:kern w:val="0"/>
      <w:sz w:val="20"/>
      <w:szCs w:val="24"/>
    </w:rPr>
  </w:style>
  <w:style w:type="paragraph" w:styleId="12">
    <w:name w:val="Body Text"/>
    <w:basedOn w:val="1"/>
    <w:link w:val="49"/>
    <w:qFormat/>
    <w:uiPriority w:val="0"/>
    <w:pPr>
      <w:widowControl/>
      <w:snapToGrid w:val="0"/>
      <w:spacing w:before="60" w:after="160" w:line="259" w:lineRule="auto"/>
      <w:ind w:right="113"/>
    </w:pPr>
    <w:rPr>
      <w:kern w:val="0"/>
      <w:sz w:val="18"/>
      <w:szCs w:val="20"/>
    </w:rPr>
  </w:style>
  <w:style w:type="paragraph" w:styleId="13">
    <w:name w:val="Body Text Indent"/>
    <w:basedOn w:val="1"/>
    <w:next w:val="14"/>
    <w:link w:val="47"/>
    <w:qFormat/>
    <w:uiPriority w:val="0"/>
    <w:pPr>
      <w:spacing w:after="120"/>
      <w:ind w:left="420" w:leftChars="200"/>
    </w:pPr>
    <w:rPr>
      <w:kern w:val="0"/>
      <w:szCs w:val="20"/>
    </w:rPr>
  </w:style>
  <w:style w:type="paragraph" w:styleId="14">
    <w:name w:val="header"/>
    <w:basedOn w:val="1"/>
    <w:next w:val="15"/>
    <w:link w:val="48"/>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5">
    <w:name w:val="样式5"/>
    <w:basedOn w:val="12"/>
    <w:qFormat/>
    <w:uiPriority w:val="0"/>
    <w:pPr>
      <w:spacing w:after="0"/>
    </w:pPr>
    <w:rPr>
      <w:sz w:val="24"/>
      <w:szCs w:val="20"/>
    </w:rPr>
  </w:style>
  <w:style w:type="paragraph" w:styleId="16">
    <w:name w:val="Plain Text"/>
    <w:basedOn w:val="1"/>
    <w:link w:val="54"/>
    <w:qFormat/>
    <w:locked/>
    <w:uiPriority w:val="0"/>
    <w:pPr>
      <w:widowControl/>
      <w:jc w:val="left"/>
    </w:pPr>
    <w:rPr>
      <w:rFonts w:ascii="宋体" w:hAnsi="Courier New"/>
      <w:sz w:val="21"/>
      <w:szCs w:val="20"/>
    </w:rPr>
  </w:style>
  <w:style w:type="paragraph" w:styleId="17">
    <w:name w:val="List Bullet 5"/>
    <w:basedOn w:val="1"/>
    <w:qFormat/>
    <w:locked/>
    <w:uiPriority w:val="0"/>
    <w:pPr>
      <w:numPr>
        <w:ilvl w:val="0"/>
        <w:numId w:val="4"/>
      </w:numPr>
    </w:pPr>
  </w:style>
  <w:style w:type="paragraph" w:styleId="18">
    <w:name w:val="Date"/>
    <w:basedOn w:val="1"/>
    <w:next w:val="1"/>
    <w:link w:val="55"/>
    <w:qFormat/>
    <w:uiPriority w:val="0"/>
    <w:pPr>
      <w:ind w:left="100" w:leftChars="2500"/>
    </w:pPr>
    <w:rPr>
      <w:kern w:val="0"/>
      <w:szCs w:val="20"/>
    </w:rPr>
  </w:style>
  <w:style w:type="paragraph" w:styleId="19">
    <w:name w:val="Body Text Indent 2"/>
    <w:basedOn w:val="1"/>
    <w:link w:val="56"/>
    <w:qFormat/>
    <w:locked/>
    <w:uiPriority w:val="0"/>
    <w:pPr>
      <w:spacing w:after="120" w:line="480" w:lineRule="auto"/>
      <w:ind w:left="420" w:leftChars="200"/>
    </w:pPr>
    <w:rPr>
      <w:sz w:val="21"/>
      <w:szCs w:val="24"/>
    </w:rPr>
  </w:style>
  <w:style w:type="paragraph" w:styleId="20">
    <w:name w:val="Balloon Text"/>
    <w:basedOn w:val="1"/>
    <w:link w:val="57"/>
    <w:semiHidden/>
    <w:qFormat/>
    <w:uiPriority w:val="0"/>
    <w:rPr>
      <w:kern w:val="0"/>
      <w:sz w:val="18"/>
      <w:szCs w:val="20"/>
    </w:rPr>
  </w:style>
  <w:style w:type="paragraph" w:styleId="21">
    <w:name w:val="footer"/>
    <w:basedOn w:val="1"/>
    <w:link w:val="58"/>
    <w:qFormat/>
    <w:uiPriority w:val="99"/>
    <w:pPr>
      <w:tabs>
        <w:tab w:val="center" w:pos="4153"/>
        <w:tab w:val="right" w:pos="8306"/>
      </w:tabs>
      <w:snapToGrid w:val="0"/>
      <w:jc w:val="left"/>
    </w:pPr>
    <w:rPr>
      <w:kern w:val="0"/>
      <w:sz w:val="18"/>
      <w:szCs w:val="20"/>
    </w:rPr>
  </w:style>
  <w:style w:type="paragraph" w:styleId="22">
    <w:name w:val="index heading"/>
    <w:basedOn w:val="1"/>
    <w:next w:val="1"/>
    <w:qFormat/>
    <w:locked/>
    <w:uiPriority w:val="0"/>
    <w:rPr>
      <w:szCs w:val="20"/>
    </w:rPr>
  </w:style>
  <w:style w:type="paragraph" w:styleId="23">
    <w:name w:val="index 7"/>
    <w:basedOn w:val="1"/>
    <w:next w:val="1"/>
    <w:qFormat/>
    <w:locked/>
    <w:uiPriority w:val="0"/>
    <w:pPr>
      <w:ind w:left="1200" w:leftChars="1200"/>
    </w:pPr>
  </w:style>
  <w:style w:type="paragraph" w:styleId="24">
    <w:name w:val="table of figures"/>
    <w:basedOn w:val="1"/>
    <w:next w:val="1"/>
    <w:qFormat/>
    <w:locked/>
    <w:uiPriority w:val="0"/>
  </w:style>
  <w:style w:type="paragraph" w:styleId="25">
    <w:name w:val="Normal (Web)"/>
    <w:basedOn w:val="1"/>
    <w:next w:val="23"/>
    <w:link w:val="59"/>
    <w:qFormat/>
    <w:uiPriority w:val="0"/>
    <w:pPr>
      <w:widowControl/>
      <w:spacing w:before="100" w:beforeAutospacing="1" w:after="100" w:afterAutospacing="1"/>
      <w:jc w:val="left"/>
    </w:pPr>
    <w:rPr>
      <w:rFonts w:ascii="宋体" w:hAnsi="宋体"/>
      <w:kern w:val="0"/>
      <w:szCs w:val="20"/>
    </w:rPr>
  </w:style>
  <w:style w:type="paragraph" w:styleId="26">
    <w:name w:val="index 1"/>
    <w:basedOn w:val="1"/>
    <w:next w:val="1"/>
    <w:qFormat/>
    <w:locked/>
    <w:uiPriority w:val="0"/>
    <w:pPr>
      <w:jc w:val="center"/>
    </w:pPr>
    <w:rPr>
      <w:szCs w:val="20"/>
    </w:rPr>
  </w:style>
  <w:style w:type="paragraph" w:styleId="27">
    <w:name w:val="Title"/>
    <w:basedOn w:val="1"/>
    <w:next w:val="1"/>
    <w:link w:val="60"/>
    <w:qFormat/>
    <w:locked/>
    <w:uiPriority w:val="0"/>
    <w:pPr>
      <w:jc w:val="center"/>
      <w:outlineLvl w:val="0"/>
    </w:pPr>
    <w:rPr>
      <w:rFonts w:eastAsia="黑体"/>
      <w:bCs/>
      <w:sz w:val="21"/>
      <w:szCs w:val="32"/>
    </w:rPr>
  </w:style>
  <w:style w:type="paragraph" w:styleId="28">
    <w:name w:val="annotation subject"/>
    <w:basedOn w:val="10"/>
    <w:next w:val="10"/>
    <w:link w:val="61"/>
    <w:semiHidden/>
    <w:qFormat/>
    <w:uiPriority w:val="0"/>
    <w:rPr>
      <w:b/>
      <w:kern w:val="2"/>
    </w:rPr>
  </w:style>
  <w:style w:type="paragraph" w:styleId="29">
    <w:name w:val="Body Text First Indent"/>
    <w:basedOn w:val="12"/>
    <w:next w:val="1"/>
    <w:link w:val="62"/>
    <w:qFormat/>
    <w:locked/>
    <w:uiPriority w:val="0"/>
    <w:pPr>
      <w:widowControl w:val="0"/>
      <w:snapToGrid/>
      <w:spacing w:before="0" w:after="120" w:line="240" w:lineRule="auto"/>
      <w:ind w:right="0" w:firstLine="420" w:firstLineChars="100"/>
    </w:pPr>
    <w:rPr>
      <w:kern w:val="2"/>
      <w:sz w:val="21"/>
      <w:szCs w:val="24"/>
    </w:rPr>
  </w:style>
  <w:style w:type="paragraph" w:styleId="30">
    <w:name w:val="Body Text First Indent 2"/>
    <w:basedOn w:val="13"/>
    <w:next w:val="1"/>
    <w:link w:val="50"/>
    <w:qFormat/>
    <w:locked/>
    <w:uiPriority w:val="0"/>
    <w:pPr>
      <w:ind w:firstLine="420" w:firstLineChars="200"/>
    </w:pPr>
    <w:rPr>
      <w:kern w:val="2"/>
      <w:sz w:val="21"/>
      <w:szCs w:val="24"/>
    </w:rPr>
  </w:style>
  <w:style w:type="table" w:styleId="32">
    <w:name w:val="Table Grid"/>
    <w:basedOn w:val="3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Classic 1"/>
    <w:basedOn w:val="31"/>
    <w:qFormat/>
    <w:locked/>
    <w:uiPriority w:val="0"/>
    <w:pPr>
      <w:widowControl w:val="0"/>
      <w:jc w:val="both"/>
    </w:pPr>
    <w:tblPr>
      <w:tblBorders>
        <w:top w:val="single" w:color="000000" w:sz="12" w:space="0"/>
        <w:bottom w:val="single" w:color="000000" w:sz="12" w:space="0"/>
        <w:insideH w:val="dashSmallGap" w:color="000000" w:sz="4" w:space="0"/>
        <w:insideV w:val="dashSmallGap" w:color="000000" w:sz="4"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4">
    <w:name w:val="Table Classic 2"/>
    <w:basedOn w:val="31"/>
    <w:qFormat/>
    <w:locked/>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5">
    <w:name w:val="Table List 3"/>
    <w:basedOn w:val="31"/>
    <w:qFormat/>
    <w:locked/>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37">
    <w:name w:val="Strong"/>
    <w:qFormat/>
    <w:locked/>
    <w:uiPriority w:val="0"/>
    <w:rPr>
      <w:b/>
      <w:bCs/>
    </w:rPr>
  </w:style>
  <w:style w:type="character" w:styleId="38">
    <w:name w:val="page number"/>
    <w:basedOn w:val="36"/>
    <w:qFormat/>
    <w:locked/>
    <w:uiPriority w:val="0"/>
  </w:style>
  <w:style w:type="character" w:styleId="39">
    <w:name w:val="Hyperlink"/>
    <w:basedOn w:val="36"/>
    <w:qFormat/>
    <w:locked/>
    <w:uiPriority w:val="0"/>
    <w:rPr>
      <w:color w:val="0000FF"/>
      <w:u w:val="single"/>
    </w:rPr>
  </w:style>
  <w:style w:type="character" w:styleId="40">
    <w:name w:val="annotation reference"/>
    <w:semiHidden/>
    <w:qFormat/>
    <w:uiPriority w:val="0"/>
    <w:rPr>
      <w:sz w:val="21"/>
    </w:rPr>
  </w:style>
  <w:style w:type="paragraph" w:customStyle="1" w:styleId="41">
    <w:name w:val="xl27"/>
    <w:basedOn w:val="1"/>
    <w:qFormat/>
    <w:uiPriority w:val="99"/>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character" w:customStyle="1" w:styleId="42">
    <w:name w:val="标题 3 Char1"/>
    <w:link w:val="5"/>
    <w:qFormat/>
    <w:uiPriority w:val="9"/>
    <w:rPr>
      <w:b/>
      <w:bCs/>
      <w:kern w:val="0"/>
      <w:szCs w:val="32"/>
    </w:rPr>
  </w:style>
  <w:style w:type="paragraph" w:customStyle="1" w:styleId="43">
    <w:name w:val="wf-表格内容"/>
    <w:basedOn w:val="1"/>
    <w:qFormat/>
    <w:uiPriority w:val="0"/>
    <w:pPr>
      <w:adjustRightInd w:val="0"/>
      <w:spacing w:line="240" w:lineRule="auto"/>
      <w:jc w:val="center"/>
      <w:textAlignment w:val="baseline"/>
    </w:pPr>
    <w:rPr>
      <w:sz w:val="21"/>
      <w:szCs w:val="21"/>
    </w:rPr>
  </w:style>
  <w:style w:type="paragraph" w:customStyle="1" w:styleId="44">
    <w:name w:val="wf-表格标题"/>
    <w:basedOn w:val="1"/>
    <w:qFormat/>
    <w:uiPriority w:val="0"/>
    <w:pPr>
      <w:adjustRightInd w:val="0"/>
      <w:snapToGrid w:val="0"/>
      <w:spacing w:line="240" w:lineRule="auto"/>
      <w:ind w:firstLine="0" w:firstLineChars="0"/>
      <w:jc w:val="center"/>
    </w:pPr>
    <w:rPr>
      <w:rFonts w:hint="eastAsia" w:ascii="Times New Roman" w:hAnsi="Times New Roman" w:eastAsia="黑体" w:cs="Times New Roman"/>
      <w:bCs/>
      <w:color w:val="auto"/>
      <w:sz w:val="24"/>
      <w:szCs w:val="32"/>
    </w:rPr>
  </w:style>
  <w:style w:type="paragraph" w:customStyle="1" w:styleId="45">
    <w:name w:val="表格题目"/>
    <w:basedOn w:val="44"/>
    <w:link w:val="63"/>
    <w:qFormat/>
    <w:uiPriority w:val="0"/>
    <w:pPr>
      <w:keepNext/>
      <w:autoSpaceDE w:val="0"/>
      <w:autoSpaceDN w:val="0"/>
      <w:adjustRightInd w:val="0"/>
      <w:snapToGrid w:val="0"/>
      <w:spacing w:line="240" w:lineRule="auto"/>
      <w:jc w:val="center"/>
    </w:pPr>
    <w:rPr>
      <w:rFonts w:ascii="Times New Roman" w:hAnsi="Times New Roman" w:eastAsia="黑体"/>
      <w:color w:val="000000"/>
      <w:szCs w:val="24"/>
    </w:rPr>
  </w:style>
  <w:style w:type="paragraph" w:customStyle="1" w:styleId="46">
    <w:name w:val="表格内容"/>
    <w:basedOn w:val="43"/>
    <w:qFormat/>
    <w:uiPriority w:val="0"/>
    <w:pPr>
      <w:pBdr>
        <w:top w:val="none" w:color="auto" w:sz="0" w:space="1"/>
        <w:left w:val="none" w:color="auto" w:sz="0" w:space="4"/>
        <w:bottom w:val="none" w:color="auto" w:sz="0" w:space="1"/>
        <w:right w:val="none" w:color="auto" w:sz="0" w:space="4"/>
      </w:pBdr>
      <w:tabs>
        <w:tab w:val="center" w:pos="105"/>
        <w:tab w:val="center" w:pos="283"/>
      </w:tabs>
      <w:overflowPunct w:val="0"/>
      <w:adjustRightInd w:val="0"/>
      <w:spacing w:beforeLines="0" w:afterLines="0" w:line="240" w:lineRule="auto"/>
      <w:jc w:val="center"/>
      <w:textAlignment w:val="baseline"/>
    </w:pPr>
    <w:rPr>
      <w:rFonts w:cs="Times New Roman"/>
      <w:kern w:val="0"/>
      <w:sz w:val="21"/>
    </w:rPr>
  </w:style>
  <w:style w:type="character" w:customStyle="1" w:styleId="47">
    <w:name w:val="正文文本缩进 Char"/>
    <w:link w:val="13"/>
    <w:semiHidden/>
    <w:qFormat/>
    <w:locked/>
    <w:uiPriority w:val="0"/>
    <w:rPr>
      <w:rFonts w:ascii="Times New Roman" w:hAnsi="Times New Roman" w:eastAsia="宋体"/>
      <w:sz w:val="24"/>
    </w:rPr>
  </w:style>
  <w:style w:type="character" w:customStyle="1" w:styleId="48">
    <w:name w:val="页眉 Char"/>
    <w:link w:val="14"/>
    <w:qFormat/>
    <w:locked/>
    <w:uiPriority w:val="0"/>
    <w:rPr>
      <w:sz w:val="18"/>
    </w:rPr>
  </w:style>
  <w:style w:type="character" w:customStyle="1" w:styleId="49">
    <w:name w:val="正文文本 Char"/>
    <w:link w:val="12"/>
    <w:qFormat/>
    <w:locked/>
    <w:uiPriority w:val="0"/>
    <w:rPr>
      <w:sz w:val="18"/>
    </w:rPr>
  </w:style>
  <w:style w:type="character" w:customStyle="1" w:styleId="50">
    <w:name w:val="正文首行缩进 2 Char"/>
    <w:link w:val="30"/>
    <w:qFormat/>
    <w:uiPriority w:val="0"/>
    <w:rPr>
      <w:rFonts w:ascii="Times New Roman" w:hAnsi="Times New Roman" w:eastAsia="宋体"/>
      <w:kern w:val="2"/>
      <w:sz w:val="21"/>
      <w:szCs w:val="24"/>
    </w:rPr>
  </w:style>
  <w:style w:type="character" w:customStyle="1" w:styleId="51">
    <w:name w:val="标题 1 Char1"/>
    <w:link w:val="3"/>
    <w:qFormat/>
    <w:uiPriority w:val="99"/>
    <w:rPr>
      <w:rFonts w:ascii="Times New Roman" w:hAnsi="Times New Roman" w:eastAsia="黑体"/>
      <w:bCs/>
      <w:color w:val="000000"/>
      <w:kern w:val="44"/>
      <w:sz w:val="30"/>
      <w:szCs w:val="30"/>
    </w:rPr>
  </w:style>
  <w:style w:type="character" w:customStyle="1" w:styleId="52">
    <w:name w:val="标题 2 Char"/>
    <w:link w:val="4"/>
    <w:qFormat/>
    <w:uiPriority w:val="0"/>
    <w:rPr>
      <w:rFonts w:ascii="Times New Roman" w:hAnsi="Times New Roman" w:eastAsia="黑体"/>
      <w:bCs/>
      <w:sz w:val="24"/>
      <w:szCs w:val="30"/>
    </w:rPr>
  </w:style>
  <w:style w:type="character" w:customStyle="1" w:styleId="53">
    <w:name w:val="批注文字 Char"/>
    <w:link w:val="10"/>
    <w:qFormat/>
    <w:locked/>
    <w:uiPriority w:val="0"/>
    <w:rPr>
      <w:rFonts w:ascii="Times New Roman" w:hAnsi="Times New Roman" w:eastAsia="宋体"/>
      <w:sz w:val="24"/>
    </w:rPr>
  </w:style>
  <w:style w:type="character" w:customStyle="1" w:styleId="54">
    <w:name w:val="纯文本 Char"/>
    <w:link w:val="16"/>
    <w:qFormat/>
    <w:uiPriority w:val="0"/>
    <w:rPr>
      <w:rFonts w:ascii="宋体" w:hAnsi="Courier New"/>
      <w:kern w:val="2"/>
      <w:sz w:val="21"/>
    </w:rPr>
  </w:style>
  <w:style w:type="character" w:customStyle="1" w:styleId="55">
    <w:name w:val="日期 Char"/>
    <w:link w:val="18"/>
    <w:qFormat/>
    <w:locked/>
    <w:uiPriority w:val="0"/>
    <w:rPr>
      <w:rFonts w:ascii="Times New Roman" w:hAnsi="Times New Roman" w:eastAsia="宋体"/>
      <w:sz w:val="24"/>
    </w:rPr>
  </w:style>
  <w:style w:type="character" w:customStyle="1" w:styleId="56">
    <w:name w:val="正文文本缩进 2 Char"/>
    <w:link w:val="19"/>
    <w:qFormat/>
    <w:uiPriority w:val="0"/>
    <w:rPr>
      <w:kern w:val="2"/>
      <w:sz w:val="21"/>
      <w:szCs w:val="24"/>
    </w:rPr>
  </w:style>
  <w:style w:type="character" w:customStyle="1" w:styleId="57">
    <w:name w:val="批注框文本 Char"/>
    <w:link w:val="20"/>
    <w:semiHidden/>
    <w:qFormat/>
    <w:locked/>
    <w:uiPriority w:val="0"/>
    <w:rPr>
      <w:rFonts w:ascii="Times New Roman" w:hAnsi="Times New Roman" w:eastAsia="宋体"/>
      <w:sz w:val="18"/>
    </w:rPr>
  </w:style>
  <w:style w:type="character" w:customStyle="1" w:styleId="58">
    <w:name w:val="页脚 Char"/>
    <w:link w:val="21"/>
    <w:qFormat/>
    <w:locked/>
    <w:uiPriority w:val="99"/>
    <w:rPr>
      <w:sz w:val="18"/>
    </w:rPr>
  </w:style>
  <w:style w:type="character" w:customStyle="1" w:styleId="59">
    <w:name w:val="普通(网站) Char"/>
    <w:link w:val="25"/>
    <w:qFormat/>
    <w:locked/>
    <w:uiPriority w:val="0"/>
    <w:rPr>
      <w:rFonts w:ascii="宋体" w:hAnsi="宋体" w:eastAsia="宋体"/>
      <w:sz w:val="24"/>
    </w:rPr>
  </w:style>
  <w:style w:type="character" w:customStyle="1" w:styleId="60">
    <w:name w:val="标题 Char"/>
    <w:link w:val="27"/>
    <w:qFormat/>
    <w:uiPriority w:val="0"/>
    <w:rPr>
      <w:rFonts w:eastAsia="黑体" w:cs="Times New Roman"/>
      <w:bCs/>
      <w:kern w:val="2"/>
      <w:sz w:val="21"/>
      <w:szCs w:val="32"/>
    </w:rPr>
  </w:style>
  <w:style w:type="character" w:customStyle="1" w:styleId="61">
    <w:name w:val="批注主题 Char"/>
    <w:link w:val="28"/>
    <w:semiHidden/>
    <w:qFormat/>
    <w:locked/>
    <w:uiPriority w:val="0"/>
    <w:rPr>
      <w:rFonts w:ascii="Times New Roman" w:hAnsi="Times New Roman" w:eastAsia="宋体"/>
      <w:b/>
      <w:kern w:val="2"/>
      <w:sz w:val="24"/>
    </w:rPr>
  </w:style>
  <w:style w:type="character" w:customStyle="1" w:styleId="62">
    <w:name w:val="正文首行缩进 Char"/>
    <w:link w:val="29"/>
    <w:qFormat/>
    <w:uiPriority w:val="0"/>
    <w:rPr>
      <w:kern w:val="2"/>
      <w:sz w:val="21"/>
      <w:szCs w:val="24"/>
    </w:rPr>
  </w:style>
  <w:style w:type="character" w:customStyle="1" w:styleId="63">
    <w:name w:val="表格题目 Char"/>
    <w:link w:val="45"/>
    <w:qFormat/>
    <w:uiPriority w:val="0"/>
    <w:rPr>
      <w:rFonts w:ascii="Times New Roman" w:hAnsi="Times New Roman" w:eastAsia="黑体"/>
      <w:color w:val="000000"/>
      <w:kern w:val="2"/>
      <w:sz w:val="24"/>
      <w:szCs w:val="24"/>
    </w:rPr>
  </w:style>
  <w:style w:type="paragraph" w:customStyle="1" w:styleId="64">
    <w:name w:val="样式 正文文本缩进 + 行距: 1.5 倍行距"/>
    <w:basedOn w:val="65"/>
    <w:qFormat/>
    <w:uiPriority w:val="0"/>
    <w:pPr>
      <w:spacing w:before="0" w:after="120"/>
      <w:ind w:left="90" w:leftChars="32" w:firstLine="560" w:firstLineChars="200"/>
    </w:pPr>
    <w:rPr>
      <w:rFonts w:ascii="Times New Roman" w:cs="宋体"/>
    </w:rPr>
  </w:style>
  <w:style w:type="paragraph" w:customStyle="1" w:styleId="65">
    <w:name w:val="正文文本缩进1"/>
    <w:basedOn w:val="1"/>
    <w:next w:val="64"/>
    <w:qFormat/>
    <w:uiPriority w:val="0"/>
    <w:pPr>
      <w:spacing w:line="560" w:lineRule="exact"/>
      <w:ind w:firstLine="560" w:firstLineChars="200"/>
    </w:pPr>
    <w:rPr>
      <w:rFonts w:ascii="宋体" w:hAnsi="宋体"/>
      <w:sz w:val="28"/>
    </w:rPr>
  </w:style>
  <w:style w:type="character" w:customStyle="1" w:styleId="66">
    <w:name w:val="页脚 字符"/>
    <w:basedOn w:val="36"/>
    <w:qFormat/>
    <w:uiPriority w:val="99"/>
  </w:style>
  <w:style w:type="paragraph" w:customStyle="1" w:styleId="67">
    <w:name w:val="reader-word-layer reader-word-s46-2"/>
    <w:next w:val="68"/>
    <w:qFormat/>
    <w:uiPriority w:val="0"/>
    <w:pPr>
      <w:spacing w:before="100" w:beforeAutospacing="1" w:after="100" w:afterAutospacing="1"/>
    </w:pPr>
    <w:rPr>
      <w:rFonts w:ascii="宋体" w:hAnsi="宋体" w:eastAsia="Calibri" w:cs="宋体"/>
      <w:sz w:val="24"/>
      <w:szCs w:val="24"/>
      <w:lang w:val="en-US" w:eastAsia="en-US" w:bidi="ar-SA"/>
    </w:rPr>
  </w:style>
  <w:style w:type="paragraph" w:customStyle="1" w:styleId="68">
    <w:name w:val="xl35"/>
    <w:next w:val="1"/>
    <w:qFormat/>
    <w:uiPriority w:val="0"/>
    <w:pPr>
      <w:pBdr>
        <w:left w:val="single" w:color="000000" w:sz="4" w:space="0"/>
        <w:right w:val="single" w:color="000000" w:sz="4" w:space="0"/>
      </w:pBdr>
      <w:shd w:val="clear" w:color="FFFFFF" w:fill="FFFFFF"/>
      <w:spacing w:before="100" w:beforeAutospacing="1" w:after="100" w:afterAutospacing="1"/>
      <w:textAlignment w:val="center"/>
    </w:pPr>
    <w:rPr>
      <w:rFonts w:ascii="Arial Unicode MS" w:hAnsi="Arial Unicode MS" w:eastAsia="Arial Unicode MS" w:cs="Arial Unicode MS"/>
      <w:sz w:val="24"/>
      <w:szCs w:val="24"/>
      <w:lang w:val="en-US" w:eastAsia="en-US" w:bidi="ar-SA"/>
    </w:rPr>
  </w:style>
  <w:style w:type="paragraph" w:customStyle="1" w:styleId="69">
    <w:name w:val="报告正文"/>
    <w:basedOn w:val="1"/>
    <w:qFormat/>
    <w:uiPriority w:val="0"/>
    <w:pPr>
      <w:spacing w:line="360" w:lineRule="auto"/>
      <w:ind w:firstLine="200" w:firstLineChars="200"/>
    </w:pPr>
    <w:rPr>
      <w:rFonts w:cs="宋体"/>
      <w:sz w:val="24"/>
    </w:rPr>
  </w:style>
  <w:style w:type="paragraph" w:customStyle="1" w:styleId="70">
    <w:name w:val="Default1"/>
    <w:basedOn w:val="1"/>
    <w:qFormat/>
    <w:uiPriority w:val="0"/>
    <w:pPr>
      <w:autoSpaceDE w:val="0"/>
      <w:autoSpaceDN w:val="0"/>
      <w:adjustRightInd w:val="0"/>
      <w:jc w:val="left"/>
    </w:pPr>
    <w:rPr>
      <w:rFonts w:ascii="宋体" w:hAnsi="Times New Roman" w:cs="宋体"/>
      <w:color w:val="000000"/>
      <w:kern w:val="0"/>
      <w:sz w:val="24"/>
      <w:szCs w:val="24"/>
    </w:rPr>
  </w:style>
  <w:style w:type="paragraph" w:customStyle="1" w:styleId="71">
    <w:name w:val="Default"/>
    <w:next w:val="3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UserStyle_0"/>
    <w:basedOn w:val="73"/>
    <w:next w:val="1"/>
    <w:qFormat/>
    <w:uiPriority w:val="0"/>
    <w:pPr>
      <w:snapToGrid w:val="0"/>
      <w:spacing w:line="360" w:lineRule="auto"/>
      <w:ind w:firstLine="510"/>
      <w:jc w:val="center"/>
      <w:textAlignment w:val="baseline"/>
    </w:pPr>
    <w:rPr>
      <w:kern w:val="0"/>
      <w:sz w:val="24"/>
      <w:szCs w:val="20"/>
      <w:lang w:val="en-US" w:eastAsia="zh-CN" w:bidi="ar-SA"/>
    </w:rPr>
  </w:style>
  <w:style w:type="paragraph" w:customStyle="1" w:styleId="73">
    <w:name w:val="UserStyle_1"/>
    <w:basedOn w:val="1"/>
    <w:next w:val="1"/>
    <w:qFormat/>
    <w:uiPriority w:val="0"/>
    <w:pPr>
      <w:snapToGrid w:val="0"/>
      <w:spacing w:line="360" w:lineRule="atLeast"/>
      <w:jc w:val="center"/>
      <w:textAlignment w:val="baseline"/>
    </w:pPr>
    <w:rPr>
      <w:kern w:val="21"/>
      <w:sz w:val="21"/>
      <w:szCs w:val="20"/>
      <w:lang w:val="en-US" w:eastAsia="zh-CN" w:bidi="ar-SA"/>
    </w:rPr>
  </w:style>
  <w:style w:type="paragraph" w:customStyle="1" w:styleId="74">
    <w:name w:val="样式 正文文本缩进正文文字缩进 + 首行缩进:  2 字符"/>
    <w:basedOn w:val="1"/>
    <w:next w:val="1"/>
    <w:unhideWhenUsed/>
    <w:qFormat/>
    <w:uiPriority w:val="0"/>
    <w:pPr>
      <w:widowControl/>
      <w:spacing w:beforeLines="0" w:afterLines="0" w:line="336" w:lineRule="auto"/>
      <w:ind w:firstLine="560"/>
      <w:jc w:val="left"/>
    </w:pPr>
    <w:rPr>
      <w:rFonts w:hint="default" w:ascii="宋体" w:eastAsia="宋体" w:cs="宋体"/>
      <w:sz w:val="28"/>
      <w:szCs w:val="28"/>
    </w:rPr>
  </w:style>
  <w:style w:type="paragraph" w:customStyle="1" w:styleId="75">
    <w:name w:val="正文1"/>
    <w:basedOn w:val="12"/>
    <w:next w:val="1"/>
    <w:link w:val="76"/>
    <w:qFormat/>
    <w:uiPriority w:val="0"/>
    <w:pPr>
      <w:widowControl/>
      <w:tabs>
        <w:tab w:val="center" w:pos="105"/>
      </w:tabs>
      <w:spacing w:line="360" w:lineRule="auto"/>
      <w:ind w:firstLine="482"/>
    </w:pPr>
    <w:rPr>
      <w:kern w:val="0"/>
      <w:szCs w:val="20"/>
    </w:rPr>
  </w:style>
  <w:style w:type="character" w:customStyle="1" w:styleId="76">
    <w:name w:val="正文1 字符"/>
    <w:link w:val="75"/>
    <w:qFormat/>
    <w:uiPriority w:val="0"/>
    <w:rPr>
      <w:kern w:val="0"/>
      <w:sz w:val="24"/>
    </w:rPr>
  </w:style>
  <w:style w:type="paragraph" w:customStyle="1" w:styleId="77">
    <w:name w:val="样式35"/>
    <w:basedOn w:val="1"/>
    <w:next w:val="1"/>
    <w:qFormat/>
    <w:uiPriority w:val="0"/>
    <w:pPr>
      <w:spacing w:line="312" w:lineRule="auto"/>
      <w:ind w:firstLine="567"/>
    </w:pPr>
    <w:rPr>
      <w:rFonts w:ascii="宋体"/>
      <w:sz w:val="28"/>
    </w:rPr>
  </w:style>
  <w:style w:type="paragraph" w:customStyle="1" w:styleId="78">
    <w:name w:val="正文首行缩进1"/>
    <w:basedOn w:val="1"/>
    <w:qFormat/>
    <w:uiPriority w:val="99"/>
    <w:pPr>
      <w:spacing w:after="120"/>
      <w:ind w:firstLine="420" w:firstLineChars="100"/>
    </w:pPr>
  </w:style>
  <w:style w:type="character" w:customStyle="1" w:styleId="79">
    <w:name w:val="正文文本 字符1"/>
    <w:semiHidden/>
    <w:qFormat/>
    <w:uiPriority w:val="0"/>
    <w:rPr>
      <w:rFonts w:ascii="Times New Roman" w:hAnsi="Times New Roman" w:eastAsia="宋体"/>
      <w:sz w:val="24"/>
    </w:rPr>
  </w:style>
  <w:style w:type="character" w:customStyle="1" w:styleId="80">
    <w:name w:val="表格 Char"/>
    <w:link w:val="81"/>
    <w:qFormat/>
    <w:locked/>
    <w:uiPriority w:val="0"/>
    <w:rPr>
      <w:rFonts w:ascii="宋体"/>
      <w:sz w:val="21"/>
    </w:rPr>
  </w:style>
  <w:style w:type="paragraph" w:customStyle="1" w:styleId="81">
    <w:name w:val="表格"/>
    <w:basedOn w:val="9"/>
    <w:next w:val="1"/>
    <w:link w:val="80"/>
    <w:qFormat/>
    <w:uiPriority w:val="0"/>
    <w:pPr>
      <w:adjustRightInd w:val="0"/>
      <w:snapToGrid w:val="0"/>
      <w:spacing w:beforeLines="10" w:afterLines="10" w:line="259" w:lineRule="auto"/>
      <w:jc w:val="center"/>
    </w:pPr>
    <w:rPr>
      <w:rFonts w:ascii="宋体"/>
      <w:sz w:val="21"/>
      <w:szCs w:val="20"/>
    </w:rPr>
  </w:style>
  <w:style w:type="character" w:customStyle="1" w:styleId="82">
    <w:name w:val="日期 字符"/>
    <w:semiHidden/>
    <w:qFormat/>
    <w:uiPriority w:val="0"/>
    <w:rPr>
      <w:rFonts w:ascii="Times New Roman" w:hAnsi="Times New Roman" w:eastAsia="宋体"/>
      <w:sz w:val="24"/>
    </w:rPr>
  </w:style>
  <w:style w:type="character" w:customStyle="1" w:styleId="83">
    <w:name w:val="批注文字 字符1"/>
    <w:semiHidden/>
    <w:qFormat/>
    <w:uiPriority w:val="0"/>
    <w:rPr>
      <w:rFonts w:ascii="Times New Roman" w:hAnsi="Times New Roman" w:eastAsia="宋体"/>
      <w:sz w:val="24"/>
    </w:rPr>
  </w:style>
  <w:style w:type="paragraph" w:customStyle="1" w:styleId="8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6">
    <w:name w:val="表头"/>
    <w:basedOn w:val="75"/>
    <w:next w:val="1"/>
    <w:qFormat/>
    <w:uiPriority w:val="0"/>
    <w:pPr>
      <w:spacing w:line="360" w:lineRule="auto"/>
      <w:jc w:val="center"/>
    </w:pPr>
    <w:rPr>
      <w:b/>
      <w:szCs w:val="21"/>
    </w:rPr>
  </w:style>
  <w:style w:type="paragraph" w:customStyle="1" w:styleId="87">
    <w:name w:val="A正文"/>
    <w:basedOn w:val="1"/>
    <w:qFormat/>
    <w:uiPriority w:val="0"/>
    <w:pPr>
      <w:spacing w:line="360" w:lineRule="auto"/>
      <w:ind w:firstLine="200" w:firstLineChars="200"/>
    </w:pPr>
    <w:rPr>
      <w:rFonts w:ascii="Calibri" w:hAnsi="Calibri"/>
      <w:kern w:val="0"/>
      <w:sz w:val="24"/>
    </w:rPr>
  </w:style>
  <w:style w:type="paragraph" w:customStyle="1" w:styleId="88">
    <w:name w:val="Table Paragraph"/>
    <w:basedOn w:val="1"/>
    <w:qFormat/>
    <w:uiPriority w:val="1"/>
    <w:pPr>
      <w:autoSpaceDE w:val="0"/>
      <w:autoSpaceDN w:val="0"/>
      <w:jc w:val="center"/>
    </w:pPr>
    <w:rPr>
      <w:rFonts w:eastAsia="Times New Roman"/>
      <w:kern w:val="0"/>
      <w:sz w:val="22"/>
      <w:szCs w:val="22"/>
      <w:lang w:eastAsia="en-US" w:bidi="en-US"/>
    </w:rPr>
  </w:style>
  <w:style w:type="paragraph" w:customStyle="1" w:styleId="89">
    <w:name w:val="表格0"/>
    <w:next w:val="1"/>
    <w:qFormat/>
    <w:uiPriority w:val="0"/>
    <w:pPr>
      <w:adjustRightInd w:val="0"/>
      <w:snapToGrid w:val="0"/>
      <w:jc w:val="center"/>
    </w:pPr>
    <w:rPr>
      <w:rFonts w:ascii="Times New Roman" w:hAnsi="Times New Roman" w:eastAsia="宋体" w:cs="Times New Roman"/>
      <w:sz w:val="21"/>
      <w:lang w:val="en-US" w:eastAsia="zh-CN" w:bidi="ar-SA"/>
    </w:rPr>
  </w:style>
  <w:style w:type="character" w:customStyle="1" w:styleId="90">
    <w:name w:val="A表头 Char"/>
    <w:link w:val="91"/>
    <w:qFormat/>
    <w:uiPriority w:val="0"/>
    <w:rPr>
      <w:b/>
    </w:rPr>
  </w:style>
  <w:style w:type="paragraph" w:customStyle="1" w:styleId="91">
    <w:name w:val="A表头"/>
    <w:basedOn w:val="87"/>
    <w:link w:val="90"/>
    <w:qFormat/>
    <w:uiPriority w:val="0"/>
    <w:pPr>
      <w:spacing w:line="240" w:lineRule="auto"/>
      <w:ind w:firstLine="0" w:firstLineChars="0"/>
      <w:jc w:val="center"/>
    </w:pPr>
    <w:rPr>
      <w:rFonts w:ascii="Times New Roman" w:hAnsi="Times New Roman"/>
      <w:b/>
      <w:sz w:val="20"/>
      <w:szCs w:val="20"/>
    </w:rPr>
  </w:style>
  <w:style w:type="paragraph" w:customStyle="1" w:styleId="92">
    <w:name w:val="表标题"/>
    <w:basedOn w:val="1"/>
    <w:qFormat/>
    <w:uiPriority w:val="0"/>
    <w:pPr>
      <w:spacing w:line="500" w:lineRule="exact"/>
      <w:ind w:firstLine="482" w:firstLineChars="200"/>
      <w:jc w:val="center"/>
    </w:pPr>
    <w:rPr>
      <w:rFonts w:ascii="仿宋_GB2312" w:eastAsia="仿宋_GB2312"/>
      <w:b/>
      <w:bCs/>
      <w:sz w:val="24"/>
      <w:szCs w:val="20"/>
    </w:rPr>
  </w:style>
  <w:style w:type="paragraph" w:customStyle="1" w:styleId="93">
    <w:name w:val="图表文字"/>
    <w:basedOn w:val="1"/>
    <w:qFormat/>
    <w:uiPriority w:val="0"/>
    <w:pPr>
      <w:spacing w:line="300" w:lineRule="exact"/>
      <w:jc w:val="center"/>
    </w:pPr>
    <w:rPr>
      <w:bCs/>
      <w:szCs w:val="20"/>
    </w:rPr>
  </w:style>
  <w:style w:type="character" w:customStyle="1" w:styleId="94">
    <w:name w:val="表格内容内置 字符"/>
    <w:link w:val="95"/>
    <w:qFormat/>
    <w:uiPriority w:val="0"/>
    <w:rPr>
      <w:rFonts w:ascii="Calibri" w:hAnsi="Calibri"/>
      <w:color w:val="000000"/>
      <w:sz w:val="21"/>
      <w:u w:val="none" w:color="000000"/>
    </w:rPr>
  </w:style>
  <w:style w:type="paragraph" w:customStyle="1" w:styleId="95">
    <w:name w:val="表格内容内置"/>
    <w:basedOn w:val="1"/>
    <w:link w:val="94"/>
    <w:qFormat/>
    <w:uiPriority w:val="0"/>
    <w:pPr>
      <w:widowControl/>
      <w:adjustRightInd w:val="0"/>
      <w:snapToGrid w:val="0"/>
      <w:jc w:val="center"/>
      <w:textAlignment w:val="baseline"/>
    </w:pPr>
    <w:rPr>
      <w:rFonts w:ascii="Calibri" w:hAnsi="Calibri"/>
      <w:color w:val="000000"/>
      <w:kern w:val="0"/>
      <w:sz w:val="21"/>
      <w:szCs w:val="20"/>
      <w:u w:val="none" w:color="000000"/>
    </w:rPr>
  </w:style>
  <w:style w:type="character" w:customStyle="1" w:styleId="96">
    <w:name w:val="纯文本 字符"/>
    <w:qFormat/>
    <w:uiPriority w:val="0"/>
    <w:rPr>
      <w:rFonts w:ascii="宋体" w:hAnsi="Courier New" w:cs="Courier New"/>
      <w:kern w:val="2"/>
      <w:sz w:val="21"/>
      <w:szCs w:val="21"/>
    </w:rPr>
  </w:style>
  <w:style w:type="paragraph" w:customStyle="1" w:styleId="97">
    <w:name w:val="正文文本2"/>
    <w:basedOn w:val="12"/>
    <w:qFormat/>
    <w:uiPriority w:val="0"/>
    <w:pPr>
      <w:widowControl w:val="0"/>
      <w:snapToGrid/>
      <w:spacing w:before="0" w:after="0" w:line="360" w:lineRule="auto"/>
      <w:ind w:right="0" w:firstLine="480" w:firstLineChars="200"/>
    </w:pPr>
    <w:rPr>
      <w:rFonts w:ascii="宋体" w:cs="宋体"/>
      <w:kern w:val="2"/>
      <w:sz w:val="24"/>
    </w:rPr>
  </w:style>
  <w:style w:type="paragraph" w:customStyle="1" w:styleId="98">
    <w:name w:val="_Style 2"/>
    <w:basedOn w:val="1"/>
    <w:qFormat/>
    <w:uiPriority w:val="0"/>
    <w:pPr>
      <w:spacing w:line="360" w:lineRule="auto"/>
      <w:ind w:firstLine="200" w:firstLineChars="200"/>
    </w:pPr>
    <w:rPr>
      <w:sz w:val="24"/>
      <w:szCs w:val="20"/>
    </w:rPr>
  </w:style>
  <w:style w:type="paragraph" w:customStyle="1" w:styleId="99">
    <w:name w:val="HP正文"/>
    <w:basedOn w:val="1"/>
    <w:qFormat/>
    <w:uiPriority w:val="0"/>
    <w:pPr>
      <w:spacing w:line="360" w:lineRule="auto"/>
      <w:ind w:firstLine="480" w:firstLineChars="200"/>
    </w:pPr>
    <w:rPr>
      <w:kern w:val="0"/>
    </w:rPr>
  </w:style>
  <w:style w:type="paragraph" w:customStyle="1" w:styleId="100">
    <w:name w:val="Other|1"/>
    <w:basedOn w:val="1"/>
    <w:qFormat/>
    <w:uiPriority w:val="0"/>
    <w:pPr>
      <w:widowControl w:val="0"/>
      <w:shd w:val="clear" w:color="auto" w:fill="auto"/>
      <w:jc w:val="center"/>
    </w:pPr>
    <w:rPr>
      <w:sz w:val="19"/>
      <w:szCs w:val="19"/>
      <w:u w:val="none"/>
      <w:shd w:val="clear" w:color="auto" w:fill="auto"/>
      <w:lang w:val="zh-TW" w:eastAsia="zh-TW" w:bidi="zh-TW"/>
    </w:rPr>
  </w:style>
  <w:style w:type="paragraph" w:customStyle="1" w:styleId="101">
    <w:name w:val="报告书正文"/>
    <w:basedOn w:val="1"/>
    <w:qFormat/>
    <w:uiPriority w:val="0"/>
    <w:pPr>
      <w:adjustRightInd w:val="0"/>
      <w:snapToGrid w:val="0"/>
      <w:spacing w:line="480" w:lineRule="atLeast"/>
      <w:ind w:firstLine="425"/>
    </w:pPr>
    <w:rPr>
      <w:rFonts w:hAnsi="宋体"/>
      <w:kern w:val="0"/>
      <w:sz w:val="24"/>
    </w:rPr>
  </w:style>
  <w:style w:type="paragraph" w:customStyle="1" w:styleId="102">
    <w:name w:val="三级标题"/>
    <w:basedOn w:val="1"/>
    <w:qFormat/>
    <w:uiPriority w:val="0"/>
    <w:pPr>
      <w:widowControl w:val="0"/>
      <w:spacing w:line="360" w:lineRule="auto"/>
      <w:ind w:firstLine="482" w:firstLineChars="200"/>
      <w:jc w:val="both"/>
    </w:pPr>
    <w:rPr>
      <w:rFonts w:ascii="宋体" w:hAnsi="宋体" w:eastAsia="宋体" w:cs="Times New Roman"/>
      <w:b/>
      <w:bCs/>
      <w:sz w:val="24"/>
      <w:szCs w:val="24"/>
    </w:rPr>
  </w:style>
  <w:style w:type="paragraph" w:customStyle="1" w:styleId="103">
    <w:name w:val="EIA正文"/>
    <w:basedOn w:val="1"/>
    <w:qFormat/>
    <w:uiPriority w:val="0"/>
    <w:pPr>
      <w:widowControl w:val="0"/>
      <w:ind w:firstLine="200" w:firstLineChars="200"/>
      <w:jc w:val="both"/>
    </w:pPr>
    <w:rPr>
      <w:rFonts w:ascii="Calibri" w:hAnsi="Calibri" w:eastAsia="宋体" w:cs="Times New Roman"/>
      <w:color w:val="000000"/>
      <w:sz w:val="24"/>
      <w:szCs w:val="20"/>
    </w:rPr>
  </w:style>
  <w:style w:type="paragraph" w:customStyle="1" w:styleId="104">
    <w:name w:val="正文啦"/>
    <w:basedOn w:val="1"/>
    <w:qFormat/>
    <w:uiPriority w:val="0"/>
    <w:pPr>
      <w:spacing w:line="360" w:lineRule="auto"/>
      <w:ind w:firstLine="480" w:firstLineChars="200"/>
    </w:pPr>
    <w:rPr>
      <w:rFonts w:ascii="宋体" w:hAnsi="宋体"/>
      <w:bCs/>
      <w:sz w:val="24"/>
    </w:rPr>
  </w:style>
  <w:style w:type="paragraph" w:customStyle="1" w:styleId="105">
    <w:name w:val="+正文"/>
    <w:basedOn w:val="1"/>
    <w:qFormat/>
    <w:uiPriority w:val="0"/>
    <w:pPr>
      <w:spacing w:line="360" w:lineRule="auto"/>
      <w:ind w:firstLine="200" w:firstLineChars="200"/>
    </w:pPr>
    <w:rPr>
      <w:sz w:val="24"/>
    </w:rPr>
  </w:style>
  <w:style w:type="paragraph" w:customStyle="1" w:styleId="106">
    <w:name w:val="A表格"/>
    <w:basedOn w:val="1"/>
    <w:qFormat/>
    <w:uiPriority w:val="0"/>
    <w:pPr>
      <w:jc w:val="center"/>
    </w:pPr>
    <w:rPr>
      <w:kern w:val="0"/>
      <w:szCs w:val="21"/>
    </w:rPr>
  </w:style>
  <w:style w:type="paragraph" w:customStyle="1" w:styleId="107">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08">
    <w:name w:val="正1"/>
    <w:basedOn w:val="109"/>
    <w:qFormat/>
    <w:uiPriority w:val="0"/>
    <w:pPr>
      <w:widowControl w:val="0"/>
    </w:pPr>
    <w:rPr>
      <w:rFonts w:eastAsia="楷体_GB2312" w:cs="Times New Roman"/>
    </w:rPr>
  </w:style>
  <w:style w:type="paragraph" w:customStyle="1" w:styleId="109">
    <w:name w:val="正文快捷"/>
    <w:basedOn w:val="1"/>
    <w:qFormat/>
    <w:uiPriority w:val="0"/>
    <w:pPr>
      <w:ind w:firstLine="200" w:firstLineChars="200"/>
    </w:pPr>
  </w:style>
  <w:style w:type="paragraph" w:customStyle="1" w:styleId="110">
    <w:name w:val="表格文字"/>
    <w:basedOn w:val="9"/>
    <w:next w:val="1"/>
    <w:qFormat/>
    <w:uiPriority w:val="0"/>
    <w:pPr>
      <w:snapToGrid w:val="0"/>
      <w:spacing w:line="240" w:lineRule="auto"/>
      <w:ind w:firstLine="0" w:firstLineChars="0"/>
      <w:jc w:val="center"/>
    </w:pPr>
    <w:rPr>
      <w:rFonts w:ascii="宋体" w:hAnsi="Arial"/>
      <w:kern w:val="2"/>
      <w:sz w:val="21"/>
      <w:szCs w:val="20"/>
    </w:rPr>
  </w:style>
  <w:style w:type="paragraph" w:customStyle="1" w:styleId="111">
    <w:name w:val="表的表格"/>
    <w:basedOn w:val="1"/>
    <w:qFormat/>
    <w:uiPriority w:val="0"/>
    <w:pPr>
      <w:jc w:val="center"/>
    </w:pPr>
    <w:rPr>
      <w:rFonts w:ascii="宋体" w:hAnsi="宋体"/>
      <w:szCs w:val="21"/>
    </w:rPr>
  </w:style>
  <w:style w:type="paragraph" w:customStyle="1" w:styleId="112">
    <w:name w:val="目录2"/>
    <w:basedOn w:val="1"/>
    <w:qFormat/>
    <w:uiPriority w:val="0"/>
    <w:pPr>
      <w:jc w:val="left"/>
    </w:pPr>
    <w:rPr>
      <w:rFonts w:ascii="Times New Roman" w:hAnsi="Times New Roman"/>
      <w:b/>
      <w:sz w:val="24"/>
    </w:rPr>
  </w:style>
  <w:style w:type="paragraph" w:customStyle="1" w:styleId="113">
    <w:name w:val="wwwww"/>
    <w:basedOn w:val="1"/>
    <w:link w:val="114"/>
    <w:qFormat/>
    <w:uiPriority w:val="0"/>
    <w:pPr>
      <w:spacing w:line="360" w:lineRule="auto"/>
      <w:ind w:firstLine="200" w:firstLineChars="200"/>
    </w:pPr>
    <w:rPr>
      <w:sz w:val="24"/>
      <w:szCs w:val="28"/>
    </w:rPr>
  </w:style>
  <w:style w:type="character" w:customStyle="1" w:styleId="114">
    <w:name w:val="wwwww Char"/>
    <w:link w:val="113"/>
    <w:qFormat/>
    <w:uiPriority w:val="0"/>
    <w:rPr>
      <w:sz w:val="24"/>
      <w:szCs w:val="28"/>
    </w:rPr>
  </w:style>
  <w:style w:type="paragraph" w:customStyle="1" w:styleId="115">
    <w:name w:val="表标题编号"/>
    <w:basedOn w:val="1"/>
    <w:qFormat/>
    <w:uiPriority w:val="0"/>
    <w:pPr>
      <w:tabs>
        <w:tab w:val="left" w:pos="0"/>
        <w:tab w:val="left" w:pos="360"/>
      </w:tabs>
      <w:adjustRightInd w:val="0"/>
      <w:snapToGrid w:val="0"/>
      <w:jc w:val="center"/>
    </w:pPr>
    <w:rPr>
      <w:sz w:val="24"/>
      <w:szCs w:val="22"/>
    </w:rPr>
  </w:style>
  <w:style w:type="character" w:customStyle="1" w:styleId="116">
    <w:name w:val="fontstyle01"/>
    <w:qFormat/>
    <w:uiPriority w:val="0"/>
    <w:rPr>
      <w:rFonts w:hint="eastAsia" w:ascii="宋体" w:hAnsi="宋体" w:eastAsia="宋体"/>
      <w:color w:val="000000"/>
      <w:sz w:val="24"/>
      <w:szCs w:val="24"/>
    </w:rPr>
  </w:style>
  <w:style w:type="character" w:customStyle="1" w:styleId="117">
    <w:name w:val="fontstyle11"/>
    <w:basedOn w:val="36"/>
    <w:qFormat/>
    <w:uiPriority w:val="0"/>
    <w:rPr>
      <w:rFonts w:hint="default" w:ascii="TimesNewRomanPSMT" w:hAnsi="TimesNewRomanPSMT"/>
      <w:color w:val="000000"/>
      <w:sz w:val="22"/>
      <w:szCs w:val="22"/>
    </w:rPr>
  </w:style>
  <w:style w:type="paragraph" w:customStyle="1" w:styleId="118">
    <w:name w:val="_Style 5"/>
    <w:basedOn w:val="1"/>
    <w:qFormat/>
    <w:uiPriority w:val="34"/>
    <w:pPr>
      <w:ind w:left="720"/>
      <w:contextualSpacing/>
    </w:pPr>
  </w:style>
  <w:style w:type="paragraph" w:customStyle="1" w:styleId="119">
    <w:name w:val="正文lzq"/>
    <w:basedOn w:val="1"/>
    <w:qFormat/>
    <w:uiPriority w:val="0"/>
    <w:pPr>
      <w:autoSpaceDE w:val="0"/>
      <w:autoSpaceDN w:val="0"/>
      <w:adjustRightInd w:val="0"/>
      <w:snapToGrid w:val="0"/>
      <w:spacing w:line="500" w:lineRule="exact"/>
      <w:ind w:firstLine="420" w:firstLineChars="200"/>
      <w:jc w:val="left"/>
    </w:pPr>
    <w:rPr>
      <w:rFonts w:ascii="Times New Roman" w:hAnsi="Times New Roman" w:cs="Times New Roman"/>
      <w:sz w:val="24"/>
      <w:szCs w:val="24"/>
    </w:rPr>
  </w:style>
  <w:style w:type="character" w:customStyle="1" w:styleId="120">
    <w:name w:val="font21"/>
    <w:basedOn w:val="36"/>
    <w:qFormat/>
    <w:uiPriority w:val="0"/>
    <w:rPr>
      <w:rFonts w:hint="default" w:ascii="Courier New" w:hAnsi="Courier New" w:cs="Courier New"/>
      <w:color w:val="000000"/>
      <w:sz w:val="20"/>
      <w:szCs w:val="20"/>
      <w:u w:val="none"/>
    </w:rPr>
  </w:style>
  <w:style w:type="paragraph" w:customStyle="1" w:styleId="121">
    <w:name w:val="BodyText1I2"/>
    <w:basedOn w:val="122"/>
    <w:next w:val="1"/>
    <w:qFormat/>
    <w:uiPriority w:val="0"/>
    <w:pPr>
      <w:spacing w:after="120"/>
      <w:ind w:left="420" w:leftChars="200" w:firstLine="420" w:firstLineChars="200"/>
      <w:jc w:val="both"/>
      <w:textAlignment w:val="baseline"/>
    </w:pPr>
  </w:style>
  <w:style w:type="paragraph" w:customStyle="1" w:styleId="122">
    <w:name w:val="BodyTextIndent"/>
    <w:basedOn w:val="1"/>
    <w:next w:val="1"/>
    <w:qFormat/>
    <w:uiPriority w:val="0"/>
    <w:pPr>
      <w:spacing w:after="120"/>
      <w:ind w:left="420" w:leftChars="200"/>
      <w:jc w:val="both"/>
      <w:textAlignment w:val="baseline"/>
    </w:pPr>
  </w:style>
  <w:style w:type="paragraph" w:customStyle="1" w:styleId="123">
    <w:name w:val="表格内文字"/>
    <w:next w:val="1"/>
    <w:qFormat/>
    <w:uiPriority w:val="0"/>
    <w:pPr>
      <w:widowControl w:val="0"/>
      <w:tabs>
        <w:tab w:val="left" w:pos="0"/>
      </w:tabs>
      <w:adjustRightInd w:val="0"/>
      <w:snapToGrid w:val="0"/>
      <w:jc w:val="center"/>
    </w:pPr>
    <w:rPr>
      <w:rFonts w:ascii="Times New Roman" w:hAnsi="Times New Roman" w:eastAsia="仿宋_GB2312" w:cs="Times New Roman"/>
      <w:kern w:val="2"/>
      <w:sz w:val="24"/>
      <w:szCs w:val="24"/>
      <w:lang w:val="en-US" w:eastAsia="zh-CN" w:bidi="ar-SA"/>
    </w:rPr>
  </w:style>
  <w:style w:type="table" w:customStyle="1" w:styleId="124">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125">
    <w:name w:val="font11"/>
    <w:basedOn w:val="36"/>
    <w:qFormat/>
    <w:uiPriority w:val="0"/>
    <w:rPr>
      <w:rFonts w:hint="eastAsia" w:ascii="宋体" w:hAnsi="宋体" w:eastAsia="宋体" w:cs="宋体"/>
      <w:color w:val="000000"/>
      <w:sz w:val="20"/>
      <w:szCs w:val="20"/>
      <w:u w:val="none"/>
    </w:rPr>
  </w:style>
  <w:style w:type="character" w:customStyle="1" w:styleId="126">
    <w:name w:val="font31"/>
    <w:basedOn w:val="36"/>
    <w:qFormat/>
    <w:uiPriority w:val="0"/>
    <w:rPr>
      <w:rFonts w:hint="default" w:ascii="Times New Roman" w:hAnsi="Times New Roman" w:cs="Times New Roman"/>
      <w:color w:val="000000"/>
      <w:sz w:val="20"/>
      <w:szCs w:val="20"/>
      <w:u w:val="none"/>
    </w:rPr>
  </w:style>
  <w:style w:type="character" w:customStyle="1" w:styleId="127">
    <w:name w:val="font41"/>
    <w:basedOn w:val="36"/>
    <w:qFormat/>
    <w:uiPriority w:val="0"/>
    <w:rPr>
      <w:rFonts w:hint="eastAsia" w:ascii="宋体" w:hAnsi="宋体" w:eastAsia="宋体" w:cs="宋体"/>
      <w:color w:val="000000"/>
      <w:sz w:val="20"/>
      <w:szCs w:val="20"/>
      <w:u w:val="none"/>
    </w:rPr>
  </w:style>
  <w:style w:type="paragraph" w:customStyle="1" w:styleId="128">
    <w:name w:val="一级条标题"/>
    <w:next w:val="129"/>
    <w:qFormat/>
    <w:uiPriority w:val="0"/>
    <w:pPr>
      <w:numPr>
        <w:ilvl w:val="1"/>
        <w:numId w:val="0"/>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130">
    <w:name w:val="List Paragraph"/>
    <w:basedOn w:val="1"/>
    <w:qFormat/>
    <w:uiPriority w:val="34"/>
    <w:pPr>
      <w:ind w:left="840" w:leftChars="400"/>
    </w:pPr>
  </w:style>
  <w:style w:type="paragraph" w:customStyle="1" w:styleId="131">
    <w:name w:val="Table Text"/>
    <w:basedOn w:val="1"/>
    <w:semiHidden/>
    <w:qFormat/>
    <w:uiPriority w:val="0"/>
    <w:rPr>
      <w:rFonts w:ascii="宋体" w:hAnsi="宋体" w:eastAsia="宋体" w:cs="宋体"/>
      <w:sz w:val="28"/>
      <w:szCs w:val="28"/>
      <w:lang w:val="en-US" w:eastAsia="en-US" w:bidi="ar-SA"/>
    </w:rPr>
  </w:style>
  <w:style w:type="paragraph" w:customStyle="1" w:styleId="132">
    <w:name w:val="表格内容（正）"/>
    <w:basedOn w:val="9"/>
    <w:qFormat/>
    <w:uiPriority w:val="0"/>
    <w:pPr>
      <w:spacing w:before="0" w:after="0"/>
      <w:ind w:firstLine="0"/>
      <w:jc w:val="center"/>
    </w:pPr>
    <w:rPr>
      <w:rFonts w:cs="宋体"/>
      <w:color w:val="FF0000"/>
      <w:sz w:val="21"/>
      <w:szCs w:val="21"/>
    </w:rPr>
  </w:style>
  <w:style w:type="paragraph" w:customStyle="1" w:styleId="133">
    <w:name w:val="正文小四首缩1.3行距"/>
    <w:basedOn w:val="1"/>
    <w:qFormat/>
    <w:uiPriority w:val="0"/>
    <w:pPr>
      <w:widowControl/>
      <w:spacing w:line="312" w:lineRule="auto"/>
      <w:ind w:firstLine="420" w:firstLineChars="200"/>
      <w:jc w:val="left"/>
    </w:pPr>
    <w:rPr>
      <w:rFonts w:ascii="宋体" w:hAnsi="宋体"/>
      <w:kern w:val="0"/>
      <w:sz w:val="24"/>
      <w:szCs w:val="20"/>
    </w:rPr>
  </w:style>
  <w:style w:type="paragraph" w:customStyle="1" w:styleId="134">
    <w:name w:val="表格文字2"/>
    <w:qFormat/>
    <w:uiPriority w:val="0"/>
    <w:pPr>
      <w:tabs>
        <w:tab w:val="left" w:pos="277"/>
        <w:tab w:val="left" w:pos="600"/>
        <w:tab w:val="left" w:pos="780"/>
        <w:tab w:val="left" w:pos="2517"/>
      </w:tabs>
      <w:adjustRightInd w:val="0"/>
      <w:spacing w:before="60"/>
      <w:jc w:val="center"/>
      <w:textAlignment w:val="baseline"/>
    </w:pPr>
    <w:rPr>
      <w:rFonts w:ascii="Times New Roman" w:hAnsi="Times New Roman" w:eastAsia="宋体" w:cs="Times New Roman"/>
      <w:szCs w:val="21"/>
      <w:lang w:val="en-US" w:eastAsia="zh-CN" w:bidi="ar-SA"/>
    </w:rPr>
  </w:style>
  <w:style w:type="paragraph" w:customStyle="1" w:styleId="135">
    <w:name w:val="li_正文"/>
    <w:basedOn w:val="1"/>
    <w:qFormat/>
    <w:uiPriority w:val="0"/>
    <w:pPr>
      <w:widowControl w:val="0"/>
      <w:tabs>
        <w:tab w:val="left" w:pos="2340"/>
        <w:tab w:val="left" w:pos="4320"/>
      </w:tabs>
      <w:ind w:firstLine="530" w:firstLineChars="200"/>
      <w:jc w:val="left"/>
    </w:pPr>
    <w:rPr>
      <w:sz w:val="28"/>
      <w:szCs w:val="28"/>
    </w:rPr>
  </w:style>
  <w:style w:type="paragraph" w:customStyle="1" w:styleId="136">
    <w:name w:val="宋的表格"/>
    <w:basedOn w:val="1"/>
    <w:qFormat/>
    <w:uiPriority w:val="0"/>
    <w:pPr>
      <w:overflowPunct w:val="0"/>
      <w:autoSpaceDE w:val="0"/>
      <w:autoSpaceDN w:val="0"/>
      <w:adjustRightInd w:val="0"/>
      <w:snapToGrid w:val="0"/>
      <w:jc w:val="center"/>
      <w:textAlignment w:val="baseline"/>
    </w:pPr>
    <w:rPr>
      <w:szCs w:val="21"/>
    </w:rPr>
  </w:style>
  <w:style w:type="paragraph" w:customStyle="1" w:styleId="137">
    <w:name w:val="表内容"/>
    <w:basedOn w:val="1"/>
    <w:qFormat/>
    <w:uiPriority w:val="0"/>
    <w:pPr>
      <w:adjustRightInd w:val="0"/>
      <w:snapToGrid w:val="0"/>
      <w:jc w:val="center"/>
    </w:pPr>
    <w:rPr>
      <w:kern w:val="0"/>
      <w:szCs w:val="21"/>
    </w:rPr>
  </w:style>
  <w:style w:type="paragraph" w:customStyle="1" w:styleId="138">
    <w:name w:val="0正文"/>
    <w:basedOn w:val="1"/>
    <w:qFormat/>
    <w:uiPriority w:val="0"/>
    <w:pPr>
      <w:spacing w:line="360" w:lineRule="auto"/>
      <w:ind w:firstLine="200" w:firstLineChars="200"/>
      <w:jc w:val="left"/>
    </w:pPr>
    <w:rPr>
      <w:kern w:val="24"/>
      <w:sz w:val="24"/>
      <w:szCs w:val="24"/>
      <w:lang w:bidi="he-IL"/>
    </w:rPr>
  </w:style>
  <w:style w:type="paragraph" w:customStyle="1" w:styleId="139">
    <w:name w:val="环评表格"/>
    <w:basedOn w:val="1"/>
    <w:qFormat/>
    <w:uiPriority w:val="0"/>
    <w:pPr>
      <w:spacing w:line="240" w:lineRule="auto"/>
      <w:ind w:firstLine="0" w:firstLineChars="0"/>
      <w:jc w:val="center"/>
    </w:pPr>
    <w:rPr>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18950</Words>
  <Characters>20063</Characters>
  <Lines>267</Lines>
  <Paragraphs>75</Paragraphs>
  <TotalTime>23</TotalTime>
  <ScaleCrop>false</ScaleCrop>
  <LinksUpToDate>false</LinksUpToDate>
  <CharactersWithSpaces>20253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2022-12-13T07:24:00Z</dcterms:created>
  <dc:creator>lhj</dc:creator>
  <cp:lastModifiedBy>阳爸</cp:lastModifiedBy>
  <cp:lastPrinted>2024-09-26T09:56:00Z</cp:lastPrinted>
  <dcterms:modified xsi:type="dcterms:W3CDTF">2026-01-09T08:14:36Z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6878D9584A644848B2C724CA74BCDADD_13</vt:lpwstr>
  </property>
  <property fmtid="{D5CDD505-2E9C-101B-9397-08002B2CF9AE}" pid="4" name="KSOTemplateDocerSaveRecord">
    <vt:lpwstr>eyJoZGlkIjoiNTFhNWEwZjQyOWI2M2ZmZjg0ZTg3YTRhMjI1NDc2ODciLCJ1c2VySWQiOiIyMzY4NzI2ODkifQ==</vt:lpwstr>
  </property>
</Properties>
</file>