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8F32348">
      <w:pPr>
        <w:spacing w:after="0" w:line="240" w:lineRule="auto"/>
        <w:jc w:val="center"/>
        <w:rPr>
          <w:rFonts w:hint="eastAsia" w:ascii="方正小标宋简体" w:hAnsi="方正小标宋简体" w:eastAsia="方正小标宋简体" w:cs="方正小标宋简体"/>
          <w:sz w:val="40"/>
          <w:szCs w:val="40"/>
          <w14:ligatures w14:val="none"/>
        </w:rPr>
      </w:pPr>
      <w:bookmarkStart w:id="0" w:name="_Hlk196398690"/>
      <w:bookmarkEnd w:id="0"/>
      <w:bookmarkStart w:id="1" w:name="_Toc192525643"/>
      <w:bookmarkStart w:id="2" w:name="_Toc11721"/>
      <w:bookmarkStart w:id="3" w:name="_Toc193112903"/>
      <w:bookmarkStart w:id="4" w:name="_Toc22892"/>
      <w:bookmarkStart w:id="5" w:name="_Toc24458"/>
      <w:r>
        <w:rPr>
          <w:rFonts w:ascii="方正小标宋简体" w:hAnsi="方正小标宋简体" w:eastAsia="方正小标宋简体" w:cs="方正小标宋简体"/>
          <w:sz w:val="40"/>
          <w:szCs w:val="40"/>
          <w14:ligatures w14:val="none"/>
        </w:rPr>
        <w:t>《</w:t>
      </w:r>
      <w:r>
        <w:rPr>
          <w:rFonts w:hint="eastAsia" w:ascii="方正小标宋简体" w:hAnsi="方正小标宋简体" w:eastAsia="方正小标宋简体" w:cs="方正小标宋简体"/>
          <w:sz w:val="40"/>
          <w:szCs w:val="40"/>
          <w14:ligatures w14:val="none"/>
        </w:rPr>
        <w:t>泗水县泉林镇</w:t>
      </w:r>
      <w:r>
        <w:rPr>
          <w:rFonts w:ascii="方正小标宋简体" w:hAnsi="方正小标宋简体" w:eastAsia="方正小标宋简体" w:cs="方正小标宋简体"/>
          <w:sz w:val="40"/>
          <w:szCs w:val="40"/>
          <w14:ligatures w14:val="none"/>
        </w:rPr>
        <w:t>国土空间规划(2021-2035年)》批后公告</w:t>
      </w:r>
    </w:p>
    <w:bookmarkEnd w:id="1"/>
    <w:bookmarkEnd w:id="2"/>
    <w:bookmarkEnd w:id="3"/>
    <w:bookmarkEnd w:id="4"/>
    <w:bookmarkEnd w:id="5"/>
    <w:p w14:paraId="129D4DD0">
      <w:pPr>
        <w:spacing w:after="0" w:line="600" w:lineRule="exact"/>
        <w:jc w:val="both"/>
        <w:rPr>
          <w:rFonts w:hint="eastAsia" w:ascii="仿宋" w:hAnsi="仿宋" w:eastAsia="仿宋" w:cs="仿宋"/>
          <w:sz w:val="32"/>
          <w:szCs w:val="32"/>
          <w14:ligatures w14:val="none"/>
        </w:rPr>
      </w:pPr>
    </w:p>
    <w:p w14:paraId="37BED112">
      <w:pPr>
        <w:widowControl/>
        <w:adjustRightInd w:val="0"/>
        <w:snapToGrid w:val="0"/>
        <w:spacing w:after="0" w:line="600" w:lineRule="exact"/>
        <w:ind w:firstLine="640" w:firstLineChars="200"/>
        <w:jc w:val="both"/>
        <w:rPr>
          <w:rFonts w:hint="eastAsia" w:ascii="仿宋_GB2312" w:hAnsi="宋体" w:eastAsia="仿宋_GB2312" w:cs="宋体"/>
          <w:kern w:val="0"/>
          <w:sz w:val="32"/>
          <w14:ligatures w14:val="none"/>
        </w:rPr>
      </w:pP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《泗水县泉林镇国土空间规划(2021-2035年)》于2024年6月27日获泗水县人民政</w:t>
      </w:r>
      <w:bookmarkStart w:id="13" w:name="_GoBack"/>
      <w:bookmarkEnd w:id="13"/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府正式批复(批复文号:泗政字[2024]92号)。现根据《中华人民共和国城乡规划法》、《中共中央国务院关于建立国土空间规划体系并监督实施的若干意见》(中发[2019]18号)有关规定，对规划成果进行批后公告。</w:t>
      </w:r>
    </w:p>
    <w:p w14:paraId="3356FFF7">
      <w:pPr>
        <w:pStyle w:val="4"/>
        <w:keepLines w:val="0"/>
        <w:widowControl/>
        <w:adjustRightInd w:val="0"/>
        <w:snapToGrid w:val="0"/>
        <w:spacing w:before="156" w:beforeLines="50" w:after="156" w:afterLines="50" w:line="600" w:lineRule="exact"/>
        <w:ind w:left="640"/>
        <w:jc w:val="both"/>
        <w:rPr>
          <w:rFonts w:hint="eastAsia" w:ascii="楷体_GB2312" w:hAnsi="楷体" w:eastAsia="楷体_GB2312" w:cs="宋体"/>
          <w:b/>
          <w:bCs/>
          <w:color w:val="auto"/>
          <w:kern w:val="0"/>
          <w14:ligatures w14:val="none"/>
        </w:rPr>
      </w:pPr>
      <w:r>
        <w:rPr>
          <w:rFonts w:hint="eastAsia" w:ascii="楷体_GB2312" w:hAnsi="楷体" w:eastAsia="楷体_GB2312" w:cs="宋体"/>
          <w:b/>
          <w:bCs/>
          <w:color w:val="auto"/>
          <w:kern w:val="0"/>
          <w14:ligatures w14:val="none"/>
        </w:rPr>
        <w:t>一、规划范围</w:t>
      </w:r>
    </w:p>
    <w:p w14:paraId="7F3991B2">
      <w:pPr>
        <w:widowControl/>
        <w:adjustRightInd w:val="0"/>
        <w:snapToGrid w:val="0"/>
        <w:spacing w:after="0" w:line="600" w:lineRule="exact"/>
        <w:ind w:firstLine="640" w:firstLineChars="200"/>
        <w:jc w:val="both"/>
        <w:rPr>
          <w:rFonts w:hint="eastAsia" w:ascii="仿宋_GB2312" w:hAnsi="宋体" w:eastAsia="仿宋_GB2312" w:cs="宋体"/>
          <w:kern w:val="0"/>
          <w:sz w:val="32"/>
          <w14:ligatures w14:val="none"/>
        </w:rPr>
      </w:pP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规划范围为泉林镇行政辖区</w:t>
      </w:r>
      <w:r>
        <w:rPr>
          <w:rFonts w:ascii="仿宋_GB2312" w:hAnsi="宋体" w:eastAsia="仿宋_GB2312" w:cs="宋体"/>
          <w:kern w:val="0"/>
          <w:sz w:val="32"/>
          <w14:ligatures w14:val="none"/>
        </w:rPr>
        <w:t>内的全部国土空间，总面积11</w:t>
      </w: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1</w:t>
      </w:r>
      <w:r>
        <w:rPr>
          <w:rFonts w:ascii="仿宋_GB2312" w:hAnsi="宋体" w:eastAsia="仿宋_GB2312" w:cs="宋体"/>
          <w:kern w:val="0"/>
          <w:sz w:val="32"/>
          <w14:ligatures w14:val="none"/>
        </w:rPr>
        <w:t>.</w:t>
      </w: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8</w:t>
      </w:r>
      <w:r>
        <w:rPr>
          <w:rFonts w:ascii="仿宋_GB2312" w:hAnsi="宋体" w:eastAsia="仿宋_GB2312" w:cs="宋体"/>
          <w:kern w:val="0"/>
          <w:sz w:val="32"/>
          <w14:ligatures w14:val="none"/>
        </w:rPr>
        <w:t>2</w:t>
      </w: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平方千米。</w:t>
      </w:r>
    </w:p>
    <w:p w14:paraId="327033E1">
      <w:pPr>
        <w:widowControl/>
        <w:adjustRightInd w:val="0"/>
        <w:snapToGrid w:val="0"/>
        <w:spacing w:after="0" w:line="600" w:lineRule="exact"/>
        <w:ind w:firstLine="640" w:firstLineChars="200"/>
        <w:jc w:val="both"/>
        <w:rPr>
          <w:rFonts w:hint="eastAsia" w:ascii="仿宋_GB2312" w:hAnsi="宋体" w:eastAsia="仿宋_GB2312" w:cs="宋体"/>
          <w:kern w:val="0"/>
          <w:sz w:val="32"/>
          <w14:ligatures w14:val="none"/>
        </w:rPr>
      </w:pP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规划层次包括泉林镇全域和城镇开发边界范围两个层次。</w:t>
      </w:r>
    </w:p>
    <w:p w14:paraId="0F5A99E0">
      <w:pPr>
        <w:pStyle w:val="4"/>
        <w:keepLines w:val="0"/>
        <w:widowControl/>
        <w:adjustRightInd w:val="0"/>
        <w:snapToGrid w:val="0"/>
        <w:spacing w:before="156" w:beforeLines="50" w:after="156" w:afterLines="50" w:line="600" w:lineRule="exact"/>
        <w:ind w:firstLine="643" w:firstLineChars="200"/>
        <w:jc w:val="both"/>
        <w:rPr>
          <w:rFonts w:hint="eastAsia" w:ascii="楷体_GB2312" w:hAnsi="楷体" w:eastAsia="楷体_GB2312" w:cs="宋体"/>
          <w:b/>
          <w:bCs/>
          <w:color w:val="auto"/>
          <w:kern w:val="0"/>
          <w14:ligatures w14:val="none"/>
        </w:rPr>
      </w:pPr>
      <w:r>
        <w:rPr>
          <w:rFonts w:hint="eastAsia" w:ascii="楷体_GB2312" w:hAnsi="楷体" w:eastAsia="楷体_GB2312" w:cs="宋体"/>
          <w:b/>
          <w:bCs/>
          <w:color w:val="auto"/>
          <w:kern w:val="0"/>
          <w14:ligatures w14:val="none"/>
        </w:rPr>
        <w:t>二、规划期限</w:t>
      </w:r>
    </w:p>
    <w:p w14:paraId="22A14CDC">
      <w:pPr>
        <w:widowControl/>
        <w:adjustRightInd w:val="0"/>
        <w:snapToGrid w:val="0"/>
        <w:spacing w:after="0" w:line="600" w:lineRule="exact"/>
        <w:ind w:firstLine="640" w:firstLineChars="200"/>
        <w:jc w:val="both"/>
        <w:rPr>
          <w:rFonts w:hint="eastAsia" w:ascii="仿宋_GB2312" w:hAnsi="宋体" w:eastAsia="仿宋_GB2312" w:cs="宋体"/>
          <w:kern w:val="0"/>
          <w:sz w:val="32"/>
          <w14:ligatures w14:val="none"/>
        </w:rPr>
      </w:pPr>
      <w:bookmarkStart w:id="6" w:name="_Toc87974418"/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规划期限为</w:t>
      </w:r>
      <w:r>
        <w:rPr>
          <w:rFonts w:ascii="仿宋_GB2312" w:hAnsi="宋体" w:eastAsia="仿宋_GB2312" w:cs="宋体"/>
          <w:kern w:val="0"/>
          <w:sz w:val="32"/>
          <w14:ligatures w14:val="none"/>
        </w:rPr>
        <w:t>2021年至2035年，基期年为2020年，近期至2025年，远景展望至2050年。</w:t>
      </w:r>
      <w:bookmarkEnd w:id="6"/>
    </w:p>
    <w:p w14:paraId="2FF77952">
      <w:pPr>
        <w:pStyle w:val="4"/>
        <w:keepLines w:val="0"/>
        <w:widowControl/>
        <w:adjustRightInd w:val="0"/>
        <w:snapToGrid w:val="0"/>
        <w:spacing w:before="156" w:beforeLines="50" w:after="156" w:afterLines="50" w:line="600" w:lineRule="exact"/>
        <w:ind w:firstLine="643" w:firstLineChars="200"/>
        <w:jc w:val="both"/>
        <w:rPr>
          <w:rFonts w:hint="eastAsia" w:ascii="楷体_GB2312" w:hAnsi="楷体" w:eastAsia="楷体_GB2312" w:cs="宋体"/>
          <w:b/>
          <w:bCs/>
          <w:color w:val="auto"/>
          <w:kern w:val="0"/>
          <w14:ligatures w14:val="none"/>
        </w:rPr>
      </w:pPr>
      <w:r>
        <w:rPr>
          <w:rFonts w:hint="eastAsia" w:ascii="楷体_GB2312" w:hAnsi="楷体" w:eastAsia="楷体_GB2312" w:cs="宋体"/>
          <w:b/>
          <w:bCs/>
          <w:color w:val="auto"/>
          <w:kern w:val="0"/>
          <w14:ligatures w14:val="none"/>
        </w:rPr>
        <w:t>三、规划目标</w:t>
      </w:r>
    </w:p>
    <w:p w14:paraId="488B1491">
      <w:pPr>
        <w:widowControl/>
        <w:adjustRightInd w:val="0"/>
        <w:snapToGrid w:val="0"/>
        <w:spacing w:after="0" w:line="600" w:lineRule="exact"/>
        <w:ind w:firstLine="640" w:firstLineChars="200"/>
        <w:jc w:val="both"/>
        <w:rPr>
          <w:rFonts w:hint="eastAsia" w:ascii="仿宋_GB2312" w:hAnsi="宋体" w:eastAsia="仿宋_GB2312" w:cs="宋体"/>
          <w:kern w:val="0"/>
          <w:sz w:val="32"/>
          <w14:ligatures w14:val="none"/>
        </w:rPr>
      </w:pP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以“生态、文态、业态、形态”的四态融合发展为总体目标，强化生态基底、塑造文化内涵、优化产业结构、重塑空间风貌。</w:t>
      </w:r>
    </w:p>
    <w:p w14:paraId="12391122">
      <w:pPr>
        <w:widowControl/>
        <w:adjustRightInd w:val="0"/>
        <w:snapToGrid w:val="0"/>
        <w:spacing w:after="0" w:line="600" w:lineRule="exact"/>
        <w:ind w:firstLine="640" w:firstLineChars="200"/>
        <w:jc w:val="both"/>
        <w:rPr>
          <w:rFonts w:hint="eastAsia" w:ascii="仿宋_GB2312" w:hAnsi="宋体" w:eastAsia="仿宋_GB2312" w:cs="宋体"/>
          <w:kern w:val="0"/>
          <w:sz w:val="32"/>
          <w14:ligatures w14:val="none"/>
        </w:rPr>
      </w:pP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到</w:t>
      </w:r>
      <w:r>
        <w:rPr>
          <w:rFonts w:ascii="仿宋_GB2312" w:hAnsi="宋体" w:eastAsia="仿宋_GB2312" w:cs="宋体"/>
          <w:kern w:val="0"/>
          <w:sz w:val="32"/>
          <w14:ligatures w14:val="none"/>
        </w:rPr>
        <w:t>2025年</w:t>
      </w: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，国土空间开发保护格局得到优化，“两山三水五分田”空间特色更加鲜明。镇区公共服务设施、基础设施不断完善，建设成服务能力不断增强的泗水县副中心和东部重要的经济增长极。</w:t>
      </w:r>
    </w:p>
    <w:p w14:paraId="1F99612D">
      <w:pPr>
        <w:widowControl/>
        <w:adjustRightInd w:val="0"/>
        <w:snapToGrid w:val="0"/>
        <w:spacing w:after="0" w:line="600" w:lineRule="exact"/>
        <w:ind w:firstLine="640" w:firstLineChars="200"/>
        <w:jc w:val="both"/>
        <w:rPr>
          <w:rFonts w:hint="eastAsia" w:ascii="仿宋_GB2312" w:hAnsi="宋体" w:eastAsia="仿宋_GB2312" w:cs="宋体"/>
          <w:kern w:val="0"/>
          <w:sz w:val="32"/>
          <w14:ligatures w14:val="none"/>
        </w:rPr>
      </w:pPr>
      <w:bookmarkStart w:id="7" w:name="_Hlk146447741"/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到</w:t>
      </w:r>
      <w:r>
        <w:rPr>
          <w:rFonts w:ascii="仿宋_GB2312" w:hAnsi="宋体" w:eastAsia="仿宋_GB2312" w:cs="宋体"/>
          <w:kern w:val="0"/>
          <w:sz w:val="32"/>
          <w14:ligatures w14:val="none"/>
        </w:rPr>
        <w:t>2035年</w:t>
      </w: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，建设完成活力新城、宜居社区，镇村体系基本形成；打造“卞国故里、泗源泉乡”的历史文化名镇品牌；成为山东省生态文旅发展的新典范。</w:t>
      </w:r>
      <w:bookmarkEnd w:id="7"/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镇区建设成为功能完善、文化彰显、民生幸福的综合性服务中心。</w:t>
      </w:r>
    </w:p>
    <w:p w14:paraId="6C443E41">
      <w:pPr>
        <w:widowControl/>
        <w:adjustRightInd w:val="0"/>
        <w:snapToGrid w:val="0"/>
        <w:spacing w:after="0" w:line="600" w:lineRule="exact"/>
        <w:ind w:firstLine="640" w:firstLineChars="200"/>
        <w:jc w:val="both"/>
        <w:rPr>
          <w:rFonts w:ascii="仿宋_GB2312" w:hAnsi="宋体" w:eastAsia="仿宋_GB2312" w:cs="宋体"/>
          <w:kern w:val="0"/>
          <w:sz w:val="32"/>
          <w14:ligatures w14:val="none"/>
        </w:rPr>
      </w:pP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到2</w:t>
      </w:r>
      <w:r>
        <w:rPr>
          <w:rFonts w:ascii="仿宋_GB2312" w:hAnsi="宋体" w:eastAsia="仿宋_GB2312" w:cs="宋体"/>
          <w:kern w:val="0"/>
          <w:sz w:val="32"/>
          <w14:ligatures w14:val="none"/>
        </w:rPr>
        <w:t>050年，</w:t>
      </w: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行政辖区范围内的国土空间全面实现生态空间山清水秀、生产空间集约高效、生活空间宜居。</w:t>
      </w:r>
    </w:p>
    <w:p w14:paraId="3E8FEC7C">
      <w:pPr>
        <w:pStyle w:val="4"/>
        <w:keepLines w:val="0"/>
        <w:widowControl/>
        <w:adjustRightInd w:val="0"/>
        <w:snapToGrid w:val="0"/>
        <w:spacing w:before="156" w:beforeLines="50" w:after="156" w:afterLines="50" w:line="600" w:lineRule="exact"/>
        <w:ind w:firstLine="643" w:firstLineChars="200"/>
        <w:jc w:val="both"/>
        <w:rPr>
          <w:rFonts w:hint="eastAsia" w:ascii="楷体_GB2312" w:hAnsi="楷体" w:eastAsia="楷体_GB2312" w:cs="宋体"/>
          <w:b/>
          <w:bCs/>
          <w:color w:val="auto"/>
          <w:kern w:val="0"/>
          <w14:ligatures w14:val="none"/>
        </w:rPr>
      </w:pPr>
      <w:r>
        <w:rPr>
          <w:rFonts w:hint="eastAsia" w:ascii="楷体_GB2312" w:hAnsi="楷体" w:eastAsia="楷体_GB2312" w:cs="宋体"/>
          <w:b/>
          <w:bCs/>
          <w:color w:val="auto"/>
          <w:kern w:val="0"/>
          <w14:ligatures w14:val="none"/>
        </w:rPr>
        <w:t>四、规划主要内容</w:t>
      </w:r>
    </w:p>
    <w:p w14:paraId="634C5819">
      <w:pPr>
        <w:widowControl/>
        <w:adjustRightInd w:val="0"/>
        <w:snapToGrid w:val="0"/>
        <w:spacing w:after="0" w:line="600" w:lineRule="exact"/>
        <w:ind w:firstLine="640" w:firstLineChars="200"/>
        <w:jc w:val="both"/>
        <w:rPr>
          <w:rFonts w:hint="eastAsia" w:ascii="仿宋_GB2312" w:hAnsi="宋体" w:eastAsia="仿宋_GB2312" w:cs="宋体"/>
          <w:kern w:val="0"/>
          <w:sz w:val="32"/>
          <w14:ligatures w14:val="none"/>
        </w:rPr>
      </w:pP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（一）明确发展方向。</w:t>
      </w:r>
      <w:bookmarkStart w:id="8" w:name="_Hlk133505437"/>
      <w:bookmarkStart w:id="9" w:name="_Hlk151712123"/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以城乡一体化和新型城镇化为导向，推进村庄空间布局优化，构建城乡融合发展的一体化格局，引导乡村功能转型。构建优质普惠的配套模式，有序推动各级设施共建共享和相互补充，统筹考虑人口因素，全面提升泉林镇设施配套的可及性和现代化水平。</w:t>
      </w:r>
      <w:bookmarkEnd w:id="8"/>
    </w:p>
    <w:p w14:paraId="67C748E0">
      <w:pPr>
        <w:widowControl/>
        <w:adjustRightInd w:val="0"/>
        <w:snapToGrid w:val="0"/>
        <w:spacing w:after="0" w:line="600" w:lineRule="exact"/>
        <w:ind w:firstLine="640" w:firstLineChars="200"/>
        <w:jc w:val="both"/>
        <w:rPr>
          <w:rFonts w:hint="eastAsia" w:ascii="仿宋_GB2312" w:hAnsi="宋体" w:eastAsia="仿宋_GB2312" w:cs="宋体"/>
          <w:kern w:val="0"/>
          <w:sz w:val="32"/>
          <w14:ligatures w14:val="none"/>
        </w:rPr>
      </w:pP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（二）统筹划定控制线。规划</w:t>
      </w:r>
      <w:bookmarkStart w:id="10" w:name="_Hlk149138588"/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到</w:t>
      </w:r>
      <w:r>
        <w:rPr>
          <w:rFonts w:ascii="仿宋_GB2312" w:hAnsi="宋体" w:eastAsia="仿宋_GB2312" w:cs="宋体"/>
          <w:kern w:val="0"/>
          <w:sz w:val="32"/>
          <w14:ligatures w14:val="none"/>
        </w:rPr>
        <w:t>2035年，</w:t>
      </w:r>
      <w:bookmarkEnd w:id="10"/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镇域</w:t>
      </w:r>
      <w:r>
        <w:rPr>
          <w:rFonts w:ascii="仿宋_GB2312" w:hAnsi="宋体" w:eastAsia="仿宋_GB2312" w:cs="宋体"/>
          <w:kern w:val="0"/>
          <w:sz w:val="32"/>
          <w14:ligatures w14:val="none"/>
        </w:rPr>
        <w:t>耕地保有量不低于</w:t>
      </w: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4.73万亩；永久基本农田保护面积不低于4.31</w:t>
      </w:r>
      <w:r>
        <w:rPr>
          <w:rFonts w:ascii="仿宋_GB2312" w:hAnsi="宋体" w:eastAsia="仿宋_GB2312" w:cs="宋体"/>
          <w:kern w:val="0"/>
          <w:sz w:val="32"/>
          <w14:ligatures w14:val="none"/>
        </w:rPr>
        <w:t>万亩</w:t>
      </w: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；镇域</w:t>
      </w:r>
      <w:r>
        <w:rPr>
          <w:rFonts w:ascii="仿宋_GB2312" w:hAnsi="宋体" w:eastAsia="仿宋_GB2312" w:cs="宋体"/>
          <w:kern w:val="0"/>
          <w:sz w:val="32"/>
          <w14:ligatures w14:val="none"/>
        </w:rPr>
        <w:t>生态保护红线面积不低于</w:t>
      </w: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983.33公顷；</w:t>
      </w:r>
      <w:r>
        <w:rPr>
          <w:rFonts w:ascii="仿宋_GB2312" w:hAnsi="宋体" w:eastAsia="仿宋_GB2312" w:cs="宋体"/>
          <w:kern w:val="0"/>
          <w:sz w:val="32"/>
          <w14:ligatures w14:val="none"/>
        </w:rPr>
        <w:t>城镇开发边界面积控制在</w:t>
      </w: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406.14公顷。</w:t>
      </w:r>
    </w:p>
    <w:p w14:paraId="2D46B3FF">
      <w:pPr>
        <w:widowControl/>
        <w:adjustRightInd w:val="0"/>
        <w:snapToGrid w:val="0"/>
        <w:spacing w:after="0" w:line="600" w:lineRule="exact"/>
        <w:ind w:firstLine="640" w:firstLineChars="200"/>
        <w:jc w:val="both"/>
        <w:rPr>
          <w:rFonts w:hint="eastAsia" w:ascii="仿宋_GB2312" w:hAnsi="宋体" w:eastAsia="仿宋_GB2312" w:cs="宋体"/>
          <w:kern w:val="0"/>
          <w:sz w:val="32"/>
          <w14:ligatures w14:val="none"/>
        </w:rPr>
      </w:pP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（三）构建国土空间总体格局。规划构建“一心、一轴、六区、多点”的国土空间开发保护总体格局。</w:t>
      </w:r>
    </w:p>
    <w:p w14:paraId="1B7D777E">
      <w:pPr>
        <w:widowControl/>
        <w:adjustRightInd w:val="0"/>
        <w:snapToGrid w:val="0"/>
        <w:spacing w:after="0" w:line="600" w:lineRule="exact"/>
        <w:ind w:firstLine="640" w:firstLineChars="200"/>
        <w:jc w:val="both"/>
        <w:rPr>
          <w:rFonts w:hint="eastAsia" w:ascii="仿宋_GB2312" w:hAnsi="宋体" w:eastAsia="仿宋_GB2312" w:cs="宋体"/>
          <w:kern w:val="0"/>
          <w:sz w:val="32"/>
          <w14:ligatures w14:val="none"/>
        </w:rPr>
      </w:pPr>
      <w:bookmarkStart w:id="11" w:name="_Hlk139551169"/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“一心”是以镇驻地为核心辐射发展的综合服务中心。“一轴”是沿原327国道串联多功能片区的镇域发展轴。发挥轴线带动作用，提升镇区的吸引力，促进沿线镇村集聚发展。“六区”分别为综合发展区、新型工业产业区、生态农旅区、历山石材产业区、智慧农业区、林果种植区。“多点”</w:t>
      </w:r>
      <w:bookmarkStart w:id="12" w:name="_Hlk150598662"/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为</w:t>
      </w:r>
      <w:bookmarkEnd w:id="12"/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多个农村新型社区生活节点以及青龙山、雷泽湖、卧牛山等生态旅游节点。</w:t>
      </w:r>
    </w:p>
    <w:p w14:paraId="4A3DB741">
      <w:pPr>
        <w:widowControl/>
        <w:adjustRightInd w:val="0"/>
        <w:snapToGrid w:val="0"/>
        <w:spacing w:after="0" w:line="600" w:lineRule="exact"/>
        <w:ind w:firstLine="640" w:firstLineChars="200"/>
        <w:jc w:val="both"/>
        <w:rPr>
          <w:rFonts w:hint="eastAsia" w:ascii="仿宋_GB2312" w:hAnsi="宋体" w:eastAsia="仿宋_GB2312" w:cs="宋体"/>
          <w:kern w:val="0"/>
          <w:sz w:val="32"/>
          <w14:ligatures w14:val="none"/>
        </w:rPr>
      </w:pP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（四）合理划分规划分区。统筹布局农业、生态、城镇功能空间，加强镇域全要素国土空间用途管制。在镇域层面划分生态保护区、生态控制区、农田保护区、城镇发展区、乡村发展区和矿产能源发展区等规划分区。</w:t>
      </w:r>
    </w:p>
    <w:p w14:paraId="40FB66BC">
      <w:pPr>
        <w:widowControl/>
        <w:adjustRightInd w:val="0"/>
        <w:snapToGrid w:val="0"/>
        <w:spacing w:after="0" w:line="600" w:lineRule="exact"/>
        <w:ind w:firstLine="640" w:firstLineChars="200"/>
        <w:jc w:val="both"/>
        <w:rPr>
          <w:rFonts w:hint="eastAsia" w:ascii="仿宋_GB2312" w:hAnsi="宋体" w:eastAsia="仿宋_GB2312" w:cs="宋体"/>
          <w:kern w:val="0"/>
          <w:sz w:val="32"/>
          <w14:ligatures w14:val="none"/>
        </w:rPr>
      </w:pP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（五）完善配置支撑体系。合理分流城镇客运和货运交通，完善城镇路网体系；结合绿地系统和滨水空间，建立慢行道路交通体系；加强镇区内停车设施建设。规划构建覆盖镇域的“镇区-中心社区-基层社区”的乡村</w:t>
      </w:r>
      <w:r>
        <w:rPr>
          <w:rFonts w:ascii="仿宋_GB2312" w:hAnsi="宋体" w:eastAsia="仿宋_GB2312" w:cs="宋体"/>
          <w:kern w:val="0"/>
          <w:sz w:val="32"/>
          <w14:ligatures w14:val="none"/>
        </w:rPr>
        <w:t>社区生活圈</w:t>
      </w:r>
      <w:r>
        <w:rPr>
          <w:rFonts w:hint="eastAsia" w:ascii="仿宋_GB2312" w:hAnsi="宋体" w:eastAsia="仿宋_GB2312" w:cs="宋体"/>
          <w:kern w:val="0"/>
          <w:sz w:val="32"/>
          <w14:ligatures w14:val="none"/>
        </w:rPr>
        <w:t>3级公共服务体系，分级优化镇域公共服务设施布局，搭建“功能完善、服务均等”的公共服务体系。</w:t>
      </w:r>
    </w:p>
    <w:p w14:paraId="56A2CCC5">
      <w:pPr>
        <w:widowControl/>
        <w:adjustRightInd w:val="0"/>
        <w:snapToGrid w:val="0"/>
        <w:spacing w:after="0" w:line="600" w:lineRule="exact"/>
        <w:ind w:firstLine="643" w:firstLineChars="200"/>
        <w:jc w:val="both"/>
        <w:rPr>
          <w:rFonts w:hint="eastAsia" w:ascii="楷体_GB2312" w:hAnsi="楷体" w:eastAsia="楷体_GB2312" w:cs="宋体"/>
          <w:b/>
          <w:bCs/>
          <w:color w:val="auto"/>
          <w:kern w:val="0"/>
          <w:sz w:val="32"/>
          <w:szCs w:val="36"/>
          <w14:ligatures w14:val="none"/>
        </w:rPr>
      </w:pPr>
    </w:p>
    <w:p w14:paraId="5E378E6A">
      <w:pPr>
        <w:widowControl/>
        <w:adjustRightInd w:val="0"/>
        <w:snapToGrid w:val="0"/>
        <w:spacing w:after="0" w:line="600" w:lineRule="exact"/>
        <w:ind w:firstLine="643" w:firstLineChars="200"/>
        <w:jc w:val="both"/>
        <w:rPr>
          <w:rFonts w:hint="eastAsia" w:ascii="楷体_GB2312" w:hAnsi="楷体" w:eastAsia="楷体_GB2312" w:cs="宋体"/>
          <w:b/>
          <w:bCs/>
          <w:color w:val="auto"/>
          <w:kern w:val="0"/>
          <w:sz w:val="32"/>
          <w:szCs w:val="36"/>
          <w14:ligatures w14:val="none"/>
        </w:rPr>
      </w:pPr>
      <w:r>
        <w:rPr>
          <w:rFonts w:hint="eastAsia" w:ascii="楷体_GB2312" w:hAnsi="楷体" w:eastAsia="楷体_GB2312" w:cs="宋体"/>
          <w:b/>
          <w:bCs/>
          <w:color w:val="auto"/>
          <w:kern w:val="0"/>
          <w:sz w:val="32"/>
          <w:szCs w:val="36"/>
          <w14:ligatures w14:val="none"/>
        </w:rPr>
        <w:t>附件</w:t>
      </w:r>
      <w:bookmarkEnd w:id="9"/>
      <w:bookmarkEnd w:id="11"/>
      <w:r>
        <w:rPr>
          <w:rFonts w:hint="eastAsia" w:ascii="楷体_GB2312" w:hAnsi="楷体" w:eastAsia="楷体_GB2312" w:cs="宋体"/>
          <w:b/>
          <w:bCs/>
          <w:color w:val="auto"/>
          <w:kern w:val="0"/>
          <w:sz w:val="32"/>
          <w:szCs w:val="36"/>
          <w:lang w:eastAsia="zh-CN"/>
          <w14:ligatures w14:val="none"/>
        </w:rPr>
        <w:t>：</w:t>
      </w:r>
      <w:r>
        <w:rPr>
          <w:rFonts w:hint="eastAsia" w:ascii="楷体_GB2312" w:hAnsi="楷体" w:eastAsia="楷体_GB2312" w:cs="宋体"/>
          <w:b/>
          <w:bCs/>
          <w:color w:val="auto"/>
          <w:kern w:val="0"/>
          <w:sz w:val="32"/>
          <w:szCs w:val="36"/>
          <w14:ligatures w14:val="none"/>
        </w:rPr>
        <w:t>《泗水县泉林镇国土空间规划（2021-2035年）》主要图纸</w:t>
      </w:r>
    </w:p>
    <w:p w14:paraId="7215C396">
      <w:pPr>
        <w:rPr>
          <w:rFonts w:hint="eastAsia"/>
        </w:rPr>
      </w:pPr>
      <w:r>
        <w:drawing>
          <wp:inline distT="0" distB="0" distL="0" distR="0">
            <wp:extent cx="5274945" cy="7467600"/>
            <wp:effectExtent l="0" t="0" r="1905" b="0"/>
            <wp:docPr id="2438689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868959" name="图片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945" cy="7467600"/>
            <wp:effectExtent l="0" t="0" r="1905" b="0"/>
            <wp:docPr id="166850383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503839" name="图片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5274310" cy="7466330"/>
            <wp:effectExtent l="0" t="0" r="2540" b="1270"/>
            <wp:docPr id="29716120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161202" name="图片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11152">
      <w:pPr>
        <w:rPr>
          <w:rFonts w:hint="eastAsia"/>
        </w:rPr>
      </w:pPr>
      <w:r>
        <w:drawing>
          <wp:inline distT="0" distB="0" distL="0" distR="0">
            <wp:extent cx="5274945" cy="7467600"/>
            <wp:effectExtent l="0" t="0" r="1905" b="0"/>
            <wp:docPr id="38234326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343266" name="图片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7706A">
      <w:pPr>
        <w:rPr>
          <w:rFonts w:hint="eastAsia"/>
        </w:rPr>
      </w:pPr>
      <w:r>
        <w:drawing>
          <wp:inline distT="0" distB="0" distL="0" distR="0">
            <wp:extent cx="5274945" cy="7467600"/>
            <wp:effectExtent l="0" t="0" r="1905" b="0"/>
            <wp:docPr id="131212624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126241" name="图片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E758C">
      <w:pPr>
        <w:rPr>
          <w:rFonts w:hint="eastAsia"/>
        </w:rPr>
      </w:pPr>
      <w:r>
        <w:drawing>
          <wp:inline distT="0" distB="0" distL="0" distR="0">
            <wp:extent cx="5274945" cy="7467600"/>
            <wp:effectExtent l="0" t="0" r="1905" b="0"/>
            <wp:docPr id="13362711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71121" name="图片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8" w:lineRule="auto"/>
      </w:pPr>
      <w:r>
        <w:separator/>
      </w:r>
    </w:p>
  </w:footnote>
  <w:footnote w:type="continuationSeparator" w:id="1">
    <w:p>
      <w:pPr>
        <w:spacing w:before="0" w:after="0" w:line="278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2796"/>
    <w:rsid w:val="000B0971"/>
    <w:rsid w:val="002A452D"/>
    <w:rsid w:val="002D09EE"/>
    <w:rsid w:val="004C150D"/>
    <w:rsid w:val="004D6014"/>
    <w:rsid w:val="00506062"/>
    <w:rsid w:val="005877DD"/>
    <w:rsid w:val="0058785A"/>
    <w:rsid w:val="005D7C4F"/>
    <w:rsid w:val="005F2796"/>
    <w:rsid w:val="0071570E"/>
    <w:rsid w:val="0085387A"/>
    <w:rsid w:val="009729B1"/>
    <w:rsid w:val="00991AAD"/>
    <w:rsid w:val="00BF6492"/>
    <w:rsid w:val="00C263B1"/>
    <w:rsid w:val="00E239B0"/>
    <w:rsid w:val="00E3214A"/>
    <w:rsid w:val="2C9250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0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after="160" w:line="278" w:lineRule="auto"/>
    </w:pPr>
    <w:rPr>
      <w:rFonts w:asciiTheme="minorHAnsi" w:hAnsiTheme="minorHAnsi" w:eastAsiaTheme="minorEastAsia" w:cstheme="minorBidi"/>
      <w:kern w:val="2"/>
      <w:sz w:val="22"/>
      <w:szCs w:val="24"/>
      <w:lang w:val="en-US" w:eastAsia="zh-CN" w:bidi="ar-SA"/>
      <w14:ligatures w14:val="standardContextual"/>
    </w:rPr>
  </w:style>
  <w:style w:type="paragraph" w:styleId="2">
    <w:name w:val="heading 1"/>
    <w:basedOn w:val="1"/>
    <w:next w:val="1"/>
    <w:link w:val="17"/>
    <w:qFormat/>
    <w:uiPriority w:val="9"/>
    <w:pPr>
      <w:keepNext/>
      <w:keepLines/>
      <w:spacing w:before="480" w:after="80"/>
      <w:outlineLvl w:val="0"/>
    </w:pPr>
    <w:rPr>
      <w:rFonts w:asciiTheme="majorHAnsi" w:hAnsiTheme="majorHAnsi" w:eastAsiaTheme="majorEastAsia" w:cstheme="majorBidi"/>
      <w:color w:val="2F5597" w:themeColor="accent1" w:themeShade="BF"/>
      <w:sz w:val="48"/>
      <w:szCs w:val="48"/>
    </w:rPr>
  </w:style>
  <w:style w:type="paragraph" w:styleId="3">
    <w:name w:val="heading 2"/>
    <w:basedOn w:val="1"/>
    <w:next w:val="1"/>
    <w:link w:val="18"/>
    <w:semiHidden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2F5597" w:themeColor="accent1" w:themeShade="BF"/>
      <w:sz w:val="40"/>
      <w:szCs w:val="40"/>
    </w:rPr>
  </w:style>
  <w:style w:type="paragraph" w:styleId="4">
    <w:name w:val="heading 3"/>
    <w:basedOn w:val="1"/>
    <w:next w:val="1"/>
    <w:link w:val="19"/>
    <w:unhideWhenUsed/>
    <w:qFormat/>
    <w:uiPriority w:val="0"/>
    <w:pPr>
      <w:keepNext/>
      <w:keepLines/>
      <w:spacing w:before="160" w:after="80"/>
      <w:outlineLvl w:val="2"/>
    </w:pPr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styleId="5">
    <w:name w:val="heading 4"/>
    <w:basedOn w:val="1"/>
    <w:next w:val="1"/>
    <w:link w:val="20"/>
    <w:semiHidden/>
    <w:unhideWhenUsed/>
    <w:qFormat/>
    <w:uiPriority w:val="9"/>
    <w:pPr>
      <w:keepNext/>
      <w:keepLines/>
      <w:spacing w:before="80" w:after="40"/>
      <w:outlineLvl w:val="3"/>
    </w:pPr>
    <w:rPr>
      <w:rFonts w:cstheme="majorBidi"/>
      <w:color w:val="2F5597" w:themeColor="accent1" w:themeShade="BF"/>
      <w:sz w:val="28"/>
      <w:szCs w:val="28"/>
    </w:rPr>
  </w:style>
  <w:style w:type="paragraph" w:styleId="6">
    <w:name w:val="heading 5"/>
    <w:basedOn w:val="1"/>
    <w:next w:val="1"/>
    <w:link w:val="21"/>
    <w:semiHidden/>
    <w:unhideWhenUsed/>
    <w:qFormat/>
    <w:uiPriority w:val="9"/>
    <w:pPr>
      <w:keepNext/>
      <w:keepLines/>
      <w:spacing w:before="80" w:after="40"/>
      <w:outlineLvl w:val="4"/>
    </w:pPr>
    <w:rPr>
      <w:rFonts w:cstheme="majorBidi"/>
      <w:color w:val="2F5597" w:themeColor="accent1" w:themeShade="BF"/>
      <w:sz w:val="24"/>
    </w:rPr>
  </w:style>
  <w:style w:type="paragraph" w:styleId="7">
    <w:name w:val="heading 6"/>
    <w:basedOn w:val="1"/>
    <w:next w:val="1"/>
    <w:link w:val="22"/>
    <w:semiHidden/>
    <w:unhideWhenUsed/>
    <w:qFormat/>
    <w:uiPriority w:val="9"/>
    <w:pPr>
      <w:keepNext/>
      <w:keepLines/>
      <w:spacing w:before="40" w:after="0"/>
      <w:outlineLvl w:val="5"/>
    </w:pPr>
    <w:rPr>
      <w:rFonts w:cstheme="majorBidi"/>
      <w:b/>
      <w:bCs/>
      <w:color w:val="2F5597" w:themeColor="accent1" w:themeShade="BF"/>
    </w:rPr>
  </w:style>
  <w:style w:type="paragraph" w:styleId="8">
    <w:name w:val="heading 7"/>
    <w:basedOn w:val="1"/>
    <w:next w:val="1"/>
    <w:link w:val="23"/>
    <w:semiHidden/>
    <w:unhideWhenUsed/>
    <w:qFormat/>
    <w:uiPriority w:val="9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24"/>
    <w:semiHidden/>
    <w:unhideWhenUsed/>
    <w:qFormat/>
    <w:uiPriority w:val="9"/>
    <w:pPr>
      <w:keepNext/>
      <w:keepLines/>
      <w:spacing w:after="0"/>
      <w:outlineLvl w:val="7"/>
    </w:pPr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0">
    <w:name w:val="heading 9"/>
    <w:basedOn w:val="1"/>
    <w:next w:val="1"/>
    <w:link w:val="25"/>
    <w:semiHidden/>
    <w:unhideWhenUsed/>
    <w:qFormat/>
    <w:uiPriority w:val="9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default="1" w:styleId="16">
    <w:name w:val="Default Paragraph Font"/>
    <w:semiHidden/>
    <w:unhideWhenUsed/>
    <w:qFormat/>
    <w:uiPriority w:val="1"/>
  </w:style>
  <w:style w:type="table" w:default="1" w:styleId="1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footer"/>
    <w:basedOn w:val="1"/>
    <w:link w:val="36"/>
    <w:unhideWhenUsed/>
    <w:uiPriority w:val="99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paragraph" w:styleId="12">
    <w:name w:val="header"/>
    <w:basedOn w:val="1"/>
    <w:link w:val="35"/>
    <w:unhideWhenUsed/>
    <w:uiPriority w:val="99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13">
    <w:name w:val="Subtitle"/>
    <w:basedOn w:val="1"/>
    <w:next w:val="1"/>
    <w:link w:val="27"/>
    <w:qFormat/>
    <w:uiPriority w:val="11"/>
    <w:pPr>
      <w:jc w:val="center"/>
    </w:pPr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4">
    <w:name w:val="Title"/>
    <w:basedOn w:val="1"/>
    <w:next w:val="1"/>
    <w:link w:val="26"/>
    <w:qFormat/>
    <w:uiPriority w:val="10"/>
    <w:pPr>
      <w:spacing w:after="80" w:line="240" w:lineRule="auto"/>
      <w:contextualSpacing/>
      <w:jc w:val="center"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17">
    <w:name w:val="标题 1 字符"/>
    <w:basedOn w:val="16"/>
    <w:link w:val="2"/>
    <w:qFormat/>
    <w:uiPriority w:val="9"/>
    <w:rPr>
      <w:rFonts w:asciiTheme="majorHAnsi" w:hAnsiTheme="majorHAnsi" w:eastAsiaTheme="majorEastAsia" w:cstheme="majorBidi"/>
      <w:color w:val="2F5597" w:themeColor="accent1" w:themeShade="BF"/>
      <w:sz w:val="48"/>
      <w:szCs w:val="48"/>
    </w:rPr>
  </w:style>
  <w:style w:type="character" w:customStyle="1" w:styleId="18">
    <w:name w:val="标题 2 字符"/>
    <w:basedOn w:val="16"/>
    <w:link w:val="3"/>
    <w:semiHidden/>
    <w:qFormat/>
    <w:uiPriority w:val="9"/>
    <w:rPr>
      <w:rFonts w:asciiTheme="majorHAnsi" w:hAnsiTheme="majorHAnsi" w:eastAsiaTheme="majorEastAsia" w:cstheme="majorBidi"/>
      <w:color w:val="2F5597" w:themeColor="accent1" w:themeShade="BF"/>
      <w:sz w:val="40"/>
      <w:szCs w:val="40"/>
    </w:rPr>
  </w:style>
  <w:style w:type="character" w:customStyle="1" w:styleId="19">
    <w:name w:val="标题 3 字符"/>
    <w:basedOn w:val="16"/>
    <w:link w:val="4"/>
    <w:qFormat/>
    <w:uiPriority w:val="0"/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character" w:customStyle="1" w:styleId="20">
    <w:name w:val="标题 4 字符"/>
    <w:basedOn w:val="16"/>
    <w:link w:val="5"/>
    <w:semiHidden/>
    <w:qFormat/>
    <w:uiPriority w:val="9"/>
    <w:rPr>
      <w:rFonts w:cstheme="majorBidi"/>
      <w:color w:val="2F5597" w:themeColor="accent1" w:themeShade="BF"/>
      <w:sz w:val="28"/>
      <w:szCs w:val="28"/>
    </w:rPr>
  </w:style>
  <w:style w:type="character" w:customStyle="1" w:styleId="21">
    <w:name w:val="标题 5 字符"/>
    <w:basedOn w:val="16"/>
    <w:link w:val="6"/>
    <w:semiHidden/>
    <w:qFormat/>
    <w:uiPriority w:val="9"/>
    <w:rPr>
      <w:rFonts w:cstheme="majorBidi"/>
      <w:color w:val="2F5597" w:themeColor="accent1" w:themeShade="BF"/>
      <w:sz w:val="24"/>
    </w:rPr>
  </w:style>
  <w:style w:type="character" w:customStyle="1" w:styleId="22">
    <w:name w:val="标题 6 字符"/>
    <w:basedOn w:val="16"/>
    <w:link w:val="7"/>
    <w:semiHidden/>
    <w:qFormat/>
    <w:uiPriority w:val="9"/>
    <w:rPr>
      <w:rFonts w:cstheme="majorBidi"/>
      <w:b/>
      <w:bCs/>
      <w:color w:val="2F5597" w:themeColor="accent1" w:themeShade="BF"/>
    </w:rPr>
  </w:style>
  <w:style w:type="character" w:customStyle="1" w:styleId="23">
    <w:name w:val="标题 7 字符"/>
    <w:basedOn w:val="16"/>
    <w:link w:val="8"/>
    <w:semiHidden/>
    <w:qFormat/>
    <w:uiPriority w:val="9"/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4">
    <w:name w:val="标题 8 字符"/>
    <w:basedOn w:val="16"/>
    <w:link w:val="9"/>
    <w:semiHidden/>
    <w:qFormat/>
    <w:uiPriority w:val="9"/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5">
    <w:name w:val="标题 9 字符"/>
    <w:basedOn w:val="16"/>
    <w:link w:val="10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6">
    <w:name w:val="标题 字符"/>
    <w:basedOn w:val="16"/>
    <w:link w:val="14"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27">
    <w:name w:val="副标题 字符"/>
    <w:basedOn w:val="16"/>
    <w:link w:val="13"/>
    <w:qFormat/>
    <w:uiPriority w:val="11"/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28">
    <w:name w:val="Quote"/>
    <w:basedOn w:val="1"/>
    <w:next w:val="1"/>
    <w:link w:val="29"/>
    <w:qFormat/>
    <w:uiPriority w:val="29"/>
    <w:pPr>
      <w:spacing w:before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29">
    <w:name w:val="引用 字符"/>
    <w:basedOn w:val="16"/>
    <w:link w:val="28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30">
    <w:name w:val="List Paragraph"/>
    <w:basedOn w:val="1"/>
    <w:qFormat/>
    <w:uiPriority w:val="34"/>
    <w:pPr>
      <w:ind w:left="720"/>
      <w:contextualSpacing/>
    </w:pPr>
  </w:style>
  <w:style w:type="character" w:customStyle="1" w:styleId="31">
    <w:name w:val="Intense Emphasis"/>
    <w:basedOn w:val="16"/>
    <w:qFormat/>
    <w:uiPriority w:val="21"/>
    <w:rPr>
      <w:i/>
      <w:iCs/>
      <w:color w:val="2F5597" w:themeColor="accent1" w:themeShade="BF"/>
    </w:rPr>
  </w:style>
  <w:style w:type="paragraph" w:styleId="32">
    <w:name w:val="Intense Quote"/>
    <w:basedOn w:val="1"/>
    <w:next w:val="1"/>
    <w:link w:val="33"/>
    <w:qFormat/>
    <w:uiPriority w:val="30"/>
    <w:pPr>
      <w:pBdr>
        <w:top w:val="single" w:color="2F5496" w:themeColor="accent1" w:themeShade="BF" w:sz="4" w:space="10"/>
        <w:bottom w:val="single" w:color="2F5496" w:themeColor="accent1" w:themeShade="BF" w:sz="4" w:space="10"/>
      </w:pBdr>
      <w:spacing w:before="360" w:after="360"/>
      <w:ind w:left="864" w:right="864"/>
      <w:jc w:val="center"/>
    </w:pPr>
    <w:rPr>
      <w:i/>
      <w:iCs/>
      <w:color w:val="2F5597" w:themeColor="accent1" w:themeShade="BF"/>
    </w:rPr>
  </w:style>
  <w:style w:type="character" w:customStyle="1" w:styleId="33">
    <w:name w:val="明显引用 字符"/>
    <w:basedOn w:val="16"/>
    <w:link w:val="32"/>
    <w:uiPriority w:val="30"/>
    <w:rPr>
      <w:i/>
      <w:iCs/>
      <w:color w:val="2F5597" w:themeColor="accent1" w:themeShade="BF"/>
    </w:rPr>
  </w:style>
  <w:style w:type="character" w:customStyle="1" w:styleId="34">
    <w:name w:val="Intense Reference"/>
    <w:basedOn w:val="16"/>
    <w:qFormat/>
    <w:uiPriority w:val="32"/>
    <w:rPr>
      <w:b/>
      <w:bCs/>
      <w:smallCaps/>
      <w:color w:val="2F5597" w:themeColor="accent1" w:themeShade="BF"/>
      <w:spacing w:val="5"/>
    </w:rPr>
  </w:style>
  <w:style w:type="character" w:customStyle="1" w:styleId="35">
    <w:name w:val="页眉 字符"/>
    <w:basedOn w:val="16"/>
    <w:link w:val="12"/>
    <w:uiPriority w:val="99"/>
    <w:rPr>
      <w:sz w:val="18"/>
      <w:szCs w:val="18"/>
    </w:rPr>
  </w:style>
  <w:style w:type="character" w:customStyle="1" w:styleId="36">
    <w:name w:val="页脚 字符"/>
    <w:basedOn w:val="16"/>
    <w:link w:val="11"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1209</Words>
  <Characters>1303</Characters>
  <Lines>54</Lines>
  <Paragraphs>21</Paragraphs>
  <TotalTime>4</TotalTime>
  <ScaleCrop>false</ScaleCrop>
  <LinksUpToDate>false</LinksUpToDate>
  <CharactersWithSpaces>1303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2025-04-24T06:53:00Z</dcterms:created>
  <dc:creator>LHH</dc:creator>
  <cp:lastModifiedBy>胖橘子</cp:lastModifiedBy>
  <dcterms:modified xsi:type="dcterms:W3CDTF">2025-05-09T07:13:38Z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eyJoZGlkIjoiYmNjYTAyMmZlMTM0MzZhN2MzNDhkODJmZjlmNDQ1OWMiLCJ1c2VySWQiOiIzNDQ5Njg2MzcifQ==</vt:lpwstr>
  </property>
  <property fmtid="{D5CDD505-2E9C-101B-9397-08002B2CF9AE}" pid="3" name="KSOProductBuildVer">
    <vt:lpwstr>2052-12.1.0.20784</vt:lpwstr>
  </property>
  <property fmtid="{D5CDD505-2E9C-101B-9397-08002B2CF9AE}" pid="4" name="ICV">
    <vt:lpwstr>4DCB0581204D4A57862E61FC5155F3E7_13</vt:lpwstr>
  </property>
</Properties>
</file>