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color w:val="auto"/>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color w:val="auto"/>
          <w:lang w:val="en-US" w:eastAsia="zh-CN"/>
        </w:rPr>
      </w:pPr>
      <w:r>
        <w:rPr>
          <w:rFonts w:hint="eastAsia" w:ascii="方正小标宋简体" w:hAnsi="方正小标宋简体" w:eastAsia="方正小标宋简体" w:cs="方正小标宋简体"/>
          <w:color w:val="auto"/>
          <w:lang w:val="en-US" w:eastAsia="zh-CN"/>
        </w:rPr>
        <w:t>泗水县人民政府</w:t>
      </w:r>
    </w:p>
    <w:p>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color w:val="auto"/>
          <w:sz w:val="32"/>
          <w:szCs w:val="32"/>
        </w:rPr>
      </w:pPr>
      <w:r>
        <w:rPr>
          <w:rFonts w:hint="default" w:ascii="Times New Roman" w:hAnsi="Times New Roman" w:eastAsia="方正小标宋简体" w:cs="Times New Roman"/>
          <w:color w:val="auto"/>
        </w:rPr>
        <w:t>202</w:t>
      </w:r>
      <w:r>
        <w:rPr>
          <w:rFonts w:hint="eastAsia" w:eastAsia="方正小标宋简体" w:cs="Times New Roman"/>
          <w:color w:val="auto"/>
          <w:lang w:val="en-US" w:eastAsia="zh-CN"/>
        </w:rPr>
        <w:t>5</w:t>
      </w:r>
      <w:r>
        <w:rPr>
          <w:rFonts w:hint="eastAsia" w:ascii="方正小标宋简体" w:hAnsi="方正小标宋简体" w:eastAsia="方正小标宋简体" w:cs="方正小标宋简体"/>
          <w:color w:val="auto"/>
        </w:rPr>
        <w:t>年政府信息公开工作年度报告</w:t>
      </w:r>
    </w:p>
    <w:p>
      <w:pPr>
        <w:spacing w:line="590" w:lineRule="exact"/>
        <w:ind w:right="-105" w:rightChars="-50" w:firstLine="643" w:firstLineChars="200"/>
        <w:rPr>
          <w:rFonts w:hint="eastAsia" w:ascii="方正仿宋简体" w:hAnsi="方正仿宋简体" w:eastAsia="方正仿宋简体" w:cs="方正仿宋简体"/>
          <w:b/>
          <w:color w:val="auto"/>
          <w:sz w:val="32"/>
          <w:szCs w:val="32"/>
        </w:rPr>
      </w:pPr>
    </w:p>
    <w:p>
      <w:pPr>
        <w:spacing w:line="590" w:lineRule="exact"/>
        <w:ind w:right="-105" w:rightChars="-50" w:firstLine="643" w:firstLineChars="200"/>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本报告由</w:t>
      </w:r>
      <w:r>
        <w:rPr>
          <w:rFonts w:hint="eastAsia" w:ascii="方正仿宋简体" w:hAnsi="方正仿宋简体" w:eastAsia="方正仿宋简体" w:cs="方正仿宋简体"/>
          <w:b/>
          <w:color w:val="auto"/>
          <w:sz w:val="32"/>
          <w:szCs w:val="32"/>
          <w:lang w:val="en-US" w:eastAsia="zh-CN"/>
        </w:rPr>
        <w:t>山东省济宁市泗水县人民政府</w:t>
      </w:r>
      <w:r>
        <w:rPr>
          <w:rFonts w:hint="eastAsia" w:ascii="方正仿宋简体" w:hAnsi="方正仿宋简体" w:eastAsia="方正仿宋简体" w:cs="方正仿宋简体"/>
          <w:b/>
          <w:color w:val="auto"/>
          <w:sz w:val="32"/>
          <w:szCs w:val="32"/>
        </w:rPr>
        <w:t>按照《中华人民共和国政府信息公开条例》（以下简称《条例》）和《中华人民共和国政府信息公开工作年度报告格式》（国办公开办函〔</w:t>
      </w:r>
      <w:r>
        <w:rPr>
          <w:rFonts w:hint="default" w:ascii="Times New Roman" w:hAnsi="Times New Roman" w:eastAsia="方正仿宋简体" w:cs="Times New Roman"/>
          <w:b/>
          <w:color w:val="auto"/>
          <w:sz w:val="32"/>
          <w:szCs w:val="32"/>
        </w:rPr>
        <w:t>2021</w:t>
      </w:r>
      <w:r>
        <w:rPr>
          <w:rFonts w:hint="eastAsia" w:ascii="方正仿宋简体" w:hAnsi="方正仿宋简体" w:eastAsia="方正仿宋简体" w:cs="方正仿宋简体"/>
          <w:b/>
          <w:color w:val="auto"/>
          <w:sz w:val="32"/>
          <w:szCs w:val="32"/>
        </w:rPr>
        <w:t>〕</w:t>
      </w:r>
      <w:r>
        <w:rPr>
          <w:rFonts w:hint="default" w:ascii="Times New Roman" w:hAnsi="Times New Roman" w:eastAsia="方正仿宋简体" w:cs="Times New Roman"/>
          <w:b/>
          <w:color w:val="auto"/>
          <w:sz w:val="32"/>
          <w:szCs w:val="32"/>
        </w:rPr>
        <w:t>30</w:t>
      </w:r>
      <w:r>
        <w:rPr>
          <w:rFonts w:hint="eastAsia" w:ascii="方正仿宋简体" w:hAnsi="方正仿宋简体" w:eastAsia="方正仿宋简体" w:cs="方正仿宋简体"/>
          <w:b/>
          <w:color w:val="auto"/>
          <w:sz w:val="32"/>
          <w:szCs w:val="32"/>
        </w:rPr>
        <w:t>号）要求编制。</w:t>
      </w:r>
    </w:p>
    <w:p>
      <w:pPr>
        <w:spacing w:line="590" w:lineRule="exact"/>
        <w:ind w:right="-105" w:rightChars="-50" w:firstLine="643" w:firstLineChars="200"/>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本报告所列数据的统计期限自</w:t>
      </w:r>
      <w:r>
        <w:rPr>
          <w:rFonts w:hint="default" w:ascii="Times New Roman" w:hAnsi="Times New Roman" w:eastAsia="方正仿宋简体" w:cs="Times New Roman"/>
          <w:b/>
          <w:color w:val="auto"/>
          <w:sz w:val="32"/>
          <w:szCs w:val="32"/>
        </w:rPr>
        <w:t>202</w:t>
      </w:r>
      <w:r>
        <w:rPr>
          <w:rFonts w:hint="eastAsia" w:eastAsia="方正仿宋简体" w:cs="Times New Roman"/>
          <w:b/>
          <w:color w:val="auto"/>
          <w:sz w:val="32"/>
          <w:szCs w:val="32"/>
          <w:lang w:val="en-US" w:eastAsia="zh-CN"/>
        </w:rPr>
        <w:t>5</w:t>
      </w:r>
      <w:r>
        <w:rPr>
          <w:rFonts w:hint="eastAsia" w:ascii="方正仿宋简体" w:hAnsi="方正仿宋简体" w:eastAsia="方正仿宋简体" w:cs="方正仿宋简体"/>
          <w:b/>
          <w:color w:val="auto"/>
          <w:sz w:val="32"/>
          <w:szCs w:val="32"/>
        </w:rPr>
        <w:t>年</w:t>
      </w:r>
      <w:r>
        <w:rPr>
          <w:rFonts w:hint="default" w:ascii="Times New Roman" w:hAnsi="Times New Roman" w:eastAsia="方正仿宋简体" w:cs="Times New Roman"/>
          <w:b/>
          <w:color w:val="auto"/>
          <w:sz w:val="32"/>
          <w:szCs w:val="32"/>
        </w:rPr>
        <w:t>1</w:t>
      </w:r>
      <w:r>
        <w:rPr>
          <w:rFonts w:hint="eastAsia" w:ascii="方正仿宋简体" w:hAnsi="方正仿宋简体" w:eastAsia="方正仿宋简体" w:cs="方正仿宋简体"/>
          <w:b/>
          <w:color w:val="auto"/>
          <w:sz w:val="32"/>
          <w:szCs w:val="32"/>
        </w:rPr>
        <w:t>月</w:t>
      </w:r>
      <w:r>
        <w:rPr>
          <w:rFonts w:hint="default" w:ascii="Times New Roman" w:hAnsi="Times New Roman" w:eastAsia="方正仿宋简体" w:cs="Times New Roman"/>
          <w:b/>
          <w:color w:val="auto"/>
          <w:sz w:val="32"/>
          <w:szCs w:val="32"/>
        </w:rPr>
        <w:t>1</w:t>
      </w:r>
      <w:r>
        <w:rPr>
          <w:rFonts w:hint="eastAsia" w:ascii="方正仿宋简体" w:hAnsi="方正仿宋简体" w:eastAsia="方正仿宋简体" w:cs="方正仿宋简体"/>
          <w:b/>
          <w:color w:val="auto"/>
          <w:sz w:val="32"/>
          <w:szCs w:val="32"/>
        </w:rPr>
        <w:t>日起至</w:t>
      </w:r>
      <w:r>
        <w:rPr>
          <w:rFonts w:hint="default" w:ascii="Times New Roman" w:hAnsi="Times New Roman" w:eastAsia="方正仿宋简体" w:cs="Times New Roman"/>
          <w:b/>
          <w:color w:val="auto"/>
          <w:sz w:val="32"/>
          <w:szCs w:val="32"/>
        </w:rPr>
        <w:t>202</w:t>
      </w:r>
      <w:r>
        <w:rPr>
          <w:rFonts w:hint="eastAsia" w:eastAsia="方正仿宋简体" w:cs="Times New Roman"/>
          <w:b/>
          <w:color w:val="auto"/>
          <w:sz w:val="32"/>
          <w:szCs w:val="32"/>
          <w:lang w:val="en-US" w:eastAsia="zh-CN"/>
        </w:rPr>
        <w:t>5</w:t>
      </w:r>
      <w:r>
        <w:rPr>
          <w:rFonts w:hint="eastAsia" w:ascii="方正仿宋简体" w:hAnsi="方正仿宋简体" w:eastAsia="方正仿宋简体" w:cs="方正仿宋简体"/>
          <w:b/>
          <w:color w:val="auto"/>
          <w:sz w:val="32"/>
          <w:szCs w:val="32"/>
        </w:rPr>
        <w:t>年</w:t>
      </w:r>
      <w:r>
        <w:rPr>
          <w:rFonts w:hint="default" w:ascii="Times New Roman" w:hAnsi="Times New Roman" w:eastAsia="方正仿宋简体" w:cs="Times New Roman"/>
          <w:b/>
          <w:color w:val="auto"/>
          <w:sz w:val="32"/>
          <w:szCs w:val="32"/>
        </w:rPr>
        <w:t>12</w:t>
      </w:r>
      <w:r>
        <w:rPr>
          <w:rFonts w:hint="eastAsia" w:ascii="方正仿宋简体" w:hAnsi="方正仿宋简体" w:eastAsia="方正仿宋简体" w:cs="方正仿宋简体"/>
          <w:b/>
          <w:color w:val="auto"/>
          <w:sz w:val="32"/>
          <w:szCs w:val="32"/>
        </w:rPr>
        <w:t>月</w:t>
      </w:r>
      <w:r>
        <w:rPr>
          <w:rFonts w:hint="default" w:ascii="Times New Roman" w:hAnsi="Times New Roman" w:eastAsia="方正仿宋简体" w:cs="Times New Roman"/>
          <w:b/>
          <w:color w:val="auto"/>
          <w:sz w:val="32"/>
          <w:szCs w:val="32"/>
        </w:rPr>
        <w:t>31</w:t>
      </w:r>
      <w:r>
        <w:rPr>
          <w:rFonts w:hint="eastAsia" w:ascii="方正仿宋简体" w:hAnsi="方正仿宋简体" w:eastAsia="方正仿宋简体" w:cs="方正仿宋简体"/>
          <w:b/>
          <w:color w:val="auto"/>
          <w:sz w:val="32"/>
          <w:szCs w:val="32"/>
        </w:rPr>
        <w:t>日止。本报告电子版可在“中国·</w:t>
      </w:r>
      <w:r>
        <w:rPr>
          <w:rFonts w:hint="eastAsia" w:ascii="方正仿宋简体" w:hAnsi="方正仿宋简体" w:eastAsia="方正仿宋简体" w:cs="方正仿宋简体"/>
          <w:b/>
          <w:color w:val="auto"/>
          <w:sz w:val="32"/>
          <w:szCs w:val="32"/>
          <w:lang w:val="en-US" w:eastAsia="zh-CN"/>
        </w:rPr>
        <w:t>泗水</w:t>
      </w:r>
      <w:r>
        <w:rPr>
          <w:rFonts w:hint="eastAsia" w:ascii="方正仿宋简体" w:hAnsi="方正仿宋简体" w:eastAsia="方正仿宋简体" w:cs="方正仿宋简体"/>
          <w:b/>
          <w:color w:val="auto"/>
          <w:sz w:val="32"/>
          <w:szCs w:val="32"/>
        </w:rPr>
        <w:t>”政府门户网站（</w:t>
      </w:r>
      <w:r>
        <w:rPr>
          <w:rFonts w:hint="default" w:ascii="Times New Roman" w:hAnsi="Times New Roman" w:eastAsia="方正仿宋简体" w:cs="Times New Roman"/>
          <w:b/>
          <w:color w:val="auto"/>
          <w:sz w:val="32"/>
          <w:szCs w:val="32"/>
        </w:rPr>
        <w:t>www.sishui.gov.cn</w:t>
      </w:r>
      <w:r>
        <w:rPr>
          <w:rFonts w:hint="eastAsia" w:ascii="方正仿宋简体" w:hAnsi="方正仿宋简体" w:eastAsia="方正仿宋简体" w:cs="方正仿宋简体"/>
          <w:b/>
          <w:color w:val="auto"/>
          <w:sz w:val="32"/>
          <w:szCs w:val="32"/>
        </w:rPr>
        <w:t>）查阅或下载。如对本报告有疑问，请与</w:t>
      </w:r>
      <w:r>
        <w:rPr>
          <w:rFonts w:hint="eastAsia" w:ascii="方正仿宋简体" w:hAnsi="方正仿宋简体" w:eastAsia="方正仿宋简体" w:cs="方正仿宋简体"/>
          <w:b/>
          <w:color w:val="auto"/>
          <w:sz w:val="32"/>
          <w:szCs w:val="32"/>
          <w:lang w:val="en-US" w:eastAsia="zh-CN"/>
        </w:rPr>
        <w:t>山东省济宁市泗水县人民政府办公室</w:t>
      </w:r>
      <w:r>
        <w:rPr>
          <w:rFonts w:hint="eastAsia" w:ascii="方正仿宋简体" w:hAnsi="方正仿宋简体" w:eastAsia="方正仿宋简体" w:cs="方正仿宋简体"/>
          <w:b/>
          <w:color w:val="auto"/>
          <w:sz w:val="32"/>
          <w:szCs w:val="32"/>
        </w:rPr>
        <w:t>联系（地址：泗水县泉兴路</w:t>
      </w:r>
      <w:r>
        <w:rPr>
          <w:rFonts w:hint="default" w:ascii="Times New Roman" w:hAnsi="Times New Roman" w:eastAsia="方正仿宋简体" w:cs="Times New Roman"/>
          <w:b/>
          <w:color w:val="auto"/>
          <w:sz w:val="32"/>
          <w:szCs w:val="32"/>
        </w:rPr>
        <w:t>7</w:t>
      </w:r>
      <w:r>
        <w:rPr>
          <w:rFonts w:hint="eastAsia" w:ascii="方正仿宋简体" w:hAnsi="方正仿宋简体" w:eastAsia="方正仿宋简体" w:cs="方正仿宋简体"/>
          <w:b/>
          <w:color w:val="auto"/>
          <w:sz w:val="32"/>
          <w:szCs w:val="32"/>
        </w:rPr>
        <w:t>号行政中心，联系电话：</w:t>
      </w:r>
      <w:r>
        <w:rPr>
          <w:rFonts w:hint="default" w:ascii="Times New Roman" w:hAnsi="Times New Roman" w:eastAsia="方正仿宋简体" w:cs="Times New Roman"/>
          <w:b/>
          <w:color w:val="auto"/>
          <w:sz w:val="32"/>
          <w:szCs w:val="32"/>
        </w:rPr>
        <w:t>0537-</w:t>
      </w:r>
      <w:r>
        <w:rPr>
          <w:rFonts w:hint="default" w:ascii="Times New Roman" w:hAnsi="Times New Roman" w:eastAsia="方正仿宋简体" w:cs="Times New Roman"/>
          <w:b/>
          <w:color w:val="auto"/>
          <w:sz w:val="32"/>
          <w:szCs w:val="32"/>
          <w:lang w:val="en-US" w:eastAsia="zh-CN"/>
        </w:rPr>
        <w:t>4221207</w:t>
      </w:r>
      <w:r>
        <w:rPr>
          <w:rFonts w:hint="eastAsia" w:ascii="方正仿宋简体" w:hAnsi="方正仿宋简体" w:eastAsia="方正仿宋简体" w:cs="方正仿宋简体"/>
          <w:b/>
          <w:color w:val="auto"/>
          <w:sz w:val="32"/>
          <w:szCs w:val="32"/>
        </w:rPr>
        <w:t>）。</w:t>
      </w:r>
    </w:p>
    <w:p>
      <w:pPr>
        <w:spacing w:line="590" w:lineRule="exact"/>
        <w:ind w:right="-105" w:rightChars="-50" w:firstLine="643" w:firstLineChars="200"/>
        <w:rPr>
          <w:rFonts w:hint="eastAsia" w:ascii="仿宋" w:hAnsi="仿宋" w:eastAsia="仿宋" w:cs="仿宋"/>
          <w:b/>
          <w:color w:val="auto"/>
          <w:sz w:val="32"/>
          <w:szCs w:val="32"/>
        </w:rPr>
      </w:pPr>
      <w:r>
        <w:rPr>
          <w:rFonts w:hint="eastAsia" w:ascii="方正黑体简体" w:hAnsi="方正黑体简体" w:eastAsia="方正黑体简体" w:cs="方正黑体简体"/>
          <w:b/>
          <w:color w:val="auto"/>
          <w:sz w:val="32"/>
          <w:szCs w:val="32"/>
        </w:rPr>
        <w:t>一、总体情况</w:t>
      </w:r>
    </w:p>
    <w:p>
      <w:pPr>
        <w:spacing w:line="590" w:lineRule="exact"/>
        <w:ind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default" w:ascii="方正仿宋简体" w:hAnsi="方正仿宋简体" w:eastAsia="方正仿宋简体" w:cs="方正仿宋简体"/>
          <w:b/>
          <w:color w:val="auto"/>
          <w:sz w:val="32"/>
          <w:szCs w:val="32"/>
          <w:lang w:val="en-US" w:eastAsia="zh-CN"/>
        </w:rPr>
        <w:t>202</w:t>
      </w:r>
      <w:r>
        <w:rPr>
          <w:rFonts w:hint="eastAsia" w:ascii="方正仿宋简体" w:hAnsi="方正仿宋简体" w:eastAsia="方正仿宋简体" w:cs="方正仿宋简体"/>
          <w:b/>
          <w:color w:val="auto"/>
          <w:sz w:val="32"/>
          <w:szCs w:val="32"/>
          <w:lang w:val="en-US" w:eastAsia="zh-CN"/>
        </w:rPr>
        <w:t>5年，泗水县人民政府以习近平新时代中国特色社会主义思想为指导，严格执行《中华人民共和国政府信息公开条例》，认真履行政府信息公开工作职责，坚持为全县中心工作服务。</w:t>
      </w:r>
    </w:p>
    <w:p>
      <w:pPr>
        <w:numPr>
          <w:ilvl w:val="0"/>
          <w:numId w:val="0"/>
        </w:numPr>
        <w:spacing w:line="590" w:lineRule="exact"/>
        <w:ind w:right="-105" w:rightChars="-50" w:firstLine="643" w:firstLineChars="200"/>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（一）政府信息</w:t>
      </w:r>
      <w:r>
        <w:rPr>
          <w:rFonts w:hint="eastAsia" w:ascii="方正楷体简体" w:hAnsi="方正楷体简体" w:eastAsia="方正楷体简体" w:cs="方正楷体简体"/>
          <w:b/>
          <w:color w:val="auto"/>
          <w:sz w:val="32"/>
          <w:szCs w:val="32"/>
        </w:rPr>
        <w:t>主动公开</w:t>
      </w:r>
      <w:r>
        <w:rPr>
          <w:rFonts w:hint="eastAsia" w:ascii="方正楷体简体" w:hAnsi="方正楷体简体" w:eastAsia="方正楷体简体" w:cs="方正楷体简体"/>
          <w:b/>
          <w:color w:val="auto"/>
          <w:sz w:val="32"/>
          <w:szCs w:val="32"/>
          <w:lang w:val="en-US" w:eastAsia="zh-CN"/>
        </w:rPr>
        <w:t>工作</w:t>
      </w:r>
    </w:p>
    <w:p>
      <w:pPr>
        <w:spacing w:line="590" w:lineRule="exact"/>
        <w:ind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全面规范政府信息主动公开，2025年转发上级重大决策部署750条，主动公开各类政府信息5284条，其中，财政领域信息461条、自然资源领域信息548条，教育领域信息251条、医疗卫生领域信息287条、住房保障领域政务信息320条，食品药品领域信息210条，稳岗就业领域350条，社会救助及养老服务领域信息260条，其他信息2500余条。行政许可151951件，实施行政处罚3228件、行政强制867件。持续开展政府决策透明化、发布解读一体化等工作，加大重点领域政府信息公开力度。</w:t>
      </w:r>
    </w:p>
    <w:p>
      <w:pPr>
        <w:pStyle w:val="2"/>
        <w:rPr>
          <w:rFonts w:hint="eastAsia" w:ascii="方正仿宋简体" w:hAnsi="方正仿宋简体" w:eastAsia="方正仿宋简体" w:cs="方正仿宋简体"/>
          <w:b/>
          <w:color w:val="auto"/>
          <w:sz w:val="32"/>
          <w:szCs w:val="32"/>
          <w:lang w:val="en-US" w:eastAsia="zh-CN"/>
        </w:rPr>
      </w:pPr>
      <w:bookmarkStart w:id="10" w:name="_GoBack"/>
      <w:r>
        <w:rPr>
          <w:rFonts w:hint="eastAsia" w:ascii="方正仿宋简体" w:hAnsi="方正仿宋简体" w:eastAsia="方正仿宋简体" w:cs="方正仿宋简体"/>
          <w:b/>
          <w:color w:val="auto"/>
          <w:sz w:val="32"/>
          <w:szCs w:val="32"/>
          <w:lang w:val="en-US" w:eastAsia="zh-CN"/>
        </w:rPr>
        <w:drawing>
          <wp:inline distT="0" distB="0" distL="114300" distR="114300">
            <wp:extent cx="5440680" cy="3735070"/>
            <wp:effectExtent l="0" t="0" r="7620" b="17780"/>
            <wp:docPr id="2" name="图片 2" descr="微信图片_20260201105757_132_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201105757_132_728"/>
                    <pic:cNvPicPr>
                      <a:picLocks noChangeAspect="1"/>
                    </pic:cNvPicPr>
                  </pic:nvPicPr>
                  <pic:blipFill>
                    <a:blip r:embed="rId5"/>
                    <a:stretch>
                      <a:fillRect/>
                    </a:stretch>
                  </pic:blipFill>
                  <pic:spPr>
                    <a:xfrm>
                      <a:off x="0" y="0"/>
                      <a:ext cx="5440680" cy="3735070"/>
                    </a:xfrm>
                    <a:prstGeom prst="rect">
                      <a:avLst/>
                    </a:prstGeom>
                  </pic:spPr>
                </pic:pic>
              </a:graphicData>
            </a:graphic>
          </wp:inline>
        </w:drawing>
      </w:r>
      <w:bookmarkEnd w:id="10"/>
    </w:p>
    <w:p>
      <w:pPr>
        <w:pStyle w:val="2"/>
        <w:rPr>
          <w:rFonts w:hint="eastAsia"/>
          <w:color w:val="auto"/>
        </w:rPr>
      </w:pPr>
    </w:p>
    <w:p>
      <w:pPr>
        <w:spacing w:line="590" w:lineRule="exact"/>
        <w:ind w:right="-105" w:rightChars="-50" w:firstLine="643" w:firstLineChars="200"/>
        <w:rPr>
          <w:rFonts w:hint="default"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（二）依申请公开工作</w:t>
      </w:r>
    </w:p>
    <w:p>
      <w:pPr>
        <w:spacing w:line="590" w:lineRule="exact"/>
        <w:ind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202</w:t>
      </w:r>
      <w:r>
        <w:rPr>
          <w:rFonts w:hint="eastAsia" w:eastAsia="方正仿宋简体" w:cs="Times New Roman"/>
          <w:b/>
          <w:color w:val="auto"/>
          <w:sz w:val="32"/>
          <w:szCs w:val="32"/>
          <w:lang w:val="en-US" w:eastAsia="zh-CN"/>
        </w:rPr>
        <w:t>5</w:t>
      </w:r>
      <w:r>
        <w:rPr>
          <w:rFonts w:hint="eastAsia" w:ascii="方正仿宋简体" w:hAnsi="方正仿宋简体" w:eastAsia="方正仿宋简体" w:cs="方正仿宋简体"/>
          <w:b/>
          <w:color w:val="auto"/>
          <w:sz w:val="32"/>
          <w:szCs w:val="32"/>
          <w:lang w:val="en-US" w:eastAsia="zh-CN"/>
        </w:rPr>
        <w:t>年，全县共受理政府信息公开申请</w:t>
      </w:r>
      <w:r>
        <w:rPr>
          <w:rFonts w:hint="eastAsia" w:eastAsia="方正仿宋简体" w:cs="Times New Roman"/>
          <w:b/>
          <w:color w:val="auto"/>
          <w:sz w:val="32"/>
          <w:szCs w:val="32"/>
          <w:lang w:val="en-US" w:eastAsia="zh-CN"/>
        </w:rPr>
        <w:t>97</w:t>
      </w:r>
      <w:r>
        <w:rPr>
          <w:rFonts w:hint="eastAsia" w:ascii="方正仿宋简体" w:hAnsi="方正仿宋简体" w:eastAsia="方正仿宋简体" w:cs="方正仿宋简体"/>
          <w:b/>
          <w:color w:val="auto"/>
          <w:sz w:val="32"/>
          <w:szCs w:val="32"/>
          <w:lang w:val="en-US" w:eastAsia="zh-CN"/>
        </w:rPr>
        <w:t>件，与上年相比数量增加28件，比重较大的是予以公开</w:t>
      </w:r>
      <w:r>
        <w:rPr>
          <w:rFonts w:hint="eastAsia" w:eastAsia="方正仿宋简体" w:cs="Times New Roman"/>
          <w:b/>
          <w:color w:val="auto"/>
          <w:sz w:val="32"/>
          <w:szCs w:val="32"/>
          <w:lang w:val="en-US" w:eastAsia="zh-CN"/>
        </w:rPr>
        <w:t>44</w:t>
      </w:r>
      <w:r>
        <w:rPr>
          <w:rFonts w:hint="eastAsia" w:ascii="方正仿宋简体" w:hAnsi="方正仿宋简体" w:eastAsia="方正仿宋简体" w:cs="方正仿宋简体"/>
          <w:b/>
          <w:color w:val="auto"/>
          <w:sz w:val="32"/>
          <w:szCs w:val="32"/>
          <w:lang w:val="en-US" w:eastAsia="zh-CN"/>
        </w:rPr>
        <w:t>件，部分公开11件，本机关不掌握相关政府信息</w:t>
      </w:r>
      <w:r>
        <w:rPr>
          <w:rFonts w:hint="eastAsia" w:eastAsia="方正仿宋简体" w:cs="Times New Roman"/>
          <w:b/>
          <w:color w:val="auto"/>
          <w:sz w:val="32"/>
          <w:szCs w:val="32"/>
          <w:lang w:val="en-US" w:eastAsia="zh-CN"/>
        </w:rPr>
        <w:t>16</w:t>
      </w:r>
      <w:r>
        <w:rPr>
          <w:rFonts w:hint="eastAsia" w:ascii="方正仿宋简体" w:hAnsi="方正仿宋简体" w:eastAsia="方正仿宋简体" w:cs="方正仿宋简体"/>
          <w:b/>
          <w:color w:val="auto"/>
          <w:sz w:val="32"/>
          <w:szCs w:val="32"/>
          <w:lang w:val="en-US" w:eastAsia="zh-CN"/>
        </w:rPr>
        <w:t>件，属于三类内部事务信息4件，信访举报投诉类6件，所有申请均</w:t>
      </w:r>
      <w:r>
        <w:rPr>
          <w:rFonts w:hint="eastAsia" w:ascii="仿宋" w:hAnsi="仿宋" w:eastAsia="仿宋" w:cs="仿宋"/>
          <w:b/>
          <w:color w:val="auto"/>
          <w:sz w:val="32"/>
          <w:szCs w:val="32"/>
          <w:lang w:val="en-US" w:eastAsia="zh-CN"/>
        </w:rPr>
        <w:t>未收取任何费用</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申请内容主要涉及土地征收、医疗卫生、稳岗就业等领域，</w:t>
      </w:r>
      <w:r>
        <w:rPr>
          <w:rFonts w:hint="eastAsia" w:ascii="方正仿宋简体" w:hAnsi="方正仿宋简体" w:eastAsia="方正仿宋简体" w:cs="方正仿宋简体"/>
          <w:b/>
          <w:color w:val="auto"/>
          <w:sz w:val="32"/>
          <w:szCs w:val="32"/>
          <w:lang w:val="en-US" w:eastAsia="zh-CN"/>
        </w:rPr>
        <w:t>均依法依规答复，答复率</w:t>
      </w:r>
      <w:r>
        <w:rPr>
          <w:rFonts w:hint="default" w:ascii="Times New Roman" w:hAnsi="Times New Roman" w:eastAsia="方正仿宋简体" w:cs="Times New Roman"/>
          <w:b/>
          <w:color w:val="auto"/>
          <w:sz w:val="32"/>
          <w:szCs w:val="32"/>
          <w:lang w:val="en-US" w:eastAsia="zh-CN"/>
        </w:rPr>
        <w:t>100%</w:t>
      </w:r>
      <w:r>
        <w:rPr>
          <w:rFonts w:hint="eastAsia" w:ascii="方正仿宋简体" w:hAnsi="方正仿宋简体" w:eastAsia="方正仿宋简体" w:cs="方正仿宋简体"/>
          <w:b/>
          <w:color w:val="auto"/>
          <w:sz w:val="32"/>
          <w:szCs w:val="32"/>
          <w:lang w:val="en-US" w:eastAsia="zh-CN"/>
        </w:rPr>
        <w:t>。因依申请公开工作引发行政复议</w:t>
      </w:r>
      <w:r>
        <w:rPr>
          <w:rFonts w:hint="eastAsia" w:eastAsia="方正仿宋简体" w:cs="Times New Roman"/>
          <w:b/>
          <w:color w:val="auto"/>
          <w:sz w:val="32"/>
          <w:szCs w:val="32"/>
          <w:lang w:val="en-US" w:eastAsia="zh-CN"/>
        </w:rPr>
        <w:t>19</w:t>
      </w:r>
      <w:r>
        <w:rPr>
          <w:rFonts w:hint="eastAsia" w:ascii="方正仿宋简体" w:hAnsi="方正仿宋简体" w:eastAsia="方正仿宋简体" w:cs="方正仿宋简体"/>
          <w:b/>
          <w:color w:val="auto"/>
          <w:sz w:val="32"/>
          <w:szCs w:val="32"/>
          <w:lang w:val="en-US" w:eastAsia="zh-CN"/>
        </w:rPr>
        <w:t>件、行政诉讼案件</w:t>
      </w:r>
      <w:r>
        <w:rPr>
          <w:rFonts w:hint="eastAsia" w:eastAsia="方正仿宋简体" w:cs="Times New Roman"/>
          <w:b/>
          <w:color w:val="auto"/>
          <w:sz w:val="32"/>
          <w:szCs w:val="32"/>
          <w:lang w:val="en-US" w:eastAsia="zh-CN"/>
        </w:rPr>
        <w:t>2</w:t>
      </w:r>
      <w:r>
        <w:rPr>
          <w:rFonts w:hint="eastAsia" w:ascii="方正仿宋简体" w:hAnsi="方正仿宋简体" w:eastAsia="方正仿宋简体" w:cs="方正仿宋简体"/>
          <w:b/>
          <w:color w:val="auto"/>
          <w:sz w:val="32"/>
          <w:szCs w:val="32"/>
          <w:lang w:val="en-US" w:eastAsia="zh-CN"/>
        </w:rPr>
        <w:t>件。</w:t>
      </w:r>
    </w:p>
    <w:p>
      <w:pPr>
        <w:pStyle w:val="2"/>
        <w:rPr>
          <w:rFonts w:hint="eastAsia" w:ascii="方正仿宋简体" w:hAnsi="方正仿宋简体" w:eastAsia="方正仿宋简体" w:cs="方正仿宋简体"/>
          <w:b/>
          <w:color w:val="auto"/>
          <w:sz w:val="32"/>
          <w:szCs w:val="32"/>
          <w:lang w:val="en-US" w:eastAsia="zh-CN"/>
        </w:rPr>
      </w:pPr>
    </w:p>
    <w:p>
      <w:pPr>
        <w:pStyle w:val="2"/>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drawing>
          <wp:inline distT="0" distB="0" distL="114300" distR="114300">
            <wp:extent cx="5394325" cy="3792855"/>
            <wp:effectExtent l="0" t="0" r="15875" b="17145"/>
            <wp:docPr id="3" name="图片 3" descr="微信图片_20260201105758_133_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201105758_133_728"/>
                    <pic:cNvPicPr>
                      <a:picLocks noChangeAspect="1"/>
                    </pic:cNvPicPr>
                  </pic:nvPicPr>
                  <pic:blipFill>
                    <a:blip r:embed="rId6"/>
                    <a:stretch>
                      <a:fillRect/>
                    </a:stretch>
                  </pic:blipFill>
                  <pic:spPr>
                    <a:xfrm>
                      <a:off x="0" y="0"/>
                      <a:ext cx="5394325" cy="3792855"/>
                    </a:xfrm>
                    <a:prstGeom prst="rect">
                      <a:avLst/>
                    </a:prstGeom>
                  </pic:spPr>
                </pic:pic>
              </a:graphicData>
            </a:graphic>
          </wp:inline>
        </w:drawing>
      </w:r>
    </w:p>
    <w:p>
      <w:pPr>
        <w:pStyle w:val="2"/>
        <w:rPr>
          <w:rFonts w:hint="eastAsia" w:ascii="方正仿宋简体" w:hAnsi="方正仿宋简体" w:eastAsia="方正仿宋简体" w:cs="方正仿宋简体"/>
          <w:b/>
          <w:color w:val="auto"/>
          <w:sz w:val="32"/>
          <w:szCs w:val="32"/>
          <w:lang w:val="en-US" w:eastAsia="zh-CN"/>
        </w:rPr>
      </w:pPr>
    </w:p>
    <w:p>
      <w:pPr>
        <w:pStyle w:val="2"/>
        <w:rPr>
          <w:rFonts w:hint="default" w:ascii="仿宋" w:hAnsi="仿宋" w:eastAsia="仿宋" w:cs="仿宋"/>
          <w:b w:val="0"/>
          <w:bCs/>
          <w:color w:val="auto"/>
          <w:sz w:val="32"/>
          <w:szCs w:val="32"/>
          <w:lang w:val="en-US" w:eastAsia="zh-CN"/>
        </w:rPr>
      </w:pPr>
      <w:r>
        <w:rPr>
          <w:rFonts w:hint="default" w:ascii="仿宋" w:hAnsi="仿宋" w:eastAsia="仿宋" w:cs="仿宋"/>
          <w:b w:val="0"/>
          <w:bCs/>
          <w:color w:val="auto"/>
          <w:sz w:val="32"/>
          <w:szCs w:val="32"/>
          <w:lang w:val="en-US" w:eastAsia="zh-CN"/>
        </w:rPr>
        <w:drawing>
          <wp:inline distT="0" distB="0" distL="114300" distR="114300">
            <wp:extent cx="5450840" cy="3773170"/>
            <wp:effectExtent l="0" t="0" r="16510" b="17780"/>
            <wp:docPr id="5" name="图片 5" descr="微信图片_20260201105759_134_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60201105759_134_728"/>
                    <pic:cNvPicPr>
                      <a:picLocks noChangeAspect="1"/>
                    </pic:cNvPicPr>
                  </pic:nvPicPr>
                  <pic:blipFill>
                    <a:blip r:embed="rId7"/>
                    <a:stretch>
                      <a:fillRect/>
                    </a:stretch>
                  </pic:blipFill>
                  <pic:spPr>
                    <a:xfrm>
                      <a:off x="0" y="0"/>
                      <a:ext cx="5450840" cy="3773170"/>
                    </a:xfrm>
                    <a:prstGeom prst="rect">
                      <a:avLst/>
                    </a:prstGeom>
                  </pic:spPr>
                </pic:pic>
              </a:graphicData>
            </a:graphic>
          </wp:inline>
        </w:drawing>
      </w:r>
    </w:p>
    <w:p>
      <w:pPr>
        <w:pStyle w:val="2"/>
        <w:rPr>
          <w:rFonts w:hint="eastAsia" w:ascii="仿宋" w:hAnsi="仿宋" w:eastAsia="仿宋" w:cs="仿宋"/>
          <w:b w:val="0"/>
          <w:bCs/>
          <w:color w:val="auto"/>
          <w:sz w:val="32"/>
          <w:szCs w:val="32"/>
          <w:lang w:val="en-US" w:eastAsia="zh-CN"/>
        </w:rPr>
      </w:pPr>
    </w:p>
    <w:p>
      <w:pPr>
        <w:spacing w:line="590" w:lineRule="exact"/>
        <w:ind w:right="-105" w:rightChars="-50" w:firstLine="643" w:firstLineChars="200"/>
        <w:rPr>
          <w:rFonts w:hint="default"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（三）政府信息管理工作</w:t>
      </w:r>
    </w:p>
    <w:p>
      <w:pPr>
        <w:spacing w:line="590" w:lineRule="exact"/>
        <w:ind w:left="0" w:leftChars="0"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进一步完善政府文件库、规范性文件库建设，对行政规范性文件等政府信息开展动态排查，行政规范性文件废止1件、现行有效8件，实现所有政策性文件可查询、有解读、可下载。正确处理政府信息公开与保密工作的关系，坚持“先审查、后公开”原则，依法规范公开内容。规范信息发布管理，夯实内容安全根基，严格遵循“谁主办、谁负责，谁发布、谁负责”的原则，根据信息属性分类，落实审核要求。</w:t>
      </w:r>
    </w:p>
    <w:p>
      <w:pPr>
        <w:numPr>
          <w:ilvl w:val="0"/>
          <w:numId w:val="0"/>
        </w:numPr>
        <w:spacing w:line="590" w:lineRule="exact"/>
        <w:ind w:right="-105" w:rightChars="-50" w:firstLine="643" w:firstLineChars="200"/>
        <w:rPr>
          <w:rFonts w:hint="default"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（四）政府信息公开平台建设工作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color w:val="auto"/>
          <w:sz w:val="32"/>
          <w:szCs w:val="32"/>
        </w:rPr>
      </w:pPr>
      <w:r>
        <w:rPr>
          <w:rFonts w:hint="eastAsia" w:ascii="Times New Roman" w:hAnsi="Times New Roman" w:eastAsia="方正仿宋简体" w:cs="Times New Roman"/>
          <w:b/>
          <w:bCs/>
          <w:color w:val="auto"/>
          <w:sz w:val="32"/>
          <w:szCs w:val="32"/>
          <w:lang w:val="en-US" w:eastAsia="zh-CN"/>
        </w:rPr>
        <w:t>推进政府网站建设，按照时间节点积极进行国产化改造；</w:t>
      </w:r>
      <w:r>
        <w:rPr>
          <w:rFonts w:hint="default" w:ascii="Times New Roman" w:hAnsi="Times New Roman" w:eastAsia="方正仿宋简体" w:cs="Times New Roman"/>
          <w:b/>
          <w:bCs/>
          <w:color w:val="auto"/>
          <w:sz w:val="32"/>
          <w:szCs w:val="32"/>
        </w:rPr>
        <w:t>调整、合并冗余网站栏目</w:t>
      </w:r>
      <w:r>
        <w:rPr>
          <w:rFonts w:hint="default" w:ascii="Times New Roman" w:hAnsi="Times New Roman" w:eastAsia="方正仿宋简体" w:cs="Times New Roman"/>
          <w:b/>
          <w:bCs/>
          <w:color w:val="auto"/>
          <w:sz w:val="32"/>
          <w:szCs w:val="32"/>
          <w:lang w:val="en-US" w:eastAsia="zh-CN"/>
        </w:rPr>
        <w:t>50</w:t>
      </w:r>
      <w:r>
        <w:rPr>
          <w:rFonts w:hint="default" w:ascii="Times New Roman" w:hAnsi="Times New Roman" w:eastAsia="方正仿宋简体" w:cs="Times New Roman"/>
          <w:b/>
          <w:bCs/>
          <w:color w:val="auto"/>
          <w:sz w:val="32"/>
          <w:szCs w:val="32"/>
        </w:rPr>
        <w:t>余个</w:t>
      </w:r>
      <w:r>
        <w:rPr>
          <w:rFonts w:hint="eastAsia" w:ascii="Times New Roman" w:hAnsi="Times New Roman" w:eastAsia="方正仿宋简体" w:cs="Times New Roman"/>
          <w:b/>
          <w:bCs/>
          <w:color w:val="auto"/>
          <w:sz w:val="32"/>
          <w:szCs w:val="32"/>
          <w:lang w:eastAsia="zh-CN"/>
        </w:rPr>
        <w:t>，</w:t>
      </w:r>
      <w:r>
        <w:rPr>
          <w:rFonts w:hint="eastAsia" w:ascii="Times New Roman" w:hAnsi="Times New Roman" w:eastAsia="方正仿宋简体" w:cs="Times New Roman"/>
          <w:b/>
          <w:bCs/>
          <w:color w:val="auto"/>
          <w:sz w:val="32"/>
          <w:szCs w:val="32"/>
          <w:lang w:val="en-US" w:eastAsia="zh-CN"/>
        </w:rPr>
        <w:t>新建专题专栏1个，</w:t>
      </w:r>
      <w:r>
        <w:rPr>
          <w:rFonts w:hint="default" w:ascii="Times New Roman" w:hAnsi="Times New Roman" w:eastAsia="方正仿宋简体" w:cs="Times New Roman"/>
          <w:b/>
          <w:bCs/>
          <w:color w:val="auto"/>
          <w:sz w:val="32"/>
          <w:szCs w:val="32"/>
        </w:rPr>
        <w:t>编辑发布政府大事记</w:t>
      </w:r>
      <w:r>
        <w:rPr>
          <w:rFonts w:hint="default" w:ascii="Times New Roman" w:hAnsi="Times New Roman" w:eastAsia="方正仿宋简体" w:cs="Times New Roman"/>
          <w:b/>
          <w:bCs/>
          <w:color w:val="auto"/>
          <w:sz w:val="32"/>
          <w:szCs w:val="32"/>
          <w:lang w:val="en-US" w:eastAsia="zh-CN"/>
        </w:rPr>
        <w:t>1</w:t>
      </w:r>
      <w:r>
        <w:rPr>
          <w:rFonts w:hint="eastAsia" w:ascii="Times New Roman" w:hAnsi="Times New Roman" w:cs="Times New Roman"/>
          <w:b/>
          <w:bCs/>
          <w:color w:val="auto"/>
          <w:sz w:val="32"/>
          <w:szCs w:val="32"/>
          <w:lang w:val="en-US" w:eastAsia="zh-CN"/>
        </w:rPr>
        <w:t>0</w:t>
      </w:r>
      <w:r>
        <w:rPr>
          <w:rFonts w:hint="default" w:ascii="Times New Roman" w:hAnsi="Times New Roman" w:eastAsia="方正仿宋简体" w:cs="Times New Roman"/>
          <w:b/>
          <w:bCs/>
          <w:color w:val="auto"/>
          <w:sz w:val="32"/>
          <w:szCs w:val="32"/>
        </w:rPr>
        <w:t>期；整改错敏信息</w:t>
      </w:r>
      <w:r>
        <w:rPr>
          <w:rFonts w:hint="default" w:ascii="Times New Roman" w:hAnsi="Times New Roman" w:eastAsia="方正仿宋简体" w:cs="Times New Roman"/>
          <w:b/>
          <w:bCs/>
          <w:color w:val="auto"/>
          <w:sz w:val="32"/>
          <w:szCs w:val="32"/>
          <w:lang w:val="en-US" w:eastAsia="zh-CN"/>
        </w:rPr>
        <w:t>1000</w:t>
      </w:r>
      <w:r>
        <w:rPr>
          <w:rFonts w:hint="default" w:ascii="Times New Roman" w:hAnsi="Times New Roman" w:eastAsia="方正仿宋简体" w:cs="Times New Roman"/>
          <w:b/>
          <w:bCs/>
          <w:color w:val="auto"/>
          <w:sz w:val="32"/>
          <w:szCs w:val="32"/>
        </w:rPr>
        <w:t>余条，不可用链接</w:t>
      </w:r>
      <w:r>
        <w:rPr>
          <w:rFonts w:hint="default" w:ascii="Times New Roman" w:hAnsi="Times New Roman" w:eastAsia="方正仿宋简体" w:cs="Times New Roman"/>
          <w:b/>
          <w:bCs/>
          <w:color w:val="auto"/>
          <w:sz w:val="32"/>
          <w:szCs w:val="32"/>
          <w:lang w:val="en-US" w:eastAsia="zh-CN"/>
        </w:rPr>
        <w:t>2000</w:t>
      </w:r>
      <w:r>
        <w:rPr>
          <w:rFonts w:hint="default" w:ascii="Times New Roman" w:hAnsi="Times New Roman" w:eastAsia="方正仿宋简体" w:cs="Times New Roman"/>
          <w:b/>
          <w:bCs/>
          <w:color w:val="auto"/>
          <w:sz w:val="32"/>
          <w:szCs w:val="32"/>
        </w:rPr>
        <w:t>余个</w:t>
      </w:r>
      <w:r>
        <w:rPr>
          <w:rFonts w:hint="eastAsia"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完成四个季度政府网站自查整改，调度整改不合格栏目</w:t>
      </w:r>
      <w:r>
        <w:rPr>
          <w:rFonts w:hint="eastAsia" w:ascii="Times New Roman" w:hAnsi="Times New Roman" w:cs="Times New Roman"/>
          <w:b/>
          <w:bCs/>
          <w:color w:val="auto"/>
          <w:sz w:val="32"/>
          <w:szCs w:val="32"/>
          <w:lang w:val="en-US" w:eastAsia="zh-CN"/>
        </w:rPr>
        <w:t>60</w:t>
      </w:r>
      <w:r>
        <w:rPr>
          <w:rFonts w:hint="default" w:ascii="Times New Roman" w:hAnsi="Times New Roman" w:eastAsia="方正仿宋简体" w:cs="Times New Roman"/>
          <w:b/>
          <w:bCs/>
          <w:color w:val="auto"/>
          <w:sz w:val="32"/>
          <w:szCs w:val="32"/>
        </w:rPr>
        <w:t>余次。政务新媒体方面，全面</w:t>
      </w:r>
      <w:r>
        <w:rPr>
          <w:rFonts w:hint="default" w:ascii="Times New Roman" w:hAnsi="Times New Roman" w:eastAsia="方正仿宋简体" w:cs="Times New Roman"/>
          <w:b/>
          <w:bCs/>
          <w:color w:val="auto"/>
          <w:sz w:val="32"/>
          <w:szCs w:val="32"/>
          <w:lang w:eastAsia="zh-CN"/>
        </w:rPr>
        <w:t>做好</w:t>
      </w:r>
      <w:r>
        <w:rPr>
          <w:rFonts w:hint="default" w:ascii="Times New Roman" w:hAnsi="Times New Roman" w:eastAsia="方正仿宋简体" w:cs="Times New Roman"/>
          <w:b/>
          <w:bCs/>
          <w:color w:val="auto"/>
          <w:sz w:val="32"/>
          <w:szCs w:val="32"/>
        </w:rPr>
        <w:t>政务新媒体</w:t>
      </w:r>
      <w:r>
        <w:rPr>
          <w:rFonts w:hint="default" w:ascii="Times New Roman" w:hAnsi="Times New Roman" w:eastAsia="方正仿宋简体" w:cs="Times New Roman"/>
          <w:b/>
          <w:bCs/>
          <w:color w:val="auto"/>
          <w:sz w:val="32"/>
          <w:szCs w:val="32"/>
          <w:lang w:eastAsia="zh-CN"/>
        </w:rPr>
        <w:t>备案管理</w:t>
      </w:r>
      <w:r>
        <w:rPr>
          <w:rFonts w:hint="default" w:ascii="Times New Roman" w:hAnsi="Times New Roman" w:eastAsia="方正仿宋简体" w:cs="Times New Roman"/>
          <w:b/>
          <w:bCs/>
          <w:color w:val="auto"/>
          <w:sz w:val="32"/>
          <w:szCs w:val="32"/>
        </w:rPr>
        <w:t>工作，</w:t>
      </w:r>
      <w:r>
        <w:rPr>
          <w:rFonts w:hint="eastAsia" w:ascii="Times New Roman" w:hAnsi="Times New Roman" w:eastAsia="方正仿宋简体" w:cs="Times New Roman"/>
          <w:b/>
          <w:bCs/>
          <w:color w:val="auto"/>
          <w:sz w:val="32"/>
          <w:szCs w:val="32"/>
          <w:lang w:eastAsia="zh-CN"/>
        </w:rPr>
        <w:t>严控</w:t>
      </w:r>
      <w:r>
        <w:rPr>
          <w:rFonts w:hint="default" w:ascii="Times New Roman" w:hAnsi="Times New Roman" w:eastAsia="方正仿宋简体" w:cs="Times New Roman"/>
          <w:b/>
          <w:bCs/>
          <w:color w:val="auto"/>
          <w:sz w:val="32"/>
          <w:szCs w:val="32"/>
          <w:lang w:eastAsia="zh-CN"/>
        </w:rPr>
        <w:t>政务新媒体账号开设关停</w:t>
      </w:r>
      <w:r>
        <w:rPr>
          <w:rFonts w:hint="eastAsia" w:ascii="Times New Roman" w:hAnsi="Times New Roman" w:eastAsia="方正仿宋简体" w:cs="Times New Roman"/>
          <w:b/>
          <w:bCs/>
          <w:color w:val="auto"/>
          <w:sz w:val="32"/>
          <w:szCs w:val="32"/>
          <w:lang w:eastAsia="zh-CN"/>
        </w:rPr>
        <w:t>流程</w:t>
      </w:r>
      <w:r>
        <w:rPr>
          <w:rFonts w:hint="default" w:ascii="Times New Roman" w:hAnsi="Times New Roman" w:eastAsia="方正仿宋简体" w:cs="Times New Roman"/>
          <w:b/>
          <w:bCs/>
          <w:color w:val="auto"/>
          <w:sz w:val="32"/>
          <w:szCs w:val="32"/>
        </w:rPr>
        <w:t>；常态化做好政务新媒体更新预警提醒工作。</w:t>
      </w:r>
    </w:p>
    <w:p>
      <w:pPr>
        <w:spacing w:line="590" w:lineRule="exact"/>
        <w:ind w:right="-105" w:rightChars="-50" w:firstLine="643" w:firstLineChars="200"/>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rPr>
        <w:t>（五）监督保障</w:t>
      </w:r>
      <w:r>
        <w:rPr>
          <w:rFonts w:hint="eastAsia" w:ascii="方正楷体简体" w:hAnsi="方正楷体简体" w:eastAsia="方正楷体简体" w:cs="方正楷体简体"/>
          <w:b/>
          <w:color w:val="auto"/>
          <w:sz w:val="32"/>
          <w:szCs w:val="32"/>
          <w:lang w:val="en-US" w:eastAsia="zh-CN"/>
        </w:rPr>
        <w:t>工作</w:t>
      </w:r>
    </w:p>
    <w:p>
      <w:pPr>
        <w:spacing w:line="590" w:lineRule="exact"/>
        <w:ind w:left="0" w:leftChars="0"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一是完善政务公开考核指标体系，监督指导县直部门、镇街准确高效公开政府信息，优化监测检查，发现问题及时反馈督促整改。二是组织召开2025年度政务公开暨政府网站政务新媒体培训会、政务公开工作履职事项业务知识培训会，提升全县政务公开工作队伍整体素质。全年未发生政府信息公开责任追究情况。</w:t>
      </w:r>
    </w:p>
    <w:p>
      <w:pPr>
        <w:spacing w:line="590" w:lineRule="exact"/>
        <w:ind w:right="-105" w:rightChars="-50" w:firstLine="643" w:firstLineChars="200"/>
        <w:rPr>
          <w:rFonts w:hint="eastAsia" w:ascii="仿宋_GB2312" w:eastAsia="仿宋_GB2312"/>
          <w:b/>
          <w:bCs/>
          <w:color w:val="auto"/>
          <w:sz w:val="28"/>
          <w:szCs w:val="28"/>
        </w:rPr>
      </w:pPr>
      <w:r>
        <w:rPr>
          <w:rFonts w:hint="eastAsia" w:ascii="方正黑体简体" w:hAnsi="方正黑体简体" w:eastAsia="方正黑体简体" w:cs="方正黑体简体"/>
          <w:b/>
          <w:color w:val="auto"/>
          <w:sz w:val="32"/>
          <w:szCs w:val="32"/>
        </w:rPr>
        <w:t>二、主动公开政府信息情况</w:t>
      </w:r>
    </w:p>
    <w:tbl>
      <w:tblPr>
        <w:tblStyle w:val="9"/>
        <w:tblW w:w="8522" w:type="dxa"/>
        <w:tblInd w:w="0" w:type="dxa"/>
        <w:tblLayout w:type="fixed"/>
        <w:tblCellMar>
          <w:top w:w="0" w:type="dxa"/>
          <w:left w:w="108" w:type="dxa"/>
          <w:bottom w:w="0" w:type="dxa"/>
          <w:right w:w="108" w:type="dxa"/>
        </w:tblCellMar>
      </w:tblPr>
      <w:tblGrid>
        <w:gridCol w:w="2130"/>
        <w:gridCol w:w="2130"/>
        <w:gridCol w:w="2131"/>
        <w:gridCol w:w="2131"/>
      </w:tblGrid>
      <w:tr>
        <w:tblPrEx>
          <w:tblLayout w:type="fixed"/>
          <w:tblCellMar>
            <w:top w:w="0" w:type="dxa"/>
            <w:left w:w="108" w:type="dxa"/>
            <w:bottom w:w="0" w:type="dxa"/>
            <w:right w:w="108" w:type="dxa"/>
          </w:tblCellMar>
        </w:tblPrEx>
        <w:trPr>
          <w:trHeight w:val="567" w:hRule="atLeast"/>
        </w:trPr>
        <w:tc>
          <w:tcPr>
            <w:tcW w:w="8522"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tblPrEx>
          <w:tblLayout w:type="fixed"/>
          <w:tblCellMar>
            <w:top w:w="0" w:type="dxa"/>
            <w:left w:w="108" w:type="dxa"/>
            <w:bottom w:w="0" w:type="dxa"/>
            <w:right w:w="108" w:type="dxa"/>
          </w:tblCellMar>
        </w:tblPrEx>
        <w:trPr>
          <w:trHeight w:val="567" w:hRule="atLeast"/>
        </w:trPr>
        <w:tc>
          <w:tcPr>
            <w:tcW w:w="2130"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130"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131"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131"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tblPrEx>
          <w:tblLayout w:type="fixed"/>
          <w:tblCellMar>
            <w:top w:w="0" w:type="dxa"/>
            <w:left w:w="108" w:type="dxa"/>
            <w:bottom w:w="0" w:type="dxa"/>
            <w:right w:w="108" w:type="dxa"/>
          </w:tblCellMar>
        </w:tblPrEx>
        <w:trPr>
          <w:trHeight w:val="567" w:hRule="atLeast"/>
        </w:trPr>
        <w:tc>
          <w:tcPr>
            <w:tcW w:w="2130" w:type="dxa"/>
            <w:tcBorders>
              <w:top w:val="nil"/>
              <w:left w:val="single" w:color="auto" w:sz="8" w:space="0"/>
              <w:bottom w:val="single" w:color="auto" w:sz="4"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130" w:type="dxa"/>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131" w:type="dxa"/>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131" w:type="dxa"/>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lang w:eastAsia="zh-CN"/>
              </w:rPr>
            </w:pPr>
            <w:r>
              <w:rPr>
                <w:rFonts w:hint="eastAsia" w:eastAsia="仿宋_GB2312" w:cs="Times New Roman"/>
                <w:color w:val="auto"/>
                <w:kern w:val="0"/>
                <w:szCs w:val="21"/>
                <w:lang w:val="en-US" w:eastAsia="zh-CN"/>
              </w:rPr>
              <w:t>2</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lang w:eastAsia="zh-CN"/>
              </w:rPr>
            </w:pPr>
            <w:r>
              <w:rPr>
                <w:rFonts w:hint="eastAsia" w:eastAsia="仿宋_GB2312" w:cs="Times New Roman"/>
                <w:color w:val="auto"/>
                <w:kern w:val="0"/>
                <w:szCs w:val="21"/>
                <w:lang w:val="en-US" w:eastAsia="zh-CN"/>
              </w:rPr>
              <w:t>1</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eastAsia="仿宋_GB2312" w:cs="Times New Roman"/>
                <w:color w:val="auto"/>
                <w:kern w:val="0"/>
                <w:szCs w:val="21"/>
                <w:lang w:val="en-US" w:eastAsia="zh-CN"/>
              </w:rPr>
              <w:t>8</w:t>
            </w:r>
          </w:p>
        </w:tc>
      </w:tr>
      <w:tr>
        <w:tblPrEx>
          <w:tblLayout w:type="fixed"/>
          <w:tblCellMar>
            <w:top w:w="0" w:type="dxa"/>
            <w:left w:w="108" w:type="dxa"/>
            <w:bottom w:w="0" w:type="dxa"/>
            <w:right w:w="108" w:type="dxa"/>
          </w:tblCellMar>
        </w:tblPrEx>
        <w:trPr>
          <w:trHeight w:val="567" w:hRule="atLeast"/>
        </w:trPr>
        <w:tc>
          <w:tcPr>
            <w:tcW w:w="8522" w:type="dxa"/>
            <w:gridSpan w:val="4"/>
            <w:tcBorders>
              <w:top w:val="single" w:color="auto" w:sz="4" w:space="0"/>
              <w:left w:val="single" w:color="auto" w:sz="4" w:space="0"/>
              <w:bottom w:val="single" w:color="auto" w:sz="4" w:space="0"/>
              <w:right w:val="single" w:color="auto" w:sz="4" w:space="0"/>
            </w:tcBorders>
            <w:shd w:val="clear" w:color="000000" w:fill="C6D9F1"/>
            <w:noWrap w:val="0"/>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tblPrEx>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39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39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Calibri" w:eastAsia="仿宋_GB2312" w:cs="Calibri"/>
                <w:color w:val="auto"/>
                <w:kern w:val="0"/>
                <w:szCs w:val="21"/>
                <w:lang w:val="en-US" w:eastAsia="zh-CN"/>
              </w:rPr>
            </w:pPr>
            <w:r>
              <w:rPr>
                <w:rFonts w:hint="eastAsia" w:eastAsia="仿宋_GB2312" w:cs="Times New Roman"/>
                <w:color w:val="auto"/>
                <w:kern w:val="0"/>
                <w:szCs w:val="21"/>
                <w:lang w:val="en-US" w:eastAsia="zh-CN"/>
              </w:rPr>
              <w:t>151951</w:t>
            </w:r>
          </w:p>
        </w:tc>
      </w:tr>
      <w:tr>
        <w:tblPrEx>
          <w:tblLayout w:type="fixed"/>
          <w:tblCellMar>
            <w:top w:w="0" w:type="dxa"/>
            <w:left w:w="108" w:type="dxa"/>
            <w:bottom w:w="0" w:type="dxa"/>
            <w:right w:w="108" w:type="dxa"/>
          </w:tblCellMar>
        </w:tblPrEx>
        <w:trPr>
          <w:trHeight w:val="567" w:hRule="atLeast"/>
        </w:trPr>
        <w:tc>
          <w:tcPr>
            <w:tcW w:w="8522" w:type="dxa"/>
            <w:gridSpan w:val="4"/>
            <w:tcBorders>
              <w:top w:val="single" w:color="auto" w:sz="4" w:space="0"/>
              <w:left w:val="single" w:color="auto" w:sz="4" w:space="0"/>
              <w:bottom w:val="single" w:color="auto" w:sz="4" w:space="0"/>
              <w:right w:val="single" w:color="auto" w:sz="4" w:space="0"/>
            </w:tcBorders>
            <w:shd w:val="clear" w:color="000000" w:fill="C6D9F1"/>
            <w:noWrap w:val="0"/>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tblPrEx>
          <w:tblLayout w:type="fixed"/>
          <w:tblCellMar>
            <w:top w:w="0" w:type="dxa"/>
            <w:left w:w="108" w:type="dxa"/>
            <w:bottom w:w="0" w:type="dxa"/>
            <w:right w:w="108" w:type="dxa"/>
          </w:tblCellMar>
        </w:tblPrEx>
        <w:trPr>
          <w:trHeight w:val="567" w:hRule="atLeast"/>
        </w:trPr>
        <w:tc>
          <w:tcPr>
            <w:tcW w:w="2130" w:type="dxa"/>
            <w:tcBorders>
              <w:top w:val="single" w:color="auto" w:sz="4" w:space="0"/>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392" w:type="dxa"/>
            <w:gridSpan w:val="3"/>
            <w:tcBorders>
              <w:top w:val="single" w:color="auto" w:sz="4"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Layout w:type="fixed"/>
          <w:tblCellMar>
            <w:top w:w="0" w:type="dxa"/>
            <w:left w:w="108" w:type="dxa"/>
            <w:bottom w:w="0" w:type="dxa"/>
            <w:right w:w="108" w:type="dxa"/>
          </w:tblCellMar>
        </w:tblPrEx>
        <w:trPr>
          <w:trHeight w:val="567" w:hRule="atLeast"/>
        </w:trPr>
        <w:tc>
          <w:tcPr>
            <w:tcW w:w="2130"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392"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eastAsia="仿宋_GB2312" w:cs="Times New Roman"/>
                <w:color w:val="auto"/>
                <w:kern w:val="0"/>
                <w:szCs w:val="21"/>
                <w:lang w:val="en-US" w:eastAsia="zh-CN"/>
              </w:rPr>
              <w:t>3228</w:t>
            </w:r>
          </w:p>
        </w:tc>
      </w:tr>
      <w:tr>
        <w:tblPrEx>
          <w:tblLayout w:type="fixed"/>
          <w:tblCellMar>
            <w:top w:w="0" w:type="dxa"/>
            <w:left w:w="108" w:type="dxa"/>
            <w:bottom w:w="0" w:type="dxa"/>
            <w:right w:w="108" w:type="dxa"/>
          </w:tblCellMar>
        </w:tblPrEx>
        <w:trPr>
          <w:trHeight w:val="567" w:hRule="atLeast"/>
        </w:trPr>
        <w:tc>
          <w:tcPr>
            <w:tcW w:w="2130"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392"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eastAsia="仿宋_GB2312" w:cs="Times New Roman"/>
                <w:color w:val="auto"/>
                <w:kern w:val="0"/>
                <w:szCs w:val="21"/>
                <w:lang w:val="en-US" w:eastAsia="zh-CN"/>
              </w:rPr>
              <w:t>867</w:t>
            </w:r>
          </w:p>
        </w:tc>
      </w:tr>
      <w:tr>
        <w:tblPrEx>
          <w:tblLayout w:type="fixed"/>
          <w:tblCellMar>
            <w:top w:w="0" w:type="dxa"/>
            <w:left w:w="108" w:type="dxa"/>
            <w:bottom w:w="0" w:type="dxa"/>
            <w:right w:w="108" w:type="dxa"/>
          </w:tblCellMar>
        </w:tblPrEx>
        <w:trPr>
          <w:trHeight w:val="567" w:hRule="atLeast"/>
        </w:trPr>
        <w:tc>
          <w:tcPr>
            <w:tcW w:w="8522"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tblPrEx>
          <w:tblLayout w:type="fixed"/>
          <w:tblCellMar>
            <w:top w:w="0" w:type="dxa"/>
            <w:left w:w="108" w:type="dxa"/>
            <w:bottom w:w="0" w:type="dxa"/>
            <w:right w:w="108" w:type="dxa"/>
          </w:tblCellMar>
        </w:tblPrEx>
        <w:trPr>
          <w:trHeight w:val="567" w:hRule="atLeast"/>
        </w:trPr>
        <w:tc>
          <w:tcPr>
            <w:tcW w:w="2130"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392"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tblPrEx>
          <w:tblLayout w:type="fixed"/>
          <w:tblCellMar>
            <w:top w:w="0" w:type="dxa"/>
            <w:left w:w="108" w:type="dxa"/>
            <w:bottom w:w="0" w:type="dxa"/>
            <w:right w:w="108" w:type="dxa"/>
          </w:tblCellMar>
        </w:tblPrEx>
        <w:trPr>
          <w:trHeight w:val="567" w:hRule="atLeast"/>
        </w:trPr>
        <w:tc>
          <w:tcPr>
            <w:tcW w:w="2130"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392"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仿宋_GB2312" w:hAnsi="Calibri" w:eastAsia="仿宋_GB2312" w:cs="Calibri"/>
                <w:color w:val="auto"/>
                <w:kern w:val="0"/>
                <w:szCs w:val="21"/>
                <w:lang w:val="en-US" w:eastAsia="zh-CN"/>
              </w:rPr>
            </w:pPr>
            <w:r>
              <w:rPr>
                <w:rFonts w:hint="eastAsia" w:eastAsia="仿宋_GB2312" w:cs="Times New Roman"/>
                <w:color w:val="auto"/>
                <w:kern w:val="0"/>
                <w:szCs w:val="21"/>
                <w:lang w:val="en-US" w:eastAsia="zh-CN"/>
              </w:rPr>
              <w:t>7871</w:t>
            </w:r>
          </w:p>
        </w:tc>
      </w:tr>
    </w:tbl>
    <w:p>
      <w:pPr>
        <w:numPr>
          <w:ilvl w:val="0"/>
          <w:numId w:val="0"/>
        </w:numPr>
        <w:spacing w:line="590" w:lineRule="exact"/>
        <w:ind w:right="-105" w:rightChars="-50" w:firstLine="643" w:firstLineChars="200"/>
        <w:rPr>
          <w:rFonts w:hint="eastAsia" w:ascii="方正黑体简体" w:hAnsi="方正黑体简体" w:eastAsia="方正黑体简体" w:cs="方正黑体简体"/>
          <w:b/>
          <w:color w:val="auto"/>
          <w:sz w:val="32"/>
          <w:szCs w:val="32"/>
          <w:lang w:val="en-US" w:eastAsia="zh-CN"/>
        </w:rPr>
      </w:pPr>
      <w:r>
        <w:rPr>
          <w:rFonts w:hint="eastAsia" w:ascii="方正黑体简体" w:hAnsi="方正黑体简体" w:eastAsia="方正黑体简体" w:cs="方正黑体简体"/>
          <w:b/>
          <w:color w:val="auto"/>
          <w:sz w:val="32"/>
          <w:szCs w:val="32"/>
          <w:lang w:val="en-US" w:eastAsia="zh-CN"/>
        </w:rPr>
        <w:t>三、收到和处理政府信息公开申请情况</w:t>
      </w:r>
    </w:p>
    <w:tbl>
      <w:tblPr>
        <w:tblStyle w:val="9"/>
        <w:tblW w:w="991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96"/>
        <w:gridCol w:w="112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pPr>
              <w:widowControl/>
              <w:jc w:val="center"/>
              <w:rPr>
                <w:rFonts w:ascii="仿宋_GB2312" w:hAnsi="Times New Roman" w:eastAsia="仿宋_GB2312"/>
                <w:color w:val="auto"/>
                <w:szCs w:val="21"/>
              </w:rPr>
            </w:pPr>
            <w:r>
              <w:rPr>
                <w:rFonts w:hint="eastAsia" w:ascii="楷体_GB2312" w:hAnsi="黑体" w:eastAsia="楷体_GB2312"/>
                <w:color w:val="auto"/>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color w:val="auto"/>
                <w:szCs w:val="21"/>
              </w:rPr>
            </w:pPr>
          </w:p>
        </w:tc>
        <w:tc>
          <w:tcPr>
            <w:tcW w:w="829" w:type="dxa"/>
            <w:vMerge w:val="restart"/>
            <w:noWrap w:val="0"/>
            <w:tcMar>
              <w:left w:w="108" w:type="dxa"/>
              <w:right w:w="108" w:type="dxa"/>
            </w:tcMar>
            <w:vAlign w:val="center"/>
          </w:tcPr>
          <w:p>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color w:val="auto"/>
                <w:szCs w:val="21"/>
              </w:rPr>
            </w:pPr>
            <w:r>
              <w:rPr>
                <w:rFonts w:hint="eastAsia" w:ascii="黑体" w:hAnsi="黑体" w:eastAsia="黑体"/>
                <w:color w:val="auto"/>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color w:val="auto"/>
                <w:szCs w:val="21"/>
              </w:rPr>
            </w:pPr>
          </w:p>
        </w:tc>
        <w:tc>
          <w:tcPr>
            <w:tcW w:w="829" w:type="dxa"/>
            <w:vMerge w:val="continue"/>
            <w:noWrap w:val="0"/>
            <w:tcMar>
              <w:left w:w="108" w:type="dxa"/>
              <w:right w:w="108" w:type="dxa"/>
            </w:tcMar>
            <w:vAlign w:val="center"/>
          </w:tcPr>
          <w:p>
            <w:pPr>
              <w:jc w:val="center"/>
              <w:rPr>
                <w:rFonts w:ascii="黑体" w:hAnsi="黑体" w:eastAsia="黑体"/>
                <w:color w:val="auto"/>
                <w:szCs w:val="21"/>
              </w:rPr>
            </w:pPr>
          </w:p>
        </w:tc>
        <w:tc>
          <w:tcPr>
            <w:tcW w:w="567" w:type="dxa"/>
            <w:noWrap w:val="0"/>
            <w:tcMar>
              <w:left w:w="108" w:type="dxa"/>
              <w:right w:w="108" w:type="dxa"/>
            </w:tcMar>
            <w:vAlign w:val="center"/>
          </w:tcPr>
          <w:p>
            <w:pPr>
              <w:widowControl/>
              <w:spacing w:line="320" w:lineRule="exact"/>
              <w:ind w:left="-106" w:leftChars="-51" w:right="-107" w:rightChars="-51" w:hanging="1" w:firstLineChars="0"/>
              <w:jc w:val="center"/>
              <w:rPr>
                <w:rFonts w:ascii="黑体" w:hAnsi="黑体" w:eastAsia="黑体"/>
                <w:color w:val="auto"/>
                <w:szCs w:val="21"/>
              </w:rPr>
            </w:pPr>
            <w:r>
              <w:rPr>
                <w:rFonts w:hint="eastAsia" w:ascii="黑体" w:hAnsi="黑体" w:eastAsia="黑体"/>
                <w:color w:val="auto"/>
                <w:kern w:val="0"/>
                <w:szCs w:val="21"/>
              </w:rPr>
              <w:t>商业企业</w:t>
            </w:r>
          </w:p>
        </w:tc>
        <w:tc>
          <w:tcPr>
            <w:tcW w:w="567"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31"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708" w:type="dxa"/>
            <w:noWrap w:val="0"/>
            <w:tcMar>
              <w:left w:w="108" w:type="dxa"/>
              <w:right w:w="108" w:type="dxa"/>
            </w:tcMar>
            <w:vAlign w:val="center"/>
          </w:tcPr>
          <w:p>
            <w:pPr>
              <w:widowControl/>
              <w:spacing w:line="320" w:lineRule="exact"/>
              <w:ind w:left="-106" w:leftChars="-51" w:right="-107" w:rightChars="-51" w:hanging="1" w:firstLineChars="0"/>
              <w:jc w:val="center"/>
              <w:rPr>
                <w:rFonts w:ascii="黑体" w:hAnsi="黑体" w:eastAsia="黑体"/>
                <w:color w:val="auto"/>
                <w:szCs w:val="21"/>
              </w:rPr>
            </w:pPr>
            <w:r>
              <w:rPr>
                <w:rFonts w:hint="eastAsia" w:ascii="黑体" w:hAnsi="黑体" w:eastAsia="黑体"/>
                <w:color w:val="auto"/>
                <w:kern w:val="0"/>
                <w:szCs w:val="21"/>
              </w:rPr>
              <w:t>法律服务机构</w:t>
            </w:r>
          </w:p>
        </w:tc>
        <w:tc>
          <w:tcPr>
            <w:tcW w:w="567" w:type="dxa"/>
            <w:noWrap w:val="0"/>
            <w:tcMar>
              <w:left w:w="108" w:type="dxa"/>
              <w:right w:w="108" w:type="dxa"/>
            </w:tcMar>
            <w:vAlign w:val="center"/>
          </w:tcPr>
          <w:p>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851" w:type="dxa"/>
            <w:vMerge w:val="continue"/>
            <w:noWrap w:val="0"/>
            <w:tcMar>
              <w:left w:w="108" w:type="dxa"/>
              <w:right w:w="108" w:type="dxa"/>
            </w:tcMar>
            <w:vAlign w:val="center"/>
          </w:tcPr>
          <w:p>
            <w:pPr>
              <w:jc w:val="center"/>
              <w:rPr>
                <w:rFonts w:ascii="仿宋_GB2312" w:hAnsi="Times New Roman" w:eastAsia="仿宋_GB2312"/>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829"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lang w:val="en-US"/>
              </w:rPr>
            </w:pPr>
            <w:r>
              <w:rPr>
                <w:rFonts w:hint="eastAsia" w:eastAsia="仿宋_GB2312" w:cs="Times New Roman"/>
                <w:color w:val="auto"/>
                <w:szCs w:val="21"/>
                <w:lang w:val="en-US" w:eastAsia="zh-CN"/>
              </w:rPr>
              <w:t>96</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1</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lang w:val="en-US"/>
              </w:rPr>
            </w:pPr>
            <w:r>
              <w:rPr>
                <w:rFonts w:hint="eastAsia" w:eastAsia="仿宋_GB2312" w:cs="Times New Roman"/>
                <w:color w:val="auto"/>
                <w:szCs w:val="21"/>
                <w:lang w:val="en-US" w:eastAsia="zh-CN"/>
              </w:rPr>
              <w:t>97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829"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96" w:type="dxa"/>
            <w:vMerge w:val="restart"/>
            <w:noWrap w:val="0"/>
            <w:tcMar>
              <w:left w:w="108" w:type="dxa"/>
              <w:right w:w="108" w:type="dxa"/>
            </w:tcMar>
            <w:vAlign w:val="center"/>
          </w:tcPr>
          <w:p>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097" w:type="dxa"/>
            <w:gridSpan w:val="2"/>
            <w:noWrap w:val="0"/>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（一）予以公开</w:t>
            </w:r>
          </w:p>
        </w:tc>
        <w:tc>
          <w:tcPr>
            <w:tcW w:w="829"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lang w:val="en-US"/>
              </w:rPr>
            </w:pPr>
            <w:r>
              <w:rPr>
                <w:rFonts w:hint="eastAsia" w:eastAsia="仿宋_GB2312" w:cs="Times New Roman"/>
                <w:color w:val="auto"/>
                <w:szCs w:val="21"/>
                <w:lang w:val="en-US" w:eastAsia="zh-CN"/>
              </w:rPr>
              <w:t>43</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1</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lang w:val="en-US"/>
              </w:rPr>
            </w:pPr>
            <w:r>
              <w:rPr>
                <w:rFonts w:hint="eastAsia" w:eastAsia="仿宋_GB2312" w:cs="Times New Roman"/>
                <w:color w:val="auto"/>
                <w:szCs w:val="21"/>
                <w:lang w:val="en-US" w:eastAsia="zh-CN"/>
              </w:rPr>
              <w:t>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4097" w:type="dxa"/>
            <w:gridSpan w:val="2"/>
            <w:noWrap w:val="0"/>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829"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lang w:val="en-US"/>
              </w:rPr>
            </w:pPr>
            <w:r>
              <w:rPr>
                <w:rFonts w:hint="eastAsia" w:eastAsia="仿宋_GB2312" w:cs="Times New Roman"/>
                <w:color w:val="auto"/>
                <w:szCs w:val="21"/>
                <w:lang w:val="en-US" w:eastAsia="zh-CN"/>
              </w:rPr>
              <w:t>11</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lang w:val="en-US"/>
              </w:rPr>
            </w:pPr>
            <w:r>
              <w:rPr>
                <w:rFonts w:hint="eastAsia" w:eastAsia="仿宋_GB2312" w:cs="Times New Roman"/>
                <w:color w:val="auto"/>
                <w:szCs w:val="21"/>
                <w:lang w:val="en-US" w:eastAsia="zh-CN"/>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restart"/>
            <w:noWrap w:val="0"/>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1</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1</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lang w:val="en-US"/>
              </w:rPr>
            </w:pPr>
            <w:r>
              <w:rPr>
                <w:rFonts w:hint="eastAsia" w:eastAsia="仿宋_GB2312" w:cs="Times New Roman"/>
                <w:color w:val="auto"/>
                <w:szCs w:val="21"/>
                <w:lang w:val="en-US" w:eastAsia="zh-CN"/>
              </w:rPr>
              <w:t>4</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lang w:val="en-US"/>
              </w:rPr>
            </w:pPr>
            <w:r>
              <w:rPr>
                <w:rFonts w:hint="eastAsia" w:eastAsia="仿宋_GB2312" w:cs="Times New Roman"/>
                <w:color w:val="auto"/>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restart"/>
            <w:noWrap w:val="0"/>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lang w:val="en-US"/>
              </w:rPr>
            </w:pPr>
            <w:r>
              <w:rPr>
                <w:rFonts w:hint="eastAsia" w:eastAsia="仿宋_GB2312" w:cs="Times New Roman"/>
                <w:color w:val="auto"/>
                <w:szCs w:val="21"/>
                <w:lang w:val="en-US" w:eastAsia="zh-CN"/>
              </w:rPr>
              <w:t>23</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lang w:val="en-US"/>
              </w:rPr>
            </w:pPr>
            <w:r>
              <w:rPr>
                <w:rFonts w:hint="eastAsia" w:eastAsia="仿宋_GB2312" w:cs="Times New Roman"/>
                <w:color w:val="auto"/>
                <w:szCs w:val="21"/>
                <w:lang w:val="en-US" w:eastAsia="zh-CN"/>
              </w:rPr>
              <w:t>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continue"/>
            <w:noWrap w:val="0"/>
            <w:tcMar>
              <w:left w:w="108" w:type="dxa"/>
              <w:right w:w="108" w:type="dxa"/>
            </w:tcMar>
            <w:vAlign w:val="center"/>
          </w:tcPr>
          <w:p>
            <w:pPr>
              <w:spacing w:line="200" w:lineRule="exact"/>
              <w:ind w:left="-107" w:leftChars="-51"/>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1</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continue"/>
            <w:noWrap w:val="0"/>
            <w:tcMar>
              <w:left w:w="108" w:type="dxa"/>
              <w:right w:w="108" w:type="dxa"/>
            </w:tcMar>
            <w:vAlign w:val="center"/>
          </w:tcPr>
          <w:p>
            <w:pPr>
              <w:spacing w:line="200" w:lineRule="exact"/>
              <w:ind w:left="-107" w:leftChars="-51"/>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restart"/>
            <w:noWrap w:val="0"/>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829" w:type="dxa"/>
            <w:noWrap w:val="0"/>
            <w:tcMar>
              <w:left w:w="108" w:type="dxa"/>
              <w:right w:w="108" w:type="dxa"/>
            </w:tcMar>
            <w:vAlign w:val="bottom"/>
          </w:tcPr>
          <w:p>
            <w:pPr>
              <w:widowControl/>
              <w:spacing w:after="180" w:line="200" w:lineRule="exact"/>
              <w:jc w:val="center"/>
              <w:rPr>
                <w:rFonts w:hint="eastAsia" w:ascii="Times New Roman" w:hAnsi="Times New Roman" w:eastAsia="仿宋_GB2312" w:cs="Times New Roman"/>
                <w:color w:val="auto"/>
                <w:szCs w:val="21"/>
                <w:lang w:val="en-US" w:eastAsia="zh-CN"/>
              </w:rPr>
            </w:pPr>
            <w:r>
              <w:rPr>
                <w:rFonts w:hint="eastAsia" w:eastAsia="仿宋_GB2312" w:cs="Times New Roman"/>
                <w:color w:val="auto"/>
                <w:szCs w:val="21"/>
                <w:lang w:val="en-US" w:eastAsia="zh-CN"/>
              </w:rPr>
              <w:t>6</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continue"/>
            <w:noWrap w:val="0"/>
            <w:tcMar>
              <w:left w:w="108" w:type="dxa"/>
              <w:right w:w="108" w:type="dxa"/>
            </w:tcMar>
            <w:vAlign w:val="center"/>
          </w:tcPr>
          <w:p>
            <w:pPr>
              <w:spacing w:line="200" w:lineRule="exact"/>
              <w:rPr>
                <w:rFonts w:ascii="黑体" w:hAnsi="黑体" w:eastAsia="黑体"/>
                <w:color w:val="auto"/>
                <w:szCs w:val="21"/>
              </w:rPr>
            </w:pPr>
          </w:p>
        </w:tc>
        <w:tc>
          <w:tcPr>
            <w:tcW w:w="2976" w:type="dxa"/>
            <w:noWrap w:val="0"/>
            <w:tcMar>
              <w:left w:w="108" w:type="dxa"/>
              <w:right w:w="108" w:type="dxa"/>
            </w:tcMar>
            <w:vAlign w:val="center"/>
          </w:tcPr>
          <w:p>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restart"/>
            <w:noWrap w:val="0"/>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noWrap w:val="0"/>
            <w:vAlign w:val="center"/>
          </w:tcPr>
          <w:p>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4</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continue"/>
            <w:noWrap w:val="0"/>
            <w:tcMar>
              <w:left w:w="108" w:type="dxa"/>
              <w:right w:w="108" w:type="dxa"/>
            </w:tcMar>
            <w:vAlign w:val="center"/>
          </w:tcPr>
          <w:p>
            <w:pPr>
              <w:widowControl/>
              <w:spacing w:line="300" w:lineRule="exact"/>
              <w:rPr>
                <w:rFonts w:ascii="黑体" w:hAnsi="黑体" w:eastAsia="黑体"/>
                <w:color w:val="auto"/>
                <w:kern w:val="0"/>
                <w:szCs w:val="21"/>
              </w:rPr>
            </w:pPr>
          </w:p>
        </w:tc>
        <w:tc>
          <w:tcPr>
            <w:tcW w:w="2976" w:type="dxa"/>
            <w:noWrap w:val="0"/>
            <w:vAlign w:val="center"/>
          </w:tcPr>
          <w:p>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1121" w:type="dxa"/>
            <w:vMerge w:val="continue"/>
            <w:noWrap w:val="0"/>
            <w:tcMar>
              <w:left w:w="108" w:type="dxa"/>
              <w:right w:w="108" w:type="dxa"/>
            </w:tcMar>
            <w:vAlign w:val="center"/>
          </w:tcPr>
          <w:p>
            <w:pPr>
              <w:widowControl/>
              <w:spacing w:line="300" w:lineRule="exact"/>
              <w:rPr>
                <w:rFonts w:ascii="黑体" w:hAnsi="黑体" w:eastAsia="黑体"/>
                <w:color w:val="auto"/>
                <w:kern w:val="0"/>
                <w:szCs w:val="21"/>
              </w:rPr>
            </w:pPr>
          </w:p>
        </w:tc>
        <w:tc>
          <w:tcPr>
            <w:tcW w:w="2976" w:type="dxa"/>
            <w:noWrap w:val="0"/>
            <w:vAlign w:val="center"/>
          </w:tcPr>
          <w:p>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2</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96" w:type="dxa"/>
            <w:vMerge w:val="continue"/>
            <w:noWrap w:val="0"/>
            <w:tcMar>
              <w:left w:w="108" w:type="dxa"/>
              <w:right w:w="108" w:type="dxa"/>
            </w:tcMar>
            <w:vAlign w:val="center"/>
          </w:tcPr>
          <w:p>
            <w:pPr>
              <w:rPr>
                <w:rFonts w:ascii="黑体" w:hAnsi="黑体" w:eastAsia="黑体"/>
                <w:color w:val="auto"/>
                <w:szCs w:val="21"/>
              </w:rPr>
            </w:pPr>
          </w:p>
        </w:tc>
        <w:tc>
          <w:tcPr>
            <w:tcW w:w="4097" w:type="dxa"/>
            <w:gridSpan w:val="2"/>
            <w:noWrap w:val="0"/>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lang w:val="en-US"/>
              </w:rPr>
            </w:pPr>
            <w:r>
              <w:rPr>
                <w:rFonts w:hint="eastAsia" w:eastAsia="仿宋_GB2312" w:cs="Times New Roman"/>
                <w:color w:val="auto"/>
                <w:szCs w:val="21"/>
                <w:lang w:val="en-US" w:eastAsia="zh-CN"/>
              </w:rPr>
              <w:t>96</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1</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lang w:val="en-US"/>
              </w:rPr>
            </w:pPr>
            <w:r>
              <w:rPr>
                <w:rFonts w:hint="eastAsia" w:eastAsia="仿宋_GB2312" w:cs="Times New Roman"/>
                <w:color w:val="auto"/>
                <w:szCs w:val="21"/>
                <w:lang w:val="en-US" w:eastAsia="zh-CN"/>
              </w:rPr>
              <w:t>97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829"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line="2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bottom"/>
          </w:tcPr>
          <w:p>
            <w:pPr>
              <w:widowControl/>
              <w:spacing w:after="18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bl>
    <w:p>
      <w:pPr>
        <w:numPr>
          <w:ilvl w:val="0"/>
          <w:numId w:val="0"/>
        </w:numPr>
        <w:spacing w:line="590" w:lineRule="exact"/>
        <w:ind w:right="-105" w:rightChars="-50" w:firstLine="643" w:firstLineChars="200"/>
        <w:rPr>
          <w:rFonts w:hint="eastAsia" w:ascii="方正黑体简体" w:hAnsi="方正黑体简体" w:eastAsia="方正黑体简体" w:cs="方正黑体简体"/>
          <w:b/>
          <w:color w:val="auto"/>
          <w:sz w:val="32"/>
          <w:szCs w:val="32"/>
          <w:lang w:val="en-US" w:eastAsia="zh-CN"/>
        </w:rPr>
      </w:pPr>
      <w:r>
        <w:rPr>
          <w:rFonts w:hint="eastAsia" w:ascii="方正黑体简体" w:hAnsi="方正黑体简体" w:eastAsia="方正黑体简体" w:cs="方正黑体简体"/>
          <w:b/>
          <w:color w:val="auto"/>
          <w:sz w:val="32"/>
          <w:szCs w:val="32"/>
          <w:lang w:val="en-US" w:eastAsia="zh-CN"/>
        </w:rPr>
        <w:t>四、政府信息公开行政复议、行政诉讼情况</w:t>
      </w:r>
    </w:p>
    <w:tbl>
      <w:tblPr>
        <w:tblStyle w:val="9"/>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49" w:leftChars="-71" w:right="-170" w:rightChars="-81"/>
              <w:jc w:val="center"/>
              <w:rPr>
                <w:rFonts w:ascii="黑体" w:hAnsi="黑体" w:eastAsia="黑体"/>
                <w:color w:val="auto"/>
              </w:rPr>
            </w:pPr>
            <w:r>
              <w:rPr>
                <w:rFonts w:ascii="黑体" w:hAnsi="黑体" w:eastAsia="黑体"/>
                <w:color w:val="auto"/>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color w:val="auto"/>
              </w:rPr>
            </w:pPr>
            <w:r>
              <w:rPr>
                <w:rFonts w:ascii="黑体" w:hAnsi="黑体" w:eastAsia="黑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color w:val="auto"/>
              </w:rPr>
            </w:pPr>
            <w:r>
              <w:rPr>
                <w:rFonts w:ascii="黑体" w:hAnsi="黑体" w:eastAsia="黑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18" w:leftChars="-56" w:right="-118" w:rightChars="-56"/>
              <w:jc w:val="center"/>
              <w:rPr>
                <w:rFonts w:ascii="黑体" w:hAnsi="黑体" w:eastAsia="黑体"/>
                <w:color w:val="auto"/>
              </w:rPr>
            </w:pPr>
            <w:r>
              <w:rPr>
                <w:rFonts w:ascii="黑体" w:hAnsi="黑体" w:eastAsia="黑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color w:val="auto"/>
                <w:kern w:val="0"/>
                <w:sz w:val="20"/>
                <w:szCs w:val="20"/>
              </w:rPr>
            </w:pPr>
            <w:r>
              <w:rPr>
                <w:rFonts w:ascii="黑体" w:hAnsi="黑体" w:eastAsia="黑体"/>
                <w:color w:val="auto"/>
                <w:kern w:val="0"/>
                <w:sz w:val="20"/>
                <w:szCs w:val="20"/>
              </w:rPr>
              <w:t>总</w:t>
            </w:r>
          </w:p>
          <w:p>
            <w:pPr>
              <w:widowControl/>
              <w:spacing w:line="320" w:lineRule="exact"/>
              <w:jc w:val="center"/>
              <w:rPr>
                <w:rFonts w:ascii="黑体" w:hAnsi="黑体" w:eastAsia="黑体"/>
                <w:color w:val="auto"/>
              </w:rPr>
            </w:pPr>
            <w:r>
              <w:rPr>
                <w:rFonts w:ascii="黑体" w:hAnsi="黑体" w:eastAsia="黑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auto"/>
              </w:rPr>
            </w:pPr>
            <w:bookmarkStart w:id="9" w:name="_Hlk67039688"/>
            <w:r>
              <w:rPr>
                <w:rFonts w:ascii="黑体" w:hAnsi="黑体" w:eastAsia="黑体"/>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auto"/>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color w:val="auto"/>
              </w:rPr>
            </w:pPr>
            <w:r>
              <w:rPr>
                <w:rFonts w:ascii="黑体" w:hAnsi="黑体" w:eastAsia="黑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26" w:leftChars="-60" w:right="-136" w:rightChars="-65"/>
              <w:jc w:val="center"/>
              <w:rPr>
                <w:rFonts w:ascii="黑体" w:hAnsi="黑体" w:eastAsia="黑体"/>
                <w:color w:val="auto"/>
              </w:rPr>
            </w:pPr>
            <w:r>
              <w:rPr>
                <w:rFonts w:ascii="黑体" w:hAnsi="黑体" w:eastAsia="黑体"/>
                <w:color w:val="auto"/>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64" w:leftChars="-78" w:right="-153" w:rightChars="-73"/>
              <w:jc w:val="center"/>
              <w:rPr>
                <w:rFonts w:ascii="黑体" w:hAnsi="黑体" w:eastAsia="黑体"/>
                <w:color w:val="auto"/>
              </w:rPr>
            </w:pPr>
            <w:r>
              <w:rPr>
                <w:rFonts w:ascii="黑体" w:hAnsi="黑体" w:eastAsia="黑体"/>
                <w:color w:val="auto"/>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36" w:leftChars="-65" w:right="-124" w:rightChars="-59"/>
              <w:jc w:val="center"/>
              <w:rPr>
                <w:rFonts w:ascii="黑体" w:hAnsi="黑体" w:eastAsia="黑体"/>
                <w:color w:val="auto"/>
              </w:rPr>
            </w:pPr>
            <w:r>
              <w:rPr>
                <w:rFonts w:ascii="黑体" w:hAnsi="黑体" w:eastAsia="黑体"/>
                <w:color w:val="auto"/>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73" w:leftChars="-83" w:right="-134" w:rightChars="-64" w:hanging="1"/>
              <w:jc w:val="center"/>
              <w:rPr>
                <w:rFonts w:ascii="黑体" w:hAnsi="黑体" w:eastAsia="黑体"/>
                <w:color w:val="auto"/>
              </w:rPr>
            </w:pPr>
            <w:r>
              <w:rPr>
                <w:rFonts w:ascii="黑体" w:hAnsi="黑体" w:eastAsia="黑体"/>
                <w:color w:val="auto"/>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1</w:t>
            </w:r>
          </w:p>
        </w:tc>
        <w:tc>
          <w:tcPr>
            <w:tcW w:w="604"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15</w:t>
            </w:r>
          </w:p>
        </w:tc>
        <w:tc>
          <w:tcPr>
            <w:tcW w:w="604"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default" w:ascii="Times New Roman" w:hAnsi="Times New Roman" w:eastAsia="宋体"/>
                <w:color w:val="auto"/>
                <w:lang w:val="en-US" w:eastAsia="zh-CN"/>
              </w:rPr>
            </w:pPr>
            <w:r>
              <w:rPr>
                <w:rFonts w:hint="eastAsia"/>
                <w:color w:val="auto"/>
                <w:lang w:val="en-US" w:eastAsia="zh-CN"/>
              </w:rPr>
              <w:t>3</w:t>
            </w:r>
          </w:p>
        </w:tc>
        <w:tc>
          <w:tcPr>
            <w:tcW w:w="604"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default" w:ascii="Times New Roman" w:hAnsi="Times New Roman" w:eastAsia="宋体"/>
                <w:color w:val="auto"/>
                <w:lang w:val="en-US" w:eastAsia="zh-CN"/>
              </w:rPr>
            </w:pPr>
            <w:r>
              <w:rPr>
                <w:rFonts w:hint="eastAsia"/>
                <w:color w:val="auto"/>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default" w:ascii="Times New Roman" w:hAnsi="Times New Roman" w:eastAsia="宋体"/>
                <w:color w:val="auto"/>
                <w:lang w:val="en-US" w:eastAsia="zh-CN"/>
              </w:rPr>
            </w:pPr>
            <w:r>
              <w:rPr>
                <w:rFonts w:hint="eastAsia"/>
                <w:color w:val="auto"/>
                <w:lang w:val="en-US" w:eastAsia="zh-CN"/>
              </w:rPr>
              <w:t>19</w:t>
            </w:r>
          </w:p>
        </w:tc>
        <w:tc>
          <w:tcPr>
            <w:tcW w:w="550"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1</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default"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1</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default"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default" w:ascii="Times New Roman" w:hAnsi="Times New Roman" w:eastAsia="宋体"/>
                <w:color w:val="auto"/>
                <w:lang w:val="en-US" w:eastAsia="zh-CN"/>
              </w:rPr>
            </w:pPr>
            <w:r>
              <w:rPr>
                <w:rFonts w:hint="eastAsia"/>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1</w:t>
            </w:r>
          </w:p>
        </w:tc>
        <w:tc>
          <w:tcPr>
            <w:tcW w:w="606"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default" w:ascii="Times New Roman" w:hAnsi="Times New Roman" w:eastAsia="宋体"/>
                <w:color w:val="auto"/>
                <w:lang w:val="en-US" w:eastAsia="zh-CN"/>
              </w:rPr>
            </w:pPr>
            <w:r>
              <w:rPr>
                <w:rFonts w:hint="eastAsia"/>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color w:val="auto"/>
                <w:lang w:val="en-US" w:eastAsia="zh-CN"/>
              </w:rPr>
            </w:pPr>
            <w:r>
              <w:rPr>
                <w:rFonts w:hint="eastAsia"/>
                <w:color w:val="auto"/>
                <w:lang w:val="en-US" w:eastAsia="zh-CN"/>
              </w:rPr>
              <w:t>1</w:t>
            </w:r>
          </w:p>
        </w:tc>
      </w:tr>
    </w:tbl>
    <w:p>
      <w:pPr>
        <w:numPr>
          <w:ilvl w:val="0"/>
          <w:numId w:val="0"/>
        </w:numPr>
        <w:spacing w:line="590" w:lineRule="exact"/>
        <w:ind w:right="-105" w:rightChars="-50" w:firstLine="643" w:firstLineChars="200"/>
        <w:rPr>
          <w:rFonts w:hint="eastAsia" w:ascii="方正黑体简体" w:hAnsi="方正黑体简体" w:eastAsia="方正黑体简体" w:cs="方正黑体简体"/>
          <w:color w:val="auto"/>
        </w:rPr>
      </w:pPr>
      <w:r>
        <w:rPr>
          <w:rFonts w:hint="eastAsia" w:ascii="方正黑体简体" w:hAnsi="方正黑体简体" w:eastAsia="方正黑体简体" w:cs="方正黑体简体"/>
          <w:b/>
          <w:color w:val="auto"/>
          <w:sz w:val="32"/>
          <w:szCs w:val="32"/>
          <w:lang w:val="en-US" w:eastAsia="zh-CN"/>
        </w:rPr>
        <w:t>五、存在的主要问题及改进情况</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bCs/>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存在问题：</w:t>
      </w:r>
      <w:r>
        <w:rPr>
          <w:rFonts w:hint="eastAsia" w:ascii="方正仿宋简体" w:hAnsi="方正仿宋简体" w:eastAsia="方正仿宋简体" w:cs="方正仿宋简体"/>
          <w:b/>
          <w:bCs/>
          <w:color w:val="auto"/>
          <w:sz w:val="32"/>
          <w:szCs w:val="32"/>
          <w:lang w:val="en-US" w:eastAsia="zh-CN"/>
        </w:rPr>
        <w:t>一是行政执法领域信息公开规范性、时效性有待加强。二是部分单位政府信息主动公开不及时，信息发布“三审三校”制度落实不到位。三是政务公开场所标准化建设有待提高。</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bCs/>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改进情况：</w:t>
      </w:r>
      <w:r>
        <w:rPr>
          <w:rFonts w:hint="eastAsia" w:ascii="方正仿宋简体" w:hAnsi="方正仿宋简体" w:eastAsia="方正仿宋简体" w:cs="方正仿宋简体"/>
          <w:b/>
          <w:bCs/>
          <w:color w:val="auto"/>
          <w:sz w:val="32"/>
          <w:szCs w:val="32"/>
          <w:lang w:val="en-US" w:eastAsia="zh-CN"/>
        </w:rPr>
        <w:t>一是强化行政执法公示专栏建设，科学优化设置执法栏目，监督执法部门应尽可能公开执法依据、程序、结果等信息，保障公众的知情权。严格按照法律法规规定期限公开有关执法信息。二是严格落实</w:t>
      </w:r>
      <w:r>
        <w:rPr>
          <w:rFonts w:hint="default" w:ascii="方正仿宋简体" w:hAnsi="方正仿宋简体" w:eastAsia="方正仿宋简体" w:cs="方正仿宋简体"/>
          <w:b/>
          <w:bCs/>
          <w:color w:val="auto"/>
          <w:sz w:val="32"/>
          <w:szCs w:val="32"/>
          <w:lang w:val="en-US" w:eastAsia="zh-CN"/>
        </w:rPr>
        <w:t>《</w:t>
      </w:r>
      <w:r>
        <w:rPr>
          <w:rFonts w:hint="eastAsia" w:ascii="方正仿宋简体" w:hAnsi="方正仿宋简体" w:eastAsia="方正仿宋简体" w:cs="方正仿宋简体"/>
          <w:b/>
          <w:bCs/>
          <w:color w:val="auto"/>
          <w:sz w:val="32"/>
          <w:szCs w:val="32"/>
          <w:lang w:val="en-US" w:eastAsia="zh-CN"/>
        </w:rPr>
        <w:t>关于进一步做好全市政府网站和政务新媒体信息审核发布工作的通知</w:t>
      </w:r>
      <w:r>
        <w:rPr>
          <w:rFonts w:hint="default" w:ascii="方正仿宋简体" w:hAnsi="方正仿宋简体" w:eastAsia="方正仿宋简体" w:cs="方正仿宋简体"/>
          <w:b/>
          <w:bCs/>
          <w:color w:val="auto"/>
          <w:sz w:val="32"/>
          <w:szCs w:val="32"/>
          <w:lang w:val="en-US" w:eastAsia="zh-CN"/>
        </w:rPr>
        <w:t>》</w:t>
      </w:r>
      <w:r>
        <w:rPr>
          <w:rFonts w:hint="eastAsia" w:ascii="方正仿宋简体" w:hAnsi="方正仿宋简体" w:eastAsia="方正仿宋简体" w:cs="方正仿宋简体"/>
          <w:b/>
          <w:bCs/>
          <w:color w:val="auto"/>
          <w:sz w:val="32"/>
          <w:szCs w:val="32"/>
          <w:lang w:val="en-US" w:eastAsia="zh-CN"/>
        </w:rPr>
        <w:t>，压实信息发布主体责任，优化流程，确保信息发布准确、及时、高效。三是加强公开场所标准化建设。按照上级有关要求，积极学习外地公开场所建设经验，同时结合泗水实际督促指导县直部门、镇街完善提升政务公开线下体验区标准化建设，切实提升政务公开专区群众知晓率和信息查阅为民便利性。</w:t>
      </w:r>
    </w:p>
    <w:p>
      <w:pPr>
        <w:numPr>
          <w:ilvl w:val="0"/>
          <w:numId w:val="0"/>
        </w:numPr>
        <w:spacing w:line="590" w:lineRule="exact"/>
        <w:ind w:right="-105" w:rightChars="-50" w:firstLine="643" w:firstLineChars="200"/>
        <w:rPr>
          <w:rFonts w:hint="eastAsia" w:ascii="方正黑体简体" w:hAnsi="方正黑体简体" w:eastAsia="方正黑体简体" w:cs="方正黑体简体"/>
          <w:b/>
          <w:color w:val="auto"/>
          <w:sz w:val="32"/>
          <w:szCs w:val="32"/>
          <w:lang w:val="en-US" w:eastAsia="zh-CN"/>
        </w:rPr>
      </w:pPr>
      <w:r>
        <w:rPr>
          <w:rFonts w:hint="eastAsia" w:ascii="方正黑体简体" w:hAnsi="方正黑体简体" w:eastAsia="方正黑体简体" w:cs="方正黑体简体"/>
          <w:b/>
          <w:color w:val="auto"/>
          <w:sz w:val="32"/>
          <w:szCs w:val="32"/>
          <w:lang w:val="en-US" w:eastAsia="zh-CN"/>
        </w:rPr>
        <w:t>六、其他需要报告的事项</w:t>
      </w:r>
    </w:p>
    <w:p>
      <w:pPr>
        <w:numPr>
          <w:ilvl w:val="0"/>
          <w:numId w:val="0"/>
        </w:numPr>
        <w:spacing w:line="590" w:lineRule="exact"/>
        <w:ind w:right="-105" w:rightChars="-50" w:firstLine="643" w:firstLineChars="200"/>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（一）依据《政府信息公开信息处理费管理办法》收取信息处理费</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202</w:t>
      </w:r>
      <w:r>
        <w:rPr>
          <w:rFonts w:hint="eastAsia" w:eastAsia="方正仿宋简体" w:cs="Times New Roman"/>
          <w:b/>
          <w:color w:val="auto"/>
          <w:sz w:val="32"/>
          <w:szCs w:val="32"/>
          <w:lang w:val="en-US" w:eastAsia="zh-CN"/>
        </w:rPr>
        <w:t>5</w:t>
      </w:r>
      <w:r>
        <w:rPr>
          <w:rFonts w:hint="eastAsia" w:ascii="方正仿宋简体" w:hAnsi="方正仿宋简体" w:eastAsia="方正仿宋简体" w:cs="方正仿宋简体"/>
          <w:b/>
          <w:color w:val="auto"/>
          <w:sz w:val="32"/>
          <w:szCs w:val="32"/>
          <w:lang w:val="en-US" w:eastAsia="zh-CN"/>
        </w:rPr>
        <w:t>年，济宁市泗水县人民政府及各级各部门严格落实《国务院办公厅关于印发&lt;政府信息公开信息处理费管理办法&gt;的通知》（国办函</w:t>
      </w:r>
      <w:r>
        <w:rPr>
          <w:rFonts w:hint="default" w:ascii="Times New Roman" w:hAnsi="Times New Roman" w:eastAsia="方正仿宋简体" w:cs="Times New Roman"/>
          <w:b/>
          <w:color w:val="auto"/>
          <w:sz w:val="32"/>
          <w:szCs w:val="32"/>
          <w:lang w:val="en-US" w:eastAsia="zh-CN"/>
        </w:rPr>
        <w:t>〔2020〕109</w:t>
      </w:r>
      <w:r>
        <w:rPr>
          <w:rFonts w:hint="eastAsia" w:ascii="方正仿宋简体" w:hAnsi="方正仿宋简体" w:eastAsia="方正仿宋简体" w:cs="方正仿宋简体"/>
          <w:b/>
          <w:color w:val="auto"/>
          <w:sz w:val="32"/>
          <w:szCs w:val="32"/>
          <w:lang w:val="en-US" w:eastAsia="zh-CN"/>
        </w:rPr>
        <w:t>号）和《山东省人民政府办公厅关于做好政府信息公开信息处理费管理工作有关事项的通知》（鲁政办字</w:t>
      </w:r>
      <w:r>
        <w:rPr>
          <w:rFonts w:hint="default" w:ascii="Times New Roman" w:hAnsi="Times New Roman" w:eastAsia="方正仿宋简体" w:cs="Times New Roman"/>
          <w:b/>
          <w:color w:val="auto"/>
          <w:sz w:val="32"/>
          <w:szCs w:val="32"/>
          <w:lang w:val="en-US" w:eastAsia="zh-CN"/>
        </w:rPr>
        <w:t>〔2020〕179</w:t>
      </w:r>
      <w:r>
        <w:rPr>
          <w:rFonts w:hint="eastAsia" w:ascii="方正仿宋简体" w:hAnsi="方正仿宋简体" w:eastAsia="方正仿宋简体" w:cs="方正仿宋简体"/>
          <w:b/>
          <w:color w:val="auto"/>
          <w:sz w:val="32"/>
          <w:szCs w:val="32"/>
          <w:lang w:val="en-US" w:eastAsia="zh-CN"/>
        </w:rPr>
        <w:t>号）规定，未向申请人收取任何费用。</w:t>
      </w:r>
    </w:p>
    <w:p>
      <w:pPr>
        <w:numPr>
          <w:ilvl w:val="0"/>
          <w:numId w:val="0"/>
        </w:numPr>
        <w:spacing w:line="590" w:lineRule="exact"/>
        <w:ind w:right="-105" w:rightChars="-50" w:firstLine="643" w:firstLineChars="200"/>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（二）落实上级年度政务公开工作要点</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根据国务院、省、市政务公开工作要点要求，泗水县印发《贯彻落实2025年</w:t>
      </w:r>
      <w:r>
        <w:rPr>
          <w:rFonts w:hint="eastAsia" w:ascii="方正仿宋简体" w:hAnsi="方正仿宋简体" w:eastAsia="方正仿宋简体" w:cs="方正仿宋简体"/>
          <w:b/>
          <w:color w:val="auto"/>
          <w:sz w:val="32"/>
        </w:rPr>
        <w:t>山东省政务公开</w:t>
      </w:r>
      <w:r>
        <w:rPr>
          <w:rFonts w:hint="eastAsia" w:ascii="方正仿宋简体" w:hAnsi="方正仿宋简体" w:eastAsia="方正仿宋简体" w:cs="方正仿宋简体"/>
          <w:b/>
          <w:color w:val="auto"/>
          <w:sz w:val="32"/>
          <w:lang w:val="en-US" w:eastAsia="zh-CN"/>
        </w:rPr>
        <w:t>效能监测实施方案</w:t>
      </w:r>
      <w:r>
        <w:rPr>
          <w:rFonts w:hint="eastAsia" w:ascii="方正仿宋简体" w:hAnsi="方正仿宋简体" w:eastAsia="方正仿宋简体" w:cs="方正仿宋简体"/>
          <w:b/>
          <w:color w:val="auto"/>
          <w:sz w:val="32"/>
          <w:szCs w:val="32"/>
          <w:lang w:val="en-US" w:eastAsia="zh-CN"/>
        </w:rPr>
        <w:t>》，各级各部门围绕法定主动公开内容、公共企事业单位、政策解读及其他信息，及时准确公开到位。</w:t>
      </w:r>
    </w:p>
    <w:p>
      <w:pPr>
        <w:numPr>
          <w:ilvl w:val="0"/>
          <w:numId w:val="0"/>
        </w:numPr>
        <w:spacing w:line="590" w:lineRule="exact"/>
        <w:ind w:right="-105" w:rightChars="-50" w:firstLine="643" w:firstLineChars="200"/>
        <w:rPr>
          <w:rFonts w:hint="eastAsia" w:ascii="仿宋" w:hAnsi="仿宋" w:eastAsia="仿宋" w:cs="仿宋"/>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（三）人大代表建议和政协提案办理结果公开</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color w:val="auto"/>
          <w:sz w:val="32"/>
          <w:lang w:val="en-US" w:eastAsia="zh-CN"/>
        </w:rPr>
      </w:pPr>
      <w:r>
        <w:rPr>
          <w:rFonts w:hint="default" w:ascii="方正仿宋简体" w:hAnsi="方正仿宋简体" w:eastAsia="方正仿宋简体" w:cs="方正仿宋简体"/>
          <w:b/>
          <w:color w:val="auto"/>
          <w:sz w:val="32"/>
          <w:lang w:val="en-US" w:eastAsia="zh-CN"/>
        </w:rPr>
        <w:t>202</w:t>
      </w:r>
      <w:r>
        <w:rPr>
          <w:rFonts w:hint="eastAsia" w:ascii="方正仿宋简体" w:hAnsi="方正仿宋简体" w:eastAsia="方正仿宋简体" w:cs="方正仿宋简体"/>
          <w:b/>
          <w:color w:val="auto"/>
          <w:sz w:val="32"/>
          <w:lang w:val="en-US" w:eastAsia="zh-CN"/>
        </w:rPr>
        <w:t>5年，济宁市泗水县人民政府在县十九届人大四次会议期间，共收到议案14件、建议102件。在县人大常委会及其工作机构的监督指导和广大代表的关心支持下，经过县政府及各承办部门的共同努力，代表所提建议已于10月底前全部办复，实现了答复率与满意率“两个100%”的目标。其中，由县党政领导领办的10件重点建议，作为推动建议落实、发挥代表作用的关键抓手，得到了各承办单位的高度重视。</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color w:val="auto"/>
          <w:sz w:val="32"/>
          <w:lang w:val="en-US" w:eastAsia="zh-CN"/>
        </w:rPr>
      </w:pPr>
      <w:r>
        <w:rPr>
          <w:rFonts w:hint="default" w:ascii="方正仿宋简体" w:hAnsi="方正仿宋简体" w:eastAsia="方正仿宋简体" w:cs="方正仿宋简体"/>
          <w:b/>
          <w:color w:val="auto"/>
          <w:sz w:val="32"/>
          <w:lang w:val="en-US" w:eastAsia="zh-CN"/>
        </w:rPr>
        <w:t>202</w:t>
      </w:r>
      <w:r>
        <w:rPr>
          <w:rFonts w:hint="eastAsia" w:ascii="方正仿宋简体" w:hAnsi="方正仿宋简体" w:eastAsia="方正仿宋简体" w:cs="方正仿宋简体"/>
          <w:b/>
          <w:color w:val="auto"/>
          <w:sz w:val="32"/>
          <w:lang w:val="en-US" w:eastAsia="zh-CN"/>
        </w:rPr>
        <w:t>5年，济宁市泗水县人民政府在县政协十届四次会议期间，共收到提案74件。政协委员所提提案，共涉及29个承办单位，经过各承办单位共同努力，所有提案于9月底全部答复各位委员，答复率</w:t>
      </w:r>
      <w:r>
        <w:rPr>
          <w:rFonts w:hint="default" w:ascii="方正仿宋简体" w:hAnsi="方正仿宋简体" w:eastAsia="方正仿宋简体" w:cs="方正仿宋简体"/>
          <w:b/>
          <w:color w:val="auto"/>
          <w:sz w:val="32"/>
          <w:lang w:val="en-US" w:eastAsia="zh-CN"/>
        </w:rPr>
        <w:t>100%</w:t>
      </w:r>
      <w:r>
        <w:rPr>
          <w:rFonts w:hint="eastAsia" w:ascii="方正仿宋简体" w:hAnsi="方正仿宋简体" w:eastAsia="方正仿宋简体" w:cs="方正仿宋简体"/>
          <w:b/>
          <w:color w:val="auto"/>
          <w:sz w:val="32"/>
          <w:lang w:val="en-US" w:eastAsia="zh-CN"/>
        </w:rPr>
        <w:t>，满意率</w:t>
      </w:r>
      <w:r>
        <w:rPr>
          <w:rFonts w:hint="default" w:ascii="方正仿宋简体" w:hAnsi="方正仿宋简体" w:eastAsia="方正仿宋简体" w:cs="方正仿宋简体"/>
          <w:b/>
          <w:color w:val="auto"/>
          <w:sz w:val="32"/>
          <w:lang w:val="en-US" w:eastAsia="zh-CN"/>
        </w:rPr>
        <w:t>100%</w:t>
      </w:r>
      <w:r>
        <w:rPr>
          <w:rFonts w:hint="eastAsia" w:ascii="方正仿宋简体" w:hAnsi="方正仿宋简体" w:eastAsia="方正仿宋简体" w:cs="方正仿宋简体"/>
          <w:b/>
          <w:color w:val="auto"/>
          <w:sz w:val="32"/>
          <w:lang w:val="en-US" w:eastAsia="zh-CN"/>
        </w:rPr>
        <w:t>。</w:t>
      </w:r>
    </w:p>
    <w:p>
      <w:pPr>
        <w:numPr>
          <w:ilvl w:val="0"/>
          <w:numId w:val="1"/>
        </w:numPr>
        <w:spacing w:line="590" w:lineRule="exact"/>
        <w:ind w:right="-105" w:rightChars="-50" w:firstLine="643" w:firstLineChars="200"/>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年度政务公开工作创新</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color w:val="auto"/>
          <w:sz w:val="32"/>
          <w:lang w:val="en-US" w:eastAsia="zh-CN"/>
        </w:rPr>
      </w:pPr>
      <w:r>
        <w:rPr>
          <w:rFonts w:hint="default" w:ascii="方正仿宋简体" w:hAnsi="方正仿宋简体" w:eastAsia="方正仿宋简体" w:cs="方正仿宋简体"/>
          <w:b/>
          <w:color w:val="auto"/>
          <w:sz w:val="32"/>
          <w:lang w:val="en-US" w:eastAsia="zh-CN"/>
        </w:rPr>
        <w:t>积极探索重大行政决策全过程公开</w:t>
      </w:r>
      <w:r>
        <w:rPr>
          <w:rFonts w:hint="eastAsia" w:ascii="方正仿宋简体" w:hAnsi="方正仿宋简体" w:eastAsia="方正仿宋简体" w:cs="方正仿宋简体"/>
          <w:b/>
          <w:color w:val="auto"/>
          <w:sz w:val="32"/>
          <w:lang w:val="en-US" w:eastAsia="zh-CN"/>
        </w:rPr>
        <w:t>工作</w:t>
      </w:r>
      <w:r>
        <w:rPr>
          <w:rFonts w:hint="default" w:ascii="方正仿宋简体" w:hAnsi="方正仿宋简体" w:eastAsia="方正仿宋简体" w:cs="方正仿宋简体"/>
          <w:b/>
          <w:color w:val="auto"/>
          <w:sz w:val="32"/>
          <w:lang w:val="en-US" w:eastAsia="zh-CN"/>
        </w:rPr>
        <w:t>，进一步提升重大行政决策公开科学化、规范化水平。</w:t>
      </w:r>
      <w:r>
        <w:rPr>
          <w:rFonts w:hint="eastAsia" w:ascii="方正仿宋简体" w:hAnsi="方正仿宋简体" w:eastAsia="方正仿宋简体" w:cs="方正仿宋简体"/>
          <w:b/>
          <w:color w:val="auto"/>
          <w:sz w:val="32"/>
          <w:lang w:val="en-US" w:eastAsia="zh-CN"/>
        </w:rPr>
        <w:t>一是细化重大行政决策目录编制、意见征集、请示报告等流程，要求各级各部门每年3月份上报由县政府统一公开重大行政决策目录清单。二是加强各部门公开衔接，司法行政部门统筹，做好重大行政决策公开的准备工作，强化与发展改革、财政、自然资源等重点部门横向联动，做好重大行政决策与社会风险评估、重大前期项目、“三重一大”事项等工作的衔接。</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（五）本行政机关政府信息公开工作年度报告数据统计需要说明的事项：本年度报告中所列数据统计期限从</w:t>
      </w:r>
      <w:r>
        <w:rPr>
          <w:rFonts w:hint="default" w:ascii="Times New Roman" w:hAnsi="Times New Roman" w:eastAsia="方正仿宋简体" w:cs="Times New Roman"/>
          <w:b/>
          <w:bCs/>
          <w:color w:val="auto"/>
          <w:sz w:val="32"/>
          <w:szCs w:val="32"/>
          <w:lang w:val="en-US" w:eastAsia="zh-CN"/>
        </w:rPr>
        <w:t>202</w:t>
      </w:r>
      <w:r>
        <w:rPr>
          <w:rFonts w:hint="eastAsia" w:eastAsia="方正仿宋简体" w:cs="Times New Roman"/>
          <w:b/>
          <w:bCs/>
          <w:color w:val="auto"/>
          <w:sz w:val="32"/>
          <w:szCs w:val="32"/>
          <w:lang w:val="en-US" w:eastAsia="zh-CN"/>
        </w:rPr>
        <w:t>5</w:t>
      </w:r>
      <w:r>
        <w:rPr>
          <w:rFonts w:hint="eastAsia" w:ascii="方正仿宋简体" w:hAnsi="方正仿宋简体" w:eastAsia="方正仿宋简体" w:cs="方正仿宋简体"/>
          <w:b/>
          <w:bCs/>
          <w:color w:val="auto"/>
          <w:sz w:val="32"/>
          <w:szCs w:val="32"/>
          <w:lang w:val="en-US" w:eastAsia="zh-CN"/>
        </w:rPr>
        <w:t>年</w:t>
      </w:r>
      <w:r>
        <w:rPr>
          <w:rFonts w:hint="default" w:ascii="Times New Roman" w:hAnsi="Times New Roman" w:eastAsia="方正仿宋简体" w:cs="Times New Roman"/>
          <w:b/>
          <w:bCs/>
          <w:color w:val="auto"/>
          <w:sz w:val="32"/>
          <w:szCs w:val="32"/>
          <w:lang w:val="en-US" w:eastAsia="zh-CN"/>
        </w:rPr>
        <w:t>1</w:t>
      </w:r>
      <w:r>
        <w:rPr>
          <w:rFonts w:hint="eastAsia" w:ascii="方正仿宋简体" w:hAnsi="方正仿宋简体" w:eastAsia="方正仿宋简体" w:cs="方正仿宋简体"/>
          <w:b/>
          <w:bCs/>
          <w:color w:val="auto"/>
          <w:sz w:val="32"/>
          <w:szCs w:val="32"/>
          <w:lang w:val="en-US" w:eastAsia="zh-CN"/>
        </w:rPr>
        <w:t>月</w:t>
      </w:r>
      <w:r>
        <w:rPr>
          <w:rFonts w:hint="default" w:ascii="Times New Roman" w:hAnsi="Times New Roman" w:eastAsia="方正仿宋简体" w:cs="Times New Roman"/>
          <w:b/>
          <w:bCs/>
          <w:color w:val="auto"/>
          <w:sz w:val="32"/>
          <w:szCs w:val="32"/>
          <w:lang w:val="en-US" w:eastAsia="zh-CN"/>
        </w:rPr>
        <w:t>1</w:t>
      </w:r>
      <w:r>
        <w:rPr>
          <w:rFonts w:hint="eastAsia" w:ascii="方正仿宋简体" w:hAnsi="方正仿宋简体" w:eastAsia="方正仿宋简体" w:cs="方正仿宋简体"/>
          <w:b/>
          <w:bCs/>
          <w:color w:val="auto"/>
          <w:sz w:val="32"/>
          <w:szCs w:val="32"/>
          <w:lang w:val="en-US" w:eastAsia="zh-CN"/>
        </w:rPr>
        <w:t>日到</w:t>
      </w:r>
      <w:r>
        <w:rPr>
          <w:rFonts w:hint="default" w:ascii="Times New Roman" w:hAnsi="Times New Roman" w:eastAsia="方正仿宋简体" w:cs="Times New Roman"/>
          <w:b/>
          <w:bCs/>
          <w:color w:val="auto"/>
          <w:sz w:val="32"/>
          <w:szCs w:val="32"/>
          <w:lang w:val="en-US" w:eastAsia="zh-CN"/>
        </w:rPr>
        <w:t>12</w:t>
      </w:r>
      <w:r>
        <w:rPr>
          <w:rFonts w:hint="eastAsia" w:ascii="方正仿宋简体" w:hAnsi="方正仿宋简体" w:eastAsia="方正仿宋简体" w:cs="方正仿宋简体"/>
          <w:b/>
          <w:bCs/>
          <w:color w:val="auto"/>
          <w:sz w:val="32"/>
          <w:szCs w:val="32"/>
          <w:lang w:val="en-US" w:eastAsia="zh-CN"/>
        </w:rPr>
        <w:t>月</w:t>
      </w:r>
      <w:r>
        <w:rPr>
          <w:rFonts w:hint="default" w:ascii="Times New Roman" w:hAnsi="Times New Roman" w:eastAsia="方正仿宋简体" w:cs="Times New Roman"/>
          <w:b/>
          <w:bCs/>
          <w:color w:val="auto"/>
          <w:sz w:val="32"/>
          <w:szCs w:val="32"/>
          <w:lang w:val="en-US" w:eastAsia="zh-CN"/>
        </w:rPr>
        <w:t>31</w:t>
      </w:r>
      <w:r>
        <w:rPr>
          <w:rFonts w:hint="eastAsia" w:ascii="方正仿宋简体" w:hAnsi="方正仿宋简体" w:eastAsia="方正仿宋简体" w:cs="方正仿宋简体"/>
          <w:b/>
          <w:bCs/>
          <w:color w:val="auto"/>
          <w:sz w:val="32"/>
          <w:szCs w:val="32"/>
          <w:lang w:val="en-US" w:eastAsia="zh-CN"/>
        </w:rPr>
        <w:t>日止。</w:t>
      </w:r>
    </w:p>
    <w:p>
      <w:pPr>
        <w:numPr>
          <w:ilvl w:val="0"/>
          <w:numId w:val="0"/>
        </w:numPr>
        <w:spacing w:line="590" w:lineRule="exact"/>
        <w:ind w:right="-105" w:rightChars="-50" w:firstLine="643" w:firstLineChars="200"/>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（六）本行政机关认为需要报告的其他事项：无。</w:t>
      </w:r>
    </w:p>
    <w:p>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AD8D99-7EA7-46D5-8BC5-8FFDC7E5F9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3F00AF9B-6251-4941-9555-58A34E848AFA}"/>
  </w:font>
  <w:font w:name="方正小标宋简体">
    <w:panose1 w:val="03000509000000000000"/>
    <w:charset w:val="86"/>
    <w:family w:val="auto"/>
    <w:pitch w:val="default"/>
    <w:sig w:usb0="00000001" w:usb1="080E0000" w:usb2="00000000" w:usb3="00000000" w:csb0="00040000" w:csb1="00000000"/>
    <w:embedRegular r:id="rId3" w:fontKey="{9D51DE78-A003-4F37-B150-995CB1BADCB3}"/>
  </w:font>
  <w:font w:name="方正仿宋简体">
    <w:panose1 w:val="02010601030101010101"/>
    <w:charset w:val="86"/>
    <w:family w:val="auto"/>
    <w:pitch w:val="default"/>
    <w:sig w:usb0="00000001" w:usb1="080E0000" w:usb2="00000000" w:usb3="00000000" w:csb0="00040000" w:csb1="00000000"/>
    <w:embedRegular r:id="rId4" w:fontKey="{C4C1948A-4F7B-4289-9731-7D454548ED53}"/>
  </w:font>
  <w:font w:name="仿宋">
    <w:panose1 w:val="02010609060101010101"/>
    <w:charset w:val="86"/>
    <w:family w:val="auto"/>
    <w:pitch w:val="default"/>
    <w:sig w:usb0="800002BF" w:usb1="38CF7CFA" w:usb2="00000016" w:usb3="00000000" w:csb0="00040001" w:csb1="00000000"/>
    <w:embedRegular r:id="rId5" w:fontKey="{3E446ABA-107D-4367-97AF-E4A14B64FFFB}"/>
  </w:font>
  <w:font w:name="方正黑体简体">
    <w:panose1 w:val="03000509000000000000"/>
    <w:charset w:val="86"/>
    <w:family w:val="auto"/>
    <w:pitch w:val="default"/>
    <w:sig w:usb0="00000001" w:usb1="080E0000" w:usb2="00000000" w:usb3="00000000" w:csb0="00040000" w:csb1="00000000"/>
    <w:embedRegular r:id="rId6" w:fontKey="{328B0F3B-1632-4D25-8E37-4C2626939FD7}"/>
  </w:font>
  <w:font w:name="方正楷体简体">
    <w:panose1 w:val="02010601030101010101"/>
    <w:charset w:val="86"/>
    <w:family w:val="auto"/>
    <w:pitch w:val="default"/>
    <w:sig w:usb0="00000001" w:usb1="080E0000" w:usb2="00000000" w:usb3="00000000" w:csb0="00040000" w:csb1="00000000"/>
    <w:embedRegular r:id="rId7" w:fontKey="{A7F94751-38E3-44A8-BF88-AAF66697AF58}"/>
  </w:font>
  <w:font w:name="仿宋_GB2312">
    <w:panose1 w:val="02010609030101010101"/>
    <w:charset w:val="86"/>
    <w:family w:val="modern"/>
    <w:pitch w:val="default"/>
    <w:sig w:usb0="00000000" w:usb1="00000000" w:usb2="00000000" w:usb3="00000000" w:csb0="00000000" w:csb1="00000000"/>
    <w:embedRegular r:id="rId8" w:fontKey="{7A423ECC-8959-4D57-BABA-AF5E4CB2CDA9}"/>
  </w:font>
  <w:font w:name="楷体_GB2312">
    <w:panose1 w:val="02010609030101010101"/>
    <w:charset w:val="86"/>
    <w:family w:val="modern"/>
    <w:pitch w:val="default"/>
    <w:sig w:usb0="00000000" w:usb1="00000000" w:usb2="00000000" w:usb3="00000000" w:csb0="00000000" w:csb1="00000000"/>
    <w:embedRegular r:id="rId9" w:fontKey="{B0C83492-14F3-4935-A0F4-0BD3C6522F15}"/>
  </w:font>
  <w:font w:name="楷体">
    <w:panose1 w:val="02010609060101010101"/>
    <w:charset w:val="86"/>
    <w:family w:val="modern"/>
    <w:pitch w:val="default"/>
    <w:sig w:usb0="800002BF" w:usb1="38CF7CFA" w:usb2="00000016" w:usb3="00000000" w:csb0="00040001" w:csb1="00000000"/>
    <w:embedRegular r:id="rId10" w:fontKey="{302C3804-3CCB-4421-A3CB-BAB8DB1673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1DEA1"/>
    <w:multiLevelType w:val="singleLevel"/>
    <w:tmpl w:val="2F11DEA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MDEyMjk1ZTA5Yzg0NzliOGJjYTRiNTMxOTBmMzQifQ=="/>
  </w:docVars>
  <w:rsids>
    <w:rsidRoot w:val="00000000"/>
    <w:rsid w:val="00036016"/>
    <w:rsid w:val="000E72D6"/>
    <w:rsid w:val="0019455F"/>
    <w:rsid w:val="002E6D39"/>
    <w:rsid w:val="005211FB"/>
    <w:rsid w:val="009A5857"/>
    <w:rsid w:val="00B951D9"/>
    <w:rsid w:val="01135C0A"/>
    <w:rsid w:val="015659CC"/>
    <w:rsid w:val="015720A0"/>
    <w:rsid w:val="017B18CE"/>
    <w:rsid w:val="019D589D"/>
    <w:rsid w:val="01A81E7B"/>
    <w:rsid w:val="01B746BF"/>
    <w:rsid w:val="01DA23AF"/>
    <w:rsid w:val="01E7687A"/>
    <w:rsid w:val="01FA47FF"/>
    <w:rsid w:val="02460AF6"/>
    <w:rsid w:val="029B7F76"/>
    <w:rsid w:val="031C66A6"/>
    <w:rsid w:val="035937A7"/>
    <w:rsid w:val="035A4719"/>
    <w:rsid w:val="036B1176"/>
    <w:rsid w:val="03724869"/>
    <w:rsid w:val="03740E5E"/>
    <w:rsid w:val="03BB23AE"/>
    <w:rsid w:val="03C14924"/>
    <w:rsid w:val="041A2F36"/>
    <w:rsid w:val="042A0CA0"/>
    <w:rsid w:val="0430275A"/>
    <w:rsid w:val="045A3333"/>
    <w:rsid w:val="04EA6B1C"/>
    <w:rsid w:val="052F6AFF"/>
    <w:rsid w:val="05745675"/>
    <w:rsid w:val="0587383A"/>
    <w:rsid w:val="05D80EA0"/>
    <w:rsid w:val="0602610F"/>
    <w:rsid w:val="0620235A"/>
    <w:rsid w:val="062C07A4"/>
    <w:rsid w:val="06F07F7E"/>
    <w:rsid w:val="07155C37"/>
    <w:rsid w:val="071E2B76"/>
    <w:rsid w:val="072408B5"/>
    <w:rsid w:val="07725B75"/>
    <w:rsid w:val="07837045"/>
    <w:rsid w:val="07AD40C1"/>
    <w:rsid w:val="0801450D"/>
    <w:rsid w:val="083502D3"/>
    <w:rsid w:val="087571AE"/>
    <w:rsid w:val="08915791"/>
    <w:rsid w:val="08D7160A"/>
    <w:rsid w:val="09163151"/>
    <w:rsid w:val="091E5277"/>
    <w:rsid w:val="09586145"/>
    <w:rsid w:val="095C7B4D"/>
    <w:rsid w:val="095D7750"/>
    <w:rsid w:val="09AB2883"/>
    <w:rsid w:val="09D43B2F"/>
    <w:rsid w:val="09D76E52"/>
    <w:rsid w:val="0A03621B"/>
    <w:rsid w:val="0A4F1460"/>
    <w:rsid w:val="0A6749FB"/>
    <w:rsid w:val="0A690774"/>
    <w:rsid w:val="0A86042B"/>
    <w:rsid w:val="0A960E3D"/>
    <w:rsid w:val="0AD303C0"/>
    <w:rsid w:val="0B1701D0"/>
    <w:rsid w:val="0B3F4447"/>
    <w:rsid w:val="0B534F80"/>
    <w:rsid w:val="0B5807E8"/>
    <w:rsid w:val="0B6C3A88"/>
    <w:rsid w:val="0C0C7A0F"/>
    <w:rsid w:val="0C7D42D8"/>
    <w:rsid w:val="0C8E1049"/>
    <w:rsid w:val="0CAB647F"/>
    <w:rsid w:val="0CE340E1"/>
    <w:rsid w:val="0D076022"/>
    <w:rsid w:val="0D4813EF"/>
    <w:rsid w:val="0D725B91"/>
    <w:rsid w:val="0D9773A6"/>
    <w:rsid w:val="0DCD1DCD"/>
    <w:rsid w:val="0DD24882"/>
    <w:rsid w:val="0DF97CA6"/>
    <w:rsid w:val="0E980A71"/>
    <w:rsid w:val="0EA37FCC"/>
    <w:rsid w:val="0ECC18E9"/>
    <w:rsid w:val="0EEA5BFB"/>
    <w:rsid w:val="0F377CEA"/>
    <w:rsid w:val="0F692635"/>
    <w:rsid w:val="0FB54872"/>
    <w:rsid w:val="0FD06E18"/>
    <w:rsid w:val="0FD12583"/>
    <w:rsid w:val="0FEB1C2B"/>
    <w:rsid w:val="10036F74"/>
    <w:rsid w:val="100A034B"/>
    <w:rsid w:val="103C7238"/>
    <w:rsid w:val="105B7B98"/>
    <w:rsid w:val="10861954"/>
    <w:rsid w:val="10B85EE0"/>
    <w:rsid w:val="111B3762"/>
    <w:rsid w:val="113E1E7D"/>
    <w:rsid w:val="114B136B"/>
    <w:rsid w:val="1198193E"/>
    <w:rsid w:val="11B720BA"/>
    <w:rsid w:val="12063A8B"/>
    <w:rsid w:val="12192A7F"/>
    <w:rsid w:val="12755F3D"/>
    <w:rsid w:val="13336D26"/>
    <w:rsid w:val="134D315D"/>
    <w:rsid w:val="13623FB2"/>
    <w:rsid w:val="13660293"/>
    <w:rsid w:val="13770267"/>
    <w:rsid w:val="137B3BEF"/>
    <w:rsid w:val="13B54ED0"/>
    <w:rsid w:val="13B62550"/>
    <w:rsid w:val="13DF4B44"/>
    <w:rsid w:val="14122C6F"/>
    <w:rsid w:val="142474B9"/>
    <w:rsid w:val="14455098"/>
    <w:rsid w:val="14861F22"/>
    <w:rsid w:val="14E10B1C"/>
    <w:rsid w:val="15A0754E"/>
    <w:rsid w:val="16331C36"/>
    <w:rsid w:val="16784D9F"/>
    <w:rsid w:val="16C36C2C"/>
    <w:rsid w:val="16DC051F"/>
    <w:rsid w:val="16E37B9E"/>
    <w:rsid w:val="17152B12"/>
    <w:rsid w:val="171611F2"/>
    <w:rsid w:val="175B0784"/>
    <w:rsid w:val="177B4A14"/>
    <w:rsid w:val="17A435E2"/>
    <w:rsid w:val="17B13023"/>
    <w:rsid w:val="17DB2585"/>
    <w:rsid w:val="18691D09"/>
    <w:rsid w:val="18734A8C"/>
    <w:rsid w:val="18B4270C"/>
    <w:rsid w:val="190D2C12"/>
    <w:rsid w:val="19145D4E"/>
    <w:rsid w:val="19151463"/>
    <w:rsid w:val="19805192"/>
    <w:rsid w:val="19885571"/>
    <w:rsid w:val="19CB3233"/>
    <w:rsid w:val="1A0B22C3"/>
    <w:rsid w:val="1ADA4D76"/>
    <w:rsid w:val="1B485D50"/>
    <w:rsid w:val="1C127735"/>
    <w:rsid w:val="1C27223D"/>
    <w:rsid w:val="1C404828"/>
    <w:rsid w:val="1C4352E0"/>
    <w:rsid w:val="1CC47DA2"/>
    <w:rsid w:val="1D1D3072"/>
    <w:rsid w:val="1D440BCC"/>
    <w:rsid w:val="1D8449D5"/>
    <w:rsid w:val="1DB70337"/>
    <w:rsid w:val="1DBE6E41"/>
    <w:rsid w:val="1DD0420E"/>
    <w:rsid w:val="1DFE6FCD"/>
    <w:rsid w:val="1E4A2212"/>
    <w:rsid w:val="1E930166"/>
    <w:rsid w:val="1EBA1A91"/>
    <w:rsid w:val="1ED93E65"/>
    <w:rsid w:val="1EDF0BAD"/>
    <w:rsid w:val="1F3A79D5"/>
    <w:rsid w:val="2080016D"/>
    <w:rsid w:val="20D31034"/>
    <w:rsid w:val="20D81D57"/>
    <w:rsid w:val="2121790B"/>
    <w:rsid w:val="21244F9D"/>
    <w:rsid w:val="2134627A"/>
    <w:rsid w:val="21423675"/>
    <w:rsid w:val="216C4DCB"/>
    <w:rsid w:val="21A36F2A"/>
    <w:rsid w:val="21A47C78"/>
    <w:rsid w:val="221072CF"/>
    <w:rsid w:val="222A0391"/>
    <w:rsid w:val="22C75BE0"/>
    <w:rsid w:val="231425D0"/>
    <w:rsid w:val="23256DAA"/>
    <w:rsid w:val="232F6C87"/>
    <w:rsid w:val="23BA5744"/>
    <w:rsid w:val="23C80E25"/>
    <w:rsid w:val="23C87E61"/>
    <w:rsid w:val="24055675"/>
    <w:rsid w:val="241450AA"/>
    <w:rsid w:val="24AD7057"/>
    <w:rsid w:val="25695674"/>
    <w:rsid w:val="25701D7D"/>
    <w:rsid w:val="25BF5294"/>
    <w:rsid w:val="26061B47"/>
    <w:rsid w:val="2613738E"/>
    <w:rsid w:val="261E1169"/>
    <w:rsid w:val="26260D1B"/>
    <w:rsid w:val="262D2D67"/>
    <w:rsid w:val="268B0052"/>
    <w:rsid w:val="268F2CBC"/>
    <w:rsid w:val="26B24DF9"/>
    <w:rsid w:val="26C226EB"/>
    <w:rsid w:val="26E94737"/>
    <w:rsid w:val="26F40D40"/>
    <w:rsid w:val="27AD34DD"/>
    <w:rsid w:val="27C70430"/>
    <w:rsid w:val="281E6567"/>
    <w:rsid w:val="283F26BC"/>
    <w:rsid w:val="2875067A"/>
    <w:rsid w:val="288F719F"/>
    <w:rsid w:val="28E81C9C"/>
    <w:rsid w:val="294D49FB"/>
    <w:rsid w:val="2953641F"/>
    <w:rsid w:val="295B52D4"/>
    <w:rsid w:val="29FD4EFC"/>
    <w:rsid w:val="2A1E67E4"/>
    <w:rsid w:val="2A3B5E0C"/>
    <w:rsid w:val="2A41096D"/>
    <w:rsid w:val="2B637D26"/>
    <w:rsid w:val="2B794137"/>
    <w:rsid w:val="2BD63337"/>
    <w:rsid w:val="2BE47802"/>
    <w:rsid w:val="2BE611F0"/>
    <w:rsid w:val="2C577567"/>
    <w:rsid w:val="2C7F535E"/>
    <w:rsid w:val="2C8A7733"/>
    <w:rsid w:val="2C9A25B7"/>
    <w:rsid w:val="2CA86A82"/>
    <w:rsid w:val="2CB05936"/>
    <w:rsid w:val="2CFA4E04"/>
    <w:rsid w:val="2CFF7BA7"/>
    <w:rsid w:val="2D380CE8"/>
    <w:rsid w:val="2E310CF9"/>
    <w:rsid w:val="2E412C9A"/>
    <w:rsid w:val="2E772BB0"/>
    <w:rsid w:val="2E845808"/>
    <w:rsid w:val="2EB77450"/>
    <w:rsid w:val="2ED00512"/>
    <w:rsid w:val="303C5AC3"/>
    <w:rsid w:val="309A0DD7"/>
    <w:rsid w:val="30DC16A1"/>
    <w:rsid w:val="30DC612D"/>
    <w:rsid w:val="312E32CE"/>
    <w:rsid w:val="31344D88"/>
    <w:rsid w:val="31466869"/>
    <w:rsid w:val="31C216A8"/>
    <w:rsid w:val="31C75BFC"/>
    <w:rsid w:val="320B7BFA"/>
    <w:rsid w:val="321C7082"/>
    <w:rsid w:val="322A618B"/>
    <w:rsid w:val="323463EA"/>
    <w:rsid w:val="32785F22"/>
    <w:rsid w:val="33BC72B7"/>
    <w:rsid w:val="3421711A"/>
    <w:rsid w:val="34711E4F"/>
    <w:rsid w:val="34766BF9"/>
    <w:rsid w:val="3478656B"/>
    <w:rsid w:val="34B561E0"/>
    <w:rsid w:val="34FC0BDF"/>
    <w:rsid w:val="35A65B28"/>
    <w:rsid w:val="35A95619"/>
    <w:rsid w:val="3647730B"/>
    <w:rsid w:val="376D2DA2"/>
    <w:rsid w:val="37B20199"/>
    <w:rsid w:val="37CC2CBF"/>
    <w:rsid w:val="380148E6"/>
    <w:rsid w:val="380341AD"/>
    <w:rsid w:val="38716A4B"/>
    <w:rsid w:val="38C72F18"/>
    <w:rsid w:val="38CC3A47"/>
    <w:rsid w:val="39237490"/>
    <w:rsid w:val="3956197D"/>
    <w:rsid w:val="396803EC"/>
    <w:rsid w:val="39785A2E"/>
    <w:rsid w:val="39902D77"/>
    <w:rsid w:val="39C4404C"/>
    <w:rsid w:val="39E6440A"/>
    <w:rsid w:val="3A0F03FE"/>
    <w:rsid w:val="3A7A7584"/>
    <w:rsid w:val="3A7B6635"/>
    <w:rsid w:val="3ABA20D6"/>
    <w:rsid w:val="3B567FF1"/>
    <w:rsid w:val="3BAF0E16"/>
    <w:rsid w:val="3C5A58BF"/>
    <w:rsid w:val="3C94526E"/>
    <w:rsid w:val="3CAD3C40"/>
    <w:rsid w:val="3CAF498F"/>
    <w:rsid w:val="3CCD7E3F"/>
    <w:rsid w:val="3CEA09F1"/>
    <w:rsid w:val="3CED228F"/>
    <w:rsid w:val="3CFA4A3D"/>
    <w:rsid w:val="3D330453"/>
    <w:rsid w:val="3D583BAC"/>
    <w:rsid w:val="3DF519DD"/>
    <w:rsid w:val="3E1C7765"/>
    <w:rsid w:val="3E2F5B83"/>
    <w:rsid w:val="3EA82911"/>
    <w:rsid w:val="3EAA6689"/>
    <w:rsid w:val="3EB42084"/>
    <w:rsid w:val="3EF1286C"/>
    <w:rsid w:val="3EF620C5"/>
    <w:rsid w:val="3EF9316D"/>
    <w:rsid w:val="3F536D21"/>
    <w:rsid w:val="3F552AC1"/>
    <w:rsid w:val="3FA94B93"/>
    <w:rsid w:val="3FC512A1"/>
    <w:rsid w:val="3FE037BF"/>
    <w:rsid w:val="40207CD9"/>
    <w:rsid w:val="402376ED"/>
    <w:rsid w:val="404D74C9"/>
    <w:rsid w:val="40A5674D"/>
    <w:rsid w:val="412C4DAB"/>
    <w:rsid w:val="41405083"/>
    <w:rsid w:val="41D43A1D"/>
    <w:rsid w:val="421540C4"/>
    <w:rsid w:val="42366486"/>
    <w:rsid w:val="42601BC2"/>
    <w:rsid w:val="426E61D7"/>
    <w:rsid w:val="42E163F2"/>
    <w:rsid w:val="42F554EB"/>
    <w:rsid w:val="430A72E3"/>
    <w:rsid w:val="431C38CE"/>
    <w:rsid w:val="4428785A"/>
    <w:rsid w:val="443B3E0D"/>
    <w:rsid w:val="44557820"/>
    <w:rsid w:val="44607214"/>
    <w:rsid w:val="44B333FC"/>
    <w:rsid w:val="44EE3048"/>
    <w:rsid w:val="45190F2D"/>
    <w:rsid w:val="451E55F6"/>
    <w:rsid w:val="463A4797"/>
    <w:rsid w:val="46844D9D"/>
    <w:rsid w:val="468A0ECA"/>
    <w:rsid w:val="46B81B60"/>
    <w:rsid w:val="46BD67D8"/>
    <w:rsid w:val="471A67D8"/>
    <w:rsid w:val="47D4610B"/>
    <w:rsid w:val="47F15329"/>
    <w:rsid w:val="47F24F0F"/>
    <w:rsid w:val="47F95F8C"/>
    <w:rsid w:val="48BB1BC4"/>
    <w:rsid w:val="48FC3F85"/>
    <w:rsid w:val="494668E5"/>
    <w:rsid w:val="4A0550BC"/>
    <w:rsid w:val="4A4C2CEB"/>
    <w:rsid w:val="4A547DF1"/>
    <w:rsid w:val="4A6C0C3B"/>
    <w:rsid w:val="4A8C30E7"/>
    <w:rsid w:val="4AD47619"/>
    <w:rsid w:val="4AD57862"/>
    <w:rsid w:val="4AE827EF"/>
    <w:rsid w:val="4AEB2504"/>
    <w:rsid w:val="4AF71ABC"/>
    <w:rsid w:val="4B6662B4"/>
    <w:rsid w:val="4B6B53F2"/>
    <w:rsid w:val="4BCD5112"/>
    <w:rsid w:val="4BE3142D"/>
    <w:rsid w:val="4C92349B"/>
    <w:rsid w:val="4CE5406B"/>
    <w:rsid w:val="4D156125"/>
    <w:rsid w:val="4D630FA4"/>
    <w:rsid w:val="4D69478A"/>
    <w:rsid w:val="4D6C0BAC"/>
    <w:rsid w:val="4D881BF8"/>
    <w:rsid w:val="4DA1334D"/>
    <w:rsid w:val="4DF3633A"/>
    <w:rsid w:val="4DFA46BA"/>
    <w:rsid w:val="4E261AA5"/>
    <w:rsid w:val="4E6F6FA8"/>
    <w:rsid w:val="4E7D7917"/>
    <w:rsid w:val="4E7E5F51"/>
    <w:rsid w:val="4EEF1E97"/>
    <w:rsid w:val="500946F5"/>
    <w:rsid w:val="502814C6"/>
    <w:rsid w:val="504A437F"/>
    <w:rsid w:val="505C3172"/>
    <w:rsid w:val="50EB4D8E"/>
    <w:rsid w:val="50F36283"/>
    <w:rsid w:val="51EB4B97"/>
    <w:rsid w:val="51F272FA"/>
    <w:rsid w:val="520479F8"/>
    <w:rsid w:val="522D3402"/>
    <w:rsid w:val="527903F5"/>
    <w:rsid w:val="527C1C93"/>
    <w:rsid w:val="52B60C61"/>
    <w:rsid w:val="52C93019"/>
    <w:rsid w:val="531C3E99"/>
    <w:rsid w:val="53531E45"/>
    <w:rsid w:val="53535B1C"/>
    <w:rsid w:val="53B10C53"/>
    <w:rsid w:val="53C13423"/>
    <w:rsid w:val="53CD0EDB"/>
    <w:rsid w:val="53EB3FD9"/>
    <w:rsid w:val="542B70F7"/>
    <w:rsid w:val="545033D7"/>
    <w:rsid w:val="54921C42"/>
    <w:rsid w:val="54B117D7"/>
    <w:rsid w:val="54BE47E5"/>
    <w:rsid w:val="551A48F9"/>
    <w:rsid w:val="5589771D"/>
    <w:rsid w:val="55937A20"/>
    <w:rsid w:val="55F54744"/>
    <w:rsid w:val="55FD758F"/>
    <w:rsid w:val="573568B4"/>
    <w:rsid w:val="57520C97"/>
    <w:rsid w:val="576D42A0"/>
    <w:rsid w:val="57FB05CF"/>
    <w:rsid w:val="584D29C8"/>
    <w:rsid w:val="5889264A"/>
    <w:rsid w:val="588B4AFA"/>
    <w:rsid w:val="58BF0B2C"/>
    <w:rsid w:val="592E04AB"/>
    <w:rsid w:val="595F1CED"/>
    <w:rsid w:val="5A01107B"/>
    <w:rsid w:val="5A3548ED"/>
    <w:rsid w:val="5A504131"/>
    <w:rsid w:val="5A5D6EF2"/>
    <w:rsid w:val="5A654D3B"/>
    <w:rsid w:val="5AC32353"/>
    <w:rsid w:val="5BA81D4B"/>
    <w:rsid w:val="5BB93F58"/>
    <w:rsid w:val="5BB97AB4"/>
    <w:rsid w:val="5C25514A"/>
    <w:rsid w:val="5C3D2493"/>
    <w:rsid w:val="5C4F0B22"/>
    <w:rsid w:val="5C985574"/>
    <w:rsid w:val="5CA87571"/>
    <w:rsid w:val="5CFF0696"/>
    <w:rsid w:val="5D400DC5"/>
    <w:rsid w:val="5D665A1A"/>
    <w:rsid w:val="5D804D2D"/>
    <w:rsid w:val="5D8E11AC"/>
    <w:rsid w:val="5DE02EBF"/>
    <w:rsid w:val="5E7C1D97"/>
    <w:rsid w:val="5E9B6B45"/>
    <w:rsid w:val="5EB17168"/>
    <w:rsid w:val="5EE33737"/>
    <w:rsid w:val="5EE575A7"/>
    <w:rsid w:val="5EFA2209"/>
    <w:rsid w:val="5F186161"/>
    <w:rsid w:val="5F4C0C3F"/>
    <w:rsid w:val="5F9935AD"/>
    <w:rsid w:val="5FAE6646"/>
    <w:rsid w:val="5FB011CE"/>
    <w:rsid w:val="5FB61F6B"/>
    <w:rsid w:val="5FE60F99"/>
    <w:rsid w:val="60512979"/>
    <w:rsid w:val="6067398E"/>
    <w:rsid w:val="6069179C"/>
    <w:rsid w:val="60FA5887"/>
    <w:rsid w:val="61842912"/>
    <w:rsid w:val="619B6141"/>
    <w:rsid w:val="61CA6D11"/>
    <w:rsid w:val="61D1012F"/>
    <w:rsid w:val="6220088D"/>
    <w:rsid w:val="62797F9D"/>
    <w:rsid w:val="62874BFA"/>
    <w:rsid w:val="62F21288"/>
    <w:rsid w:val="62FC43EA"/>
    <w:rsid w:val="63932865"/>
    <w:rsid w:val="63D25BB7"/>
    <w:rsid w:val="63F773CC"/>
    <w:rsid w:val="63FA510E"/>
    <w:rsid w:val="6401024A"/>
    <w:rsid w:val="641A130C"/>
    <w:rsid w:val="647C0AC9"/>
    <w:rsid w:val="64B008F4"/>
    <w:rsid w:val="64D21B9E"/>
    <w:rsid w:val="64D8544F"/>
    <w:rsid w:val="64E80E78"/>
    <w:rsid w:val="64F9664C"/>
    <w:rsid w:val="6507470D"/>
    <w:rsid w:val="65B3649A"/>
    <w:rsid w:val="65DA51F7"/>
    <w:rsid w:val="66460B4F"/>
    <w:rsid w:val="667E066E"/>
    <w:rsid w:val="668153AD"/>
    <w:rsid w:val="66D41C46"/>
    <w:rsid w:val="67266319"/>
    <w:rsid w:val="675064DC"/>
    <w:rsid w:val="67740B5B"/>
    <w:rsid w:val="67865134"/>
    <w:rsid w:val="67D5452B"/>
    <w:rsid w:val="685B4020"/>
    <w:rsid w:val="689F4C1E"/>
    <w:rsid w:val="68EB20F0"/>
    <w:rsid w:val="693B41FE"/>
    <w:rsid w:val="69485769"/>
    <w:rsid w:val="699F6187"/>
    <w:rsid w:val="6A6E563D"/>
    <w:rsid w:val="6A7473A8"/>
    <w:rsid w:val="6A7A686F"/>
    <w:rsid w:val="6AB879A1"/>
    <w:rsid w:val="6AE54008"/>
    <w:rsid w:val="6B0071C6"/>
    <w:rsid w:val="6B4C26F3"/>
    <w:rsid w:val="6B527D0E"/>
    <w:rsid w:val="6B7D28AC"/>
    <w:rsid w:val="6C076CDF"/>
    <w:rsid w:val="6C687B08"/>
    <w:rsid w:val="6C691082"/>
    <w:rsid w:val="6CA95923"/>
    <w:rsid w:val="6CD56718"/>
    <w:rsid w:val="6DB24C39"/>
    <w:rsid w:val="6DBD51C9"/>
    <w:rsid w:val="6DEC5AC7"/>
    <w:rsid w:val="6E0276E8"/>
    <w:rsid w:val="6E777A87"/>
    <w:rsid w:val="6E855C5A"/>
    <w:rsid w:val="6E9A7566"/>
    <w:rsid w:val="6EDF387E"/>
    <w:rsid w:val="6F03455B"/>
    <w:rsid w:val="6F1277AF"/>
    <w:rsid w:val="6F251DEC"/>
    <w:rsid w:val="6F4002B0"/>
    <w:rsid w:val="6F616041"/>
    <w:rsid w:val="6F66044C"/>
    <w:rsid w:val="6F692303"/>
    <w:rsid w:val="6F761B96"/>
    <w:rsid w:val="6FC860C0"/>
    <w:rsid w:val="6FE6737B"/>
    <w:rsid w:val="70145200"/>
    <w:rsid w:val="70675FAE"/>
    <w:rsid w:val="706978A3"/>
    <w:rsid w:val="708C5624"/>
    <w:rsid w:val="708D5C71"/>
    <w:rsid w:val="70D81BB1"/>
    <w:rsid w:val="70F657AC"/>
    <w:rsid w:val="714C36FC"/>
    <w:rsid w:val="71A1306D"/>
    <w:rsid w:val="72117AFC"/>
    <w:rsid w:val="721E6986"/>
    <w:rsid w:val="72640322"/>
    <w:rsid w:val="72750781"/>
    <w:rsid w:val="72AA5DC0"/>
    <w:rsid w:val="730E4732"/>
    <w:rsid w:val="734704FB"/>
    <w:rsid w:val="7439758C"/>
    <w:rsid w:val="74A76DA3"/>
    <w:rsid w:val="74CE6EC4"/>
    <w:rsid w:val="74FE2860"/>
    <w:rsid w:val="75120509"/>
    <w:rsid w:val="75776589"/>
    <w:rsid w:val="75CE56A6"/>
    <w:rsid w:val="76852F26"/>
    <w:rsid w:val="76B938CE"/>
    <w:rsid w:val="76D303A9"/>
    <w:rsid w:val="77405D1A"/>
    <w:rsid w:val="7752346A"/>
    <w:rsid w:val="777E0F80"/>
    <w:rsid w:val="779A2A38"/>
    <w:rsid w:val="780C5677"/>
    <w:rsid w:val="785B5D23"/>
    <w:rsid w:val="78D8474E"/>
    <w:rsid w:val="78DD0E2E"/>
    <w:rsid w:val="78F61EF0"/>
    <w:rsid w:val="79427A90"/>
    <w:rsid w:val="79921C19"/>
    <w:rsid w:val="79B847EB"/>
    <w:rsid w:val="79E63648"/>
    <w:rsid w:val="7A05327B"/>
    <w:rsid w:val="7A3D3FF7"/>
    <w:rsid w:val="7A6741FA"/>
    <w:rsid w:val="7ADA376F"/>
    <w:rsid w:val="7B25086A"/>
    <w:rsid w:val="7B274B2D"/>
    <w:rsid w:val="7BC534C1"/>
    <w:rsid w:val="7BEF390F"/>
    <w:rsid w:val="7BF96CF1"/>
    <w:rsid w:val="7C142DB9"/>
    <w:rsid w:val="7CAC1243"/>
    <w:rsid w:val="7CCA3477"/>
    <w:rsid w:val="7DEF500B"/>
    <w:rsid w:val="7DF7533E"/>
    <w:rsid w:val="7E1D5234"/>
    <w:rsid w:val="7E971A7F"/>
    <w:rsid w:val="7F286B7B"/>
    <w:rsid w:val="7F4D0390"/>
    <w:rsid w:val="7F8B0489"/>
    <w:rsid w:val="7F930E60"/>
    <w:rsid w:val="7FE67798"/>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99"/>
    <w:rPr>
      <w:sz w:val="18"/>
      <w:szCs w:val="18"/>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spacing w:after="0"/>
      <w:ind w:firstLine="200" w:firstLineChars="200"/>
      <w:jc w:val="left"/>
    </w:pPr>
    <w:rPr>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1793</Words>
  <Characters>1918</Characters>
  <Lines>0</Lines>
  <Paragraphs>0</Paragraphs>
  <TotalTime>0</TotalTime>
  <ScaleCrop>false</ScaleCrop>
  <LinksUpToDate>false</LinksUpToDate>
  <CharactersWithSpaces>1918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2026-02-02T02:16:55Z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93D30CB768AB40EDAF6F800D6F69D0F0_13</vt:lpwstr>
  </property>
  <property fmtid="{D5CDD505-2E9C-101B-9397-08002B2CF9AE}" pid="4" name="KSOTemplateDocerSaveRecord">
    <vt:lpwstr>eyJoZGlkIjoiOGViMDEyMjk1ZTA5Yzg0NzliOGJjYTRiNTMxOTBmMzQifQ==</vt:lpwstr>
  </property>
</Properties>
</file>