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ascii="方正小标宋简体" w:eastAsia="方正小标宋简体"/>
          <w:spacing w:val="60"/>
          <w:sz w:val="74"/>
        </w:rPr>
      </w:pPr>
      <w:r>
        <w:rPr>
          <w:rFonts w:hint="eastAsia" w:ascii="方正小标宋简体" w:eastAsia="方正小标宋简体"/>
          <w:spacing w:val="60"/>
          <w:sz w:val="74"/>
        </w:rPr>
        <w:t>泗水县畜牧业发展中心</w:t>
      </w:r>
    </w:p>
    <w:p>
      <w:pPr>
        <w:jc w:val="center"/>
        <w:rPr>
          <w:rFonts w:ascii="方正小标宋简体" w:eastAsia="方正小标宋简体"/>
          <w:spacing w:val="60"/>
          <w:sz w:val="74"/>
        </w:rPr>
      </w:pPr>
      <w:r>
        <w:rPr>
          <w:rFonts w:hint="eastAsia" w:ascii="方正小标宋简体" w:eastAsia="方正小标宋简体"/>
          <w:spacing w:val="60"/>
          <w:sz w:val="74"/>
        </w:rPr>
        <w:t>部门决算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第一部分  部门概况</w:t>
      </w:r>
      <w:r>
        <w:rPr>
          <w:rFonts w:ascii="黑体" w:hAnsi="黑体" w:eastAsia="黑体"/>
          <w:sz w:val="32"/>
          <w:szCs w:val="32"/>
        </w:rPr>
        <w:t>…………………………………………</w:t>
      </w:r>
      <w:r>
        <w:rPr>
          <w:rFonts w:hint="eastAsia" w:ascii="黑体" w:hAnsi="黑体" w:eastAsia="黑体"/>
          <w:sz w:val="32"/>
          <w:szCs w:val="32"/>
        </w:rPr>
        <w:t>4</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一、部门职责</w:t>
      </w:r>
      <w:r>
        <w:rPr>
          <w:rFonts w:ascii="黑体" w:hAnsi="黑体" w:eastAsia="黑体"/>
          <w:sz w:val="32"/>
          <w:szCs w:val="32"/>
        </w:rPr>
        <w:t>………………………………………………</w:t>
      </w:r>
      <w:r>
        <w:rPr>
          <w:rFonts w:hint="eastAsia" w:ascii="黑体" w:hAnsi="黑体" w:eastAsia="黑体"/>
          <w:sz w:val="32"/>
          <w:szCs w:val="32"/>
        </w:rPr>
        <w:t>5</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二、机构设置</w:t>
      </w:r>
      <w:r>
        <w:rPr>
          <w:rFonts w:ascii="黑体" w:hAnsi="黑体" w:eastAsia="黑体"/>
          <w:sz w:val="32"/>
          <w:szCs w:val="32"/>
        </w:rPr>
        <w:t>………………………………………………</w:t>
      </w:r>
      <w:r>
        <w:rPr>
          <w:rFonts w:hint="eastAsia" w:ascii="黑体" w:hAnsi="黑体" w:eastAsia="黑体"/>
          <w:sz w:val="32"/>
          <w:szCs w:val="32"/>
        </w:rPr>
        <w:t>6</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2020年度部门决算表</w:t>
      </w:r>
      <w:r>
        <w:rPr>
          <w:rFonts w:ascii="黑体" w:hAnsi="黑体" w:eastAsia="黑体"/>
          <w:sz w:val="32"/>
          <w:szCs w:val="32"/>
        </w:rPr>
        <w:t>……………………………</w:t>
      </w:r>
      <w:r>
        <w:rPr>
          <w:rFonts w:hint="eastAsia" w:ascii="黑体" w:hAnsi="黑体" w:eastAsia="黑体"/>
          <w:sz w:val="32"/>
          <w:szCs w:val="32"/>
        </w:rPr>
        <w:t>6</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w:t>
      </w:r>
      <w:r>
        <w:rPr>
          <w:rFonts w:ascii="黑体" w:hAnsi="黑体" w:eastAsia="黑体"/>
          <w:sz w:val="32"/>
          <w:szCs w:val="32"/>
        </w:rPr>
        <w:t>……………………………………</w:t>
      </w:r>
      <w:r>
        <w:rPr>
          <w:rFonts w:hint="eastAsia" w:ascii="仿宋_GB2312" w:eastAsia="仿宋_GB2312"/>
          <w:sz w:val="32"/>
          <w:szCs w:val="32"/>
        </w:rPr>
        <w:t>7</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二、收入决算表</w:t>
      </w:r>
      <w:r>
        <w:rPr>
          <w:rFonts w:ascii="黑体" w:hAnsi="黑体" w:eastAsia="黑体"/>
          <w:sz w:val="32"/>
          <w:szCs w:val="32"/>
        </w:rPr>
        <w:t>……………………………………………</w:t>
      </w:r>
      <w:r>
        <w:rPr>
          <w:rFonts w:hint="eastAsia" w:ascii="仿宋_GB2312" w:eastAsia="仿宋_GB2312"/>
          <w:sz w:val="32"/>
          <w:szCs w:val="32"/>
        </w:rPr>
        <w:t>8</w:t>
      </w:r>
    </w:p>
    <w:p>
      <w:pPr>
        <w:spacing w:line="580" w:lineRule="exact"/>
        <w:ind w:firstLine="632" w:firstLineChars="200"/>
        <w:rPr>
          <w:rFonts w:ascii="黑体" w:hAnsi="黑体" w:eastAsia="黑体"/>
          <w:sz w:val="32"/>
          <w:szCs w:val="32"/>
        </w:rPr>
      </w:pPr>
      <w:r>
        <w:rPr>
          <w:rFonts w:hint="eastAsia" w:ascii="仿宋_GB2312" w:eastAsia="仿宋_GB2312"/>
          <w:sz w:val="32"/>
          <w:szCs w:val="32"/>
        </w:rPr>
        <w:t>三、支出决算表</w:t>
      </w:r>
      <w:r>
        <w:rPr>
          <w:rFonts w:ascii="黑体" w:hAnsi="黑体" w:eastAsia="黑体"/>
          <w:sz w:val="32"/>
          <w:szCs w:val="32"/>
        </w:rPr>
        <w:t>……………………………………………</w:t>
      </w:r>
      <w:r>
        <w:rPr>
          <w:rFonts w:hint="eastAsia" w:ascii="黑体" w:hAnsi="黑体" w:eastAsia="黑体"/>
          <w:sz w:val="32"/>
          <w:szCs w:val="32"/>
        </w:rPr>
        <w:t>10</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四、财政拨款收入支出决算总表</w:t>
      </w:r>
      <w:r>
        <w:rPr>
          <w:rFonts w:ascii="黑体" w:hAnsi="黑体" w:eastAsia="黑体"/>
          <w:sz w:val="32"/>
          <w:szCs w:val="32"/>
        </w:rPr>
        <w:t>…………………………</w:t>
      </w:r>
      <w:r>
        <w:rPr>
          <w:rFonts w:hint="eastAsia" w:ascii="仿宋_GB2312" w:eastAsia="仿宋_GB2312"/>
          <w:sz w:val="32"/>
          <w:szCs w:val="32"/>
        </w:rPr>
        <w:t>12</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五、一般公共预算财政拨款支出决算表</w:t>
      </w:r>
      <w:r>
        <w:rPr>
          <w:rFonts w:ascii="黑体" w:hAnsi="黑体" w:eastAsia="黑体"/>
          <w:sz w:val="32"/>
          <w:szCs w:val="32"/>
        </w:rPr>
        <w:t>…………………</w:t>
      </w:r>
      <w:r>
        <w:rPr>
          <w:rFonts w:hint="eastAsia" w:ascii="仿宋_GB2312" w:eastAsia="仿宋_GB2312"/>
          <w:sz w:val="32"/>
          <w:szCs w:val="32"/>
        </w:rPr>
        <w:t>13</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六、一般公共预算财政拨款基本支出决算表</w:t>
      </w:r>
      <w:r>
        <w:rPr>
          <w:rFonts w:ascii="黑体" w:hAnsi="黑体" w:eastAsia="黑体"/>
          <w:sz w:val="32"/>
          <w:szCs w:val="32"/>
        </w:rPr>
        <w:t>……………</w:t>
      </w:r>
      <w:r>
        <w:rPr>
          <w:rFonts w:hint="eastAsia" w:ascii="仿宋_GB2312" w:eastAsia="仿宋_GB2312"/>
          <w:sz w:val="32"/>
          <w:szCs w:val="32"/>
        </w:rPr>
        <w:t>14</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r>
        <w:rPr>
          <w:rFonts w:ascii="黑体" w:hAnsi="黑体" w:eastAsia="黑体"/>
          <w:sz w:val="32"/>
          <w:szCs w:val="32"/>
        </w:rPr>
        <w:t>……</w:t>
      </w:r>
      <w:r>
        <w:rPr>
          <w:rFonts w:hint="eastAsia" w:ascii="仿宋_GB2312" w:eastAsia="仿宋_GB2312"/>
          <w:sz w:val="32"/>
          <w:szCs w:val="32"/>
        </w:rPr>
        <w:t>16</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八、政府性基金预算财政拨款收入支出决算表</w:t>
      </w:r>
      <w:r>
        <w:rPr>
          <w:rFonts w:ascii="黑体" w:hAnsi="黑体" w:eastAsia="黑体"/>
          <w:sz w:val="32"/>
          <w:szCs w:val="32"/>
        </w:rPr>
        <w:t>…………</w:t>
      </w:r>
      <w:r>
        <w:rPr>
          <w:rFonts w:hint="eastAsia" w:ascii="仿宋_GB2312" w:eastAsia="仿宋_GB2312"/>
          <w:sz w:val="32"/>
          <w:szCs w:val="32"/>
        </w:rPr>
        <w:t>17</w:t>
      </w:r>
    </w:p>
    <w:p>
      <w:pPr>
        <w:spacing w:line="580" w:lineRule="exact"/>
        <w:ind w:firstLine="632" w:firstLineChars="200"/>
        <w:rPr>
          <w:rFonts w:ascii="黑体" w:hAnsi="黑体" w:eastAsia="黑体"/>
          <w:sz w:val="32"/>
          <w:szCs w:val="32"/>
        </w:rPr>
      </w:pPr>
      <w:r>
        <w:rPr>
          <w:rFonts w:hint="eastAsia" w:ascii="仿宋_GB2312" w:eastAsia="仿宋_GB2312"/>
          <w:sz w:val="32"/>
          <w:szCs w:val="32"/>
        </w:rPr>
        <w:t>九、国有资本经营预算财政拨款收入支出决算批复</w:t>
      </w:r>
      <w:r>
        <w:rPr>
          <w:rFonts w:hint="eastAsia" w:ascii="黑体" w:hAnsi="黑体" w:eastAsia="黑体"/>
          <w:sz w:val="32"/>
          <w:szCs w:val="32"/>
        </w:rPr>
        <w:t>表</w:t>
      </w:r>
      <w:r>
        <w:rPr>
          <w:rFonts w:ascii="黑体" w:hAnsi="黑体" w:eastAsia="黑体"/>
          <w:sz w:val="32"/>
          <w:szCs w:val="32"/>
        </w:rPr>
        <w:t>…</w:t>
      </w:r>
      <w:r>
        <w:rPr>
          <w:rFonts w:hint="eastAsia" w:ascii="黑体" w:hAnsi="黑体" w:eastAsia="黑体"/>
          <w:sz w:val="32"/>
          <w:szCs w:val="32"/>
        </w:rPr>
        <w:t>18</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2020年度部门决算情况说明</w:t>
      </w:r>
      <w:r>
        <w:rPr>
          <w:rFonts w:ascii="黑体" w:hAnsi="黑体" w:eastAsia="黑体"/>
          <w:sz w:val="32"/>
          <w:szCs w:val="32"/>
        </w:rPr>
        <w:t>……………………</w:t>
      </w:r>
      <w:r>
        <w:rPr>
          <w:rFonts w:hint="eastAsia" w:ascii="黑体" w:hAnsi="黑体" w:eastAsia="黑体"/>
          <w:sz w:val="32"/>
          <w:szCs w:val="32"/>
        </w:rPr>
        <w:t>19</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一</w:t>
      </w:r>
      <w:r>
        <w:rPr>
          <w:rFonts w:hint="eastAsia" w:ascii="仿宋_GB2312" w:eastAsia="仿宋_GB2312"/>
          <w:sz w:val="32"/>
          <w:szCs w:val="32"/>
        </w:rPr>
        <w:t>、收入支出决算总体情况说明</w:t>
      </w:r>
      <w:r>
        <w:rPr>
          <w:rFonts w:ascii="黑体" w:hAnsi="黑体" w:eastAsia="黑体"/>
          <w:sz w:val="32"/>
          <w:szCs w:val="32"/>
        </w:rPr>
        <w:t>…………………………</w:t>
      </w:r>
      <w:r>
        <w:rPr>
          <w:rFonts w:hint="eastAsia" w:ascii="黑体" w:hAnsi="黑体" w:eastAsia="黑体"/>
          <w:sz w:val="32"/>
          <w:szCs w:val="32"/>
        </w:rPr>
        <w:t>20</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二、收入决算情况说明</w:t>
      </w:r>
      <w:r>
        <w:rPr>
          <w:rFonts w:ascii="黑体" w:hAnsi="黑体" w:eastAsia="黑体"/>
          <w:sz w:val="32"/>
          <w:szCs w:val="32"/>
        </w:rPr>
        <w:t>……………………………………</w:t>
      </w:r>
      <w:r>
        <w:rPr>
          <w:rFonts w:hint="eastAsia" w:ascii="黑体" w:hAnsi="黑体" w:eastAsia="黑体"/>
          <w:sz w:val="32"/>
          <w:szCs w:val="32"/>
        </w:rPr>
        <w:t>20</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三、支出决算情况说明</w:t>
      </w:r>
      <w:r>
        <w:rPr>
          <w:rFonts w:ascii="黑体" w:hAnsi="黑体" w:eastAsia="黑体"/>
          <w:sz w:val="32"/>
          <w:szCs w:val="32"/>
        </w:rPr>
        <w:t>……………………………………</w:t>
      </w:r>
      <w:r>
        <w:rPr>
          <w:rFonts w:hint="eastAsia" w:ascii="黑体" w:hAnsi="黑体" w:eastAsia="黑体"/>
          <w:sz w:val="32"/>
          <w:szCs w:val="32"/>
        </w:rPr>
        <w:t>21</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四、财政拨款收入支出决算总体情况说明</w:t>
      </w:r>
      <w:r>
        <w:rPr>
          <w:rFonts w:ascii="黑体" w:hAnsi="黑体" w:eastAsia="黑体"/>
          <w:sz w:val="32"/>
          <w:szCs w:val="32"/>
        </w:rPr>
        <w:t>………………</w:t>
      </w:r>
      <w:r>
        <w:rPr>
          <w:rFonts w:hint="eastAsia" w:ascii="黑体" w:hAnsi="黑体" w:eastAsia="黑体"/>
          <w:sz w:val="32"/>
          <w:szCs w:val="32"/>
        </w:rPr>
        <w:t>22</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五、一般公共预算财政拨款支出决算情况说明</w:t>
      </w:r>
      <w:r>
        <w:rPr>
          <w:rFonts w:ascii="黑体" w:hAnsi="黑体" w:eastAsia="黑体"/>
          <w:sz w:val="32"/>
          <w:szCs w:val="32"/>
        </w:rPr>
        <w:t>…………</w:t>
      </w:r>
      <w:r>
        <w:rPr>
          <w:rFonts w:hint="eastAsia" w:ascii="黑体" w:hAnsi="黑体" w:eastAsia="黑体"/>
          <w:sz w:val="32"/>
          <w:szCs w:val="32"/>
        </w:rPr>
        <w:t>22</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r>
        <w:rPr>
          <w:rFonts w:ascii="黑体" w:hAnsi="黑体" w:eastAsia="黑体"/>
          <w:sz w:val="32"/>
          <w:szCs w:val="32"/>
        </w:rPr>
        <w:t>……25</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r>
        <w:rPr>
          <w:rFonts w:ascii="黑体" w:hAnsi="黑体" w:eastAsia="黑体"/>
          <w:sz w:val="32"/>
          <w:szCs w:val="32"/>
        </w:rPr>
        <w:t>…………………………………………………………………</w:t>
      </w:r>
      <w:r>
        <w:rPr>
          <w:rFonts w:hint="eastAsia" w:ascii="黑体" w:hAnsi="黑体" w:eastAsia="黑体"/>
          <w:sz w:val="32"/>
          <w:szCs w:val="32"/>
        </w:rPr>
        <w:t>25</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八、政府性基金预算财政拨款收入支出决算情况说明</w:t>
      </w:r>
      <w:r>
        <w:rPr>
          <w:rFonts w:ascii="黑体" w:hAnsi="黑体" w:eastAsia="黑体"/>
          <w:sz w:val="32"/>
          <w:szCs w:val="32"/>
        </w:rPr>
        <w:t>…</w:t>
      </w:r>
      <w:r>
        <w:rPr>
          <w:rFonts w:hint="eastAsia" w:ascii="黑体" w:hAnsi="黑体" w:eastAsia="黑体"/>
          <w:sz w:val="32"/>
          <w:szCs w:val="32"/>
        </w:rPr>
        <w:t>27</w:t>
      </w:r>
    </w:p>
    <w:p>
      <w:pPr>
        <w:spacing w:line="580" w:lineRule="exact"/>
        <w:ind w:firstLine="632" w:firstLineChars="200"/>
        <w:rPr>
          <w:rFonts w:ascii="黑体" w:hAnsi="黑体" w:eastAsia="黑体"/>
          <w:sz w:val="32"/>
          <w:szCs w:val="32"/>
        </w:rPr>
      </w:pPr>
      <w:r>
        <w:rPr>
          <w:rFonts w:hint="eastAsia" w:ascii="仿宋_GB2312" w:eastAsia="仿宋_GB2312"/>
          <w:sz w:val="32"/>
          <w:szCs w:val="32"/>
        </w:rPr>
        <w:t>九、国有资本经营预算财政拨款收入支出</w:t>
      </w:r>
      <w:r>
        <w:rPr>
          <w:rFonts w:hint="eastAsia" w:ascii="黑体" w:hAnsi="黑体" w:eastAsia="黑体"/>
          <w:sz w:val="32"/>
          <w:szCs w:val="32"/>
        </w:rPr>
        <w:t>决算批复表</w:t>
      </w:r>
      <w:r>
        <w:rPr>
          <w:rFonts w:ascii="黑体" w:hAnsi="黑体" w:eastAsia="黑体"/>
          <w:sz w:val="32"/>
          <w:szCs w:val="32"/>
        </w:rPr>
        <w:t>…</w:t>
      </w:r>
      <w:r>
        <w:rPr>
          <w:rFonts w:hint="eastAsia" w:ascii="黑体" w:hAnsi="黑体" w:eastAsia="黑体"/>
          <w:sz w:val="32"/>
          <w:szCs w:val="32"/>
        </w:rPr>
        <w:t>27</w:t>
      </w:r>
    </w:p>
    <w:p>
      <w:pPr>
        <w:spacing w:line="580" w:lineRule="exact"/>
        <w:ind w:firstLine="316" w:firstLineChars="100"/>
        <w:rPr>
          <w:rFonts w:ascii="仿宋_GB2312" w:eastAsia="仿宋_GB2312"/>
          <w:sz w:val="32"/>
          <w:szCs w:val="32"/>
        </w:rPr>
      </w:pPr>
      <w:r>
        <w:rPr>
          <w:rFonts w:hint="eastAsia" w:ascii="黑体" w:hAnsi="黑体" w:eastAsia="黑体"/>
          <w:sz w:val="32"/>
          <w:szCs w:val="32"/>
        </w:rPr>
        <w:t>十、重要事项情</w:t>
      </w:r>
      <w:r>
        <w:rPr>
          <w:rFonts w:hint="eastAsia" w:ascii="仿宋_GB2312" w:eastAsia="仿宋_GB2312"/>
          <w:sz w:val="32"/>
          <w:szCs w:val="32"/>
        </w:rPr>
        <w:t>况说明</w:t>
      </w:r>
      <w:r>
        <w:rPr>
          <w:rFonts w:ascii="黑体" w:hAnsi="黑体" w:eastAsia="黑体"/>
          <w:sz w:val="32"/>
          <w:szCs w:val="32"/>
        </w:rPr>
        <w:t>………………………………………</w:t>
      </w:r>
      <w:r>
        <w:rPr>
          <w:rFonts w:hint="eastAsia" w:ascii="黑体" w:hAnsi="黑体" w:eastAsia="黑体"/>
          <w:sz w:val="32"/>
          <w:szCs w:val="32"/>
        </w:rPr>
        <w:t>28</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第四部分  名词解释</w:t>
      </w:r>
      <w:r>
        <w:rPr>
          <w:rFonts w:ascii="黑体" w:hAnsi="黑体" w:eastAsia="黑体"/>
          <w:sz w:val="32"/>
          <w:szCs w:val="32"/>
        </w:rPr>
        <w:t>…………………………………………</w:t>
      </w:r>
      <w:r>
        <w:rPr>
          <w:rFonts w:hint="eastAsia" w:ascii="黑体" w:hAnsi="黑体" w:eastAsia="黑体"/>
          <w:sz w:val="32"/>
          <w:szCs w:val="32"/>
        </w:rPr>
        <w:t>30</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第五部分  附件</w:t>
      </w:r>
      <w:r>
        <w:rPr>
          <w:rFonts w:ascii="黑体" w:hAnsi="黑体" w:eastAsia="黑体"/>
          <w:sz w:val="32"/>
          <w:szCs w:val="32"/>
        </w:rPr>
        <w:t>………………………………………………</w:t>
      </w:r>
      <w:r>
        <w:rPr>
          <w:rFonts w:hint="eastAsia" w:ascii="黑体" w:hAnsi="黑体" w:eastAsia="黑体"/>
          <w:sz w:val="32"/>
          <w:szCs w:val="32"/>
        </w:rPr>
        <w:t xml:space="preserve">35 </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 </w:t>
      </w:r>
    </w:p>
    <w:p>
      <w:pPr>
        <w:spacing w:line="580" w:lineRule="exact"/>
        <w:ind w:firstLine="316" w:firstLineChars="100"/>
        <w:rPr>
          <w:rFonts w:ascii="仿宋_GB2312" w:eastAsia="仿宋_GB2312"/>
          <w:sz w:val="32"/>
          <w:szCs w:val="32"/>
        </w:rPr>
        <w:sectPr>
          <w:headerReference r:id="rId3" w:type="default"/>
          <w:footerReference r:id="rId4" w:type="default"/>
          <w:pgSz w:w="11906" w:h="16838"/>
          <w:pgMar w:top="2041" w:right="1531" w:bottom="1758"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落实《中华人民共和国动物防疫法》、《中华人民共和国畜牧法》、《国务院种畜禽管理条例》、《国务院兽药管理条例》、《国务院饲料和饲料添加剂管理条例》等法律法规，保护畜牧业健康发展，维护消费者安全。</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（二）贯彻执行国家、省、市有关畜牧兽医工作的方针政策和法律法规，研究拟定全县畜牧兽医工作的政策规定并组织实施。</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（三）研究拟定全县畜牧兽医行业发展规划、计划并组织实施，指导和推进畜牧业产业结构调整。</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（四）研究拟定全县动物疫病防控规划、计划，组织动物疫病控制和扑灭，承担县重大动物疫病防控指挥部办公室的日常工作。</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（五）负责动物防疫、防疫监督、动物和动物产品的检疫、兽药残留监督的管理工作；负责全县兽药药政、兽医医政和官方兽医、执业兽医管理工作。</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全县畜牧业监督管理工作，组织拟定兽医、兽药、牧草、饲料、饲料添加剂、畜禽品种规划，并监督执行国家、地区标准和行业相关标准；负责全县种畜禽、牧草、饲料、饲料添加剂和草原（场）监督管理工作；组织畜产资源和饲草饲料资源保护工作。</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（七）研究拟定全县畜牧兽医行业科技发展规划、计划并组织实施，指导科技推广和教育培训工作，开展对外经济、技术交流与合作。</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（八）承办县政府交办的其他事项。</w:t>
      </w:r>
    </w:p>
    <w:p>
      <w:pPr>
        <w:ind w:firstLine="632" w:firstLineChars="200"/>
        <w:rPr>
          <w:rFonts w:ascii="黑体" w:hAnsi="黑体" w:eastAsia="黑体"/>
          <w:sz w:val="32"/>
          <w:szCs w:val="32"/>
        </w:rPr>
      </w:pPr>
      <w:r>
        <w:rPr>
          <w:rFonts w:hint="eastAsia" w:ascii="黑体" w:hAnsi="黑体" w:eastAsia="黑体"/>
          <w:sz w:val="32"/>
          <w:szCs w:val="32"/>
        </w:rPr>
        <w:t>二、机构设置</w:t>
      </w:r>
    </w:p>
    <w:p>
      <w:pPr>
        <w:ind w:firstLine="632" w:firstLineChars="200"/>
        <w:rPr>
          <w:rFonts w:ascii="仿宋_GB2312" w:eastAsia="仿宋_GB2312"/>
          <w:sz w:val="32"/>
          <w:szCs w:val="32"/>
        </w:rPr>
      </w:pPr>
      <w:r>
        <w:rPr>
          <w:rFonts w:hint="eastAsia" w:ascii="仿宋_GB2312" w:eastAsia="仿宋_GB2312"/>
          <w:sz w:val="32"/>
          <w:szCs w:val="32"/>
        </w:rPr>
        <w:t>从决算单位构成看，泗水县畜牧业发展中心部门决算包括：中心本级决算。</w:t>
      </w:r>
    </w:p>
    <w:p>
      <w:pPr>
        <w:ind w:firstLine="632" w:firstLineChars="200"/>
        <w:rPr>
          <w:rFonts w:ascii="仿宋_GB2312" w:eastAsia="仿宋_GB2312"/>
          <w:sz w:val="32"/>
          <w:szCs w:val="32"/>
        </w:rPr>
      </w:pPr>
      <w:r>
        <w:rPr>
          <w:rFonts w:hint="eastAsia" w:ascii="仿宋_GB2312" w:eastAsia="仿宋_GB2312"/>
          <w:sz w:val="32"/>
          <w:szCs w:val="32"/>
        </w:rPr>
        <w:t>纳入泗水县畜牧业发展中心2020年度部门决算编制范围的预算单位1个，包括：</w:t>
      </w:r>
    </w:p>
    <w:p>
      <w:pPr>
        <w:ind w:firstLine="632" w:firstLineChars="200"/>
        <w:rPr>
          <w:rFonts w:ascii="仿宋_GB2312" w:eastAsia="仿宋_GB2312"/>
          <w:sz w:val="32"/>
          <w:szCs w:val="32"/>
        </w:rPr>
      </w:pPr>
      <w:r>
        <w:rPr>
          <w:rFonts w:hint="eastAsia" w:ascii="仿宋_GB2312" w:eastAsia="仿宋_GB2312"/>
          <w:sz w:val="32"/>
          <w:szCs w:val="32"/>
        </w:rPr>
        <w:t>1、泗水县畜牧业发展中心本级</w:t>
      </w: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right="828" w:firstLine="138" w:firstLineChars="50"/>
        <w:jc w:val="right"/>
        <w:rPr>
          <w:rFonts w:ascii="楷体_GB2312" w:eastAsia="楷体_GB2312"/>
          <w:sz w:val="28"/>
          <w:szCs w:val="28"/>
        </w:rPr>
      </w:pPr>
      <w:r>
        <w:rPr>
          <w:rFonts w:hint="eastAsia" w:ascii="楷体_GB2312" w:eastAsia="楷体_GB2312"/>
          <w:sz w:val="28"/>
          <w:szCs w:val="28"/>
        </w:rPr>
        <w:t>部门： 泗水县畜牧业发展中心                   单位：万元</w:t>
      </w:r>
    </w:p>
    <w:tbl>
      <w:tblPr>
        <w:tblStyle w:val="11"/>
        <w:tblW w:w="0" w:type="auto"/>
        <w:jc w:val="center"/>
        <w:tblLayout w:type="fixed"/>
        <w:tblCellMar>
          <w:top w:w="0" w:type="dxa"/>
          <w:left w:w="108" w:type="dxa"/>
          <w:bottom w:w="0" w:type="dxa"/>
          <w:right w:w="108" w:type="dxa"/>
        </w:tblCellMar>
      </w:tblPr>
      <w:tblGrid>
        <w:gridCol w:w="2879"/>
        <w:gridCol w:w="714"/>
        <w:gridCol w:w="1017"/>
        <w:gridCol w:w="2749"/>
        <w:gridCol w:w="567"/>
        <w:gridCol w:w="893"/>
      </w:tblGrid>
      <w:tr>
        <w:tblPrEx>
          <w:tblCellMar>
            <w:top w:w="0" w:type="dxa"/>
            <w:left w:w="108" w:type="dxa"/>
            <w:bottom w:w="0" w:type="dxa"/>
            <w:right w:w="108" w:type="dxa"/>
          </w:tblCellMar>
        </w:tblPrEx>
        <w:trPr>
          <w:trHeight w:val="256"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430"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74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74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3613.74</w:t>
            </w:r>
          </w:p>
        </w:tc>
        <w:tc>
          <w:tcPr>
            <w:tcW w:w="274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（按功能科目）</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385.87</w:t>
            </w: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一、一般公共服务支出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二、外交支出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三、国防支出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四、公共安全支出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五、教育支出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57.14</w:t>
            </w: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六、科学技术支出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七、文化旅游体育与传媒支出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八、社会保障和就业支出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九、卫生健康支出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十、节能环保支出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十一、城乡社区支出</w:t>
            </w:r>
          </w:p>
        </w:tc>
        <w:tc>
          <w:tcPr>
            <w:tcW w:w="56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893"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368.41</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十二、农林水支出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4276.74</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十三、交通运输支出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十四、资源勘探工业信息等支出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十五、商业服务业等支出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十六、金融支出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十七、援助其他地区支出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十八、自然资源海洋气象等支出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十九、住房保障支出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二十、粮油物资储备支出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二十一、国有资本经营预算支出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rPr>
          <w:trHeight w:val="487"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二十二、灾害防治及应急管理支出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二十三、其他支出</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33.07</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4056.75</w:t>
            </w:r>
          </w:p>
        </w:tc>
        <w:tc>
          <w:tcPr>
            <w:tcW w:w="274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4678.21</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1859.57</w:t>
            </w:r>
          </w:p>
        </w:tc>
        <w:tc>
          <w:tcPr>
            <w:tcW w:w="274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1238.12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74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5916.32</w:t>
            </w:r>
          </w:p>
        </w:tc>
        <w:tc>
          <w:tcPr>
            <w:tcW w:w="274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893"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5916.32</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部门：  泗水县畜牧业发展中心                                                         </w:t>
      </w:r>
      <w:r>
        <w:rPr>
          <w:rFonts w:ascii="楷体_GB2312" w:eastAsia="楷体_GB2312"/>
          <w:sz w:val="28"/>
          <w:szCs w:val="28"/>
        </w:rPr>
        <w:t xml:space="preserve">  </w:t>
      </w:r>
      <w:r>
        <w:rPr>
          <w:rFonts w:hint="eastAsia" w:ascii="楷体_GB2312" w:eastAsia="楷体_GB2312"/>
          <w:sz w:val="28"/>
          <w:szCs w:val="28"/>
        </w:rPr>
        <w:t>单位：万元</w:t>
      </w:r>
    </w:p>
    <w:tbl>
      <w:tblPr>
        <w:tblStyle w:val="11"/>
        <w:tblW w:w="0" w:type="auto"/>
        <w:jc w:val="center"/>
        <w:tblLayout w:type="fixed"/>
        <w:tblCellMar>
          <w:top w:w="0" w:type="dxa"/>
          <w:left w:w="108" w:type="dxa"/>
          <w:bottom w:w="0" w:type="dxa"/>
          <w:right w:w="108" w:type="dxa"/>
        </w:tblCellMar>
      </w:tblPr>
      <w:tblGrid>
        <w:gridCol w:w="1296"/>
        <w:gridCol w:w="110"/>
        <w:gridCol w:w="1407"/>
        <w:gridCol w:w="1517"/>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4,056.75</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3,999.61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r>
      <w:tr>
        <w:tblPrEx>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left"/>
              <w:rPr>
                <w:rFonts w:ascii="仿宋_GB2312" w:eastAsia="仿宋_GB2312"/>
                <w:sz w:val="18"/>
                <w:szCs w:val="18"/>
              </w:rPr>
            </w:pPr>
            <w:r>
              <w:rPr>
                <w:rFonts w:hint="eastAsia" w:ascii="仿宋_GB2312" w:eastAsia="仿宋_GB2312"/>
                <w:sz w:val="18"/>
                <w:szCs w:val="18"/>
              </w:rPr>
              <w:t>212</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城乡社区支出</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385.87</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385.87</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21208</w:t>
            </w:r>
          </w:p>
        </w:tc>
        <w:tc>
          <w:tcPr>
            <w:tcW w:w="1517" w:type="dxa"/>
            <w:gridSpan w:val="2"/>
            <w:tcBorders>
              <w:top w:val="nil"/>
              <w:left w:val="nil"/>
              <w:bottom w:val="single" w:color="auto" w:sz="4" w:space="0"/>
              <w:right w:val="single" w:color="auto" w:sz="4" w:space="0"/>
            </w:tcBorders>
            <w:shd w:val="clear" w:color="auto" w:fill="FFFFFF"/>
            <w:vAlign w:val="center"/>
          </w:tcPr>
          <w:p>
            <w:pPr>
              <w:spacing w:line="240" w:lineRule="exact"/>
              <w:jc w:val="left"/>
              <w:rPr>
                <w:rFonts w:ascii="仿宋_GB2312" w:eastAsia="仿宋_GB2312"/>
                <w:sz w:val="18"/>
                <w:szCs w:val="18"/>
              </w:rPr>
            </w:pPr>
            <w:r>
              <w:rPr>
                <w:rFonts w:hint="eastAsia" w:ascii="仿宋_GB2312" w:eastAsia="仿宋_GB2312"/>
                <w:sz w:val="18"/>
                <w:szCs w:val="18"/>
              </w:rPr>
              <w:t>国有土地使用权出让收入安排的支出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385.87</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385.87</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2120802</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土地开发支出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338.87</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338.87</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2120899</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其他国有土地使用权出让收入安排的支出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47.00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47.00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农林水支出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3,613.74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3,613.74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农业农村</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1,946.40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1,946.40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2130101</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行政运行</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553.10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553.10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2130102</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一般行政管理事务</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3.50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3.50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2130103</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机关服务</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2130108</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病虫害控制</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347.95</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347.95</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2130122</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农业生产发展</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480.50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480.50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2130199</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其他农业农村支出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557.35</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557.35</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21308</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普惠金融发展支出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1,667.34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1,667.34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2130803</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农业保险保费补贴</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1,667.34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1,667.34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229</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其他支出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22999</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其他支出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2299901</w:t>
            </w:r>
          </w:p>
        </w:tc>
        <w:tc>
          <w:tcPr>
            <w:tcW w:w="1517" w:type="dxa"/>
            <w:gridSpan w:val="2"/>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其他支出</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57.14</w:t>
            </w:r>
          </w:p>
        </w:tc>
      </w:tr>
    </w:tbl>
    <w:p>
      <w:pPr>
        <w:tabs>
          <w:tab w:val="left" w:pos="12772"/>
        </w:tabs>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w:t>
      </w:r>
      <w:r>
        <w:rPr>
          <w:rFonts w:ascii="仿宋_GB2312" w:hAnsi="宋体" w:eastAsia="仿宋_GB2312"/>
          <w:sz w:val="22"/>
        </w:rPr>
        <w:tab/>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 部门： 泗水县畜牧业发展中心                                                         </w:t>
      </w:r>
      <w:r>
        <w:rPr>
          <w:rFonts w:ascii="楷体_GB2312" w:eastAsia="楷体_GB2312"/>
          <w:sz w:val="28"/>
          <w:szCs w:val="28"/>
        </w:rPr>
        <w:t xml:space="preserve">  </w:t>
      </w:r>
      <w:r>
        <w:rPr>
          <w:rFonts w:hint="eastAsia" w:ascii="楷体_GB2312" w:eastAsia="楷体_GB2312"/>
          <w:sz w:val="28"/>
          <w:szCs w:val="28"/>
        </w:rPr>
        <w:t>单位：万元</w:t>
      </w:r>
    </w:p>
    <w:tbl>
      <w:tblPr>
        <w:tblStyle w:val="11"/>
        <w:tblW w:w="0" w:type="auto"/>
        <w:jc w:val="center"/>
        <w:tblLayout w:type="fixed"/>
        <w:tblCellMar>
          <w:top w:w="0" w:type="dxa"/>
          <w:left w:w="108" w:type="dxa"/>
          <w:bottom w:w="0" w:type="dxa"/>
          <w:right w:w="108" w:type="dxa"/>
        </w:tblCellMar>
      </w:tblPr>
      <w:tblGrid>
        <w:gridCol w:w="1344"/>
        <w:gridCol w:w="57"/>
        <w:gridCol w:w="1401"/>
        <w:gridCol w:w="1762"/>
        <w:gridCol w:w="1763"/>
        <w:gridCol w:w="1763"/>
        <w:gridCol w:w="1762"/>
        <w:gridCol w:w="1763"/>
        <w:gridCol w:w="1763"/>
      </w:tblGrid>
      <w:tr>
        <w:tblPrEx>
          <w:tblCellMar>
            <w:top w:w="0" w:type="dxa"/>
            <w:left w:w="108" w:type="dxa"/>
            <w:bottom w:w="0" w:type="dxa"/>
            <w:right w:w="108" w:type="dxa"/>
          </w:tblCellMar>
        </w:tblPrEx>
        <w:trPr>
          <w:trHeight w:val="45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62"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4,678.21</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598.07</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4,080.14</w:t>
            </w:r>
          </w:p>
        </w:tc>
        <w:tc>
          <w:tcPr>
            <w:tcW w:w="1762"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212</w:t>
            </w:r>
          </w:p>
        </w:tc>
        <w:tc>
          <w:tcPr>
            <w:tcW w:w="145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城乡社区支出</w:t>
            </w:r>
          </w:p>
        </w:tc>
        <w:tc>
          <w:tcPr>
            <w:tcW w:w="1762" w:type="dxa"/>
            <w:tcBorders>
              <w:top w:val="single" w:color="auto" w:sz="4" w:space="0"/>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368.41</w:t>
            </w:r>
          </w:p>
        </w:tc>
        <w:tc>
          <w:tcPr>
            <w:tcW w:w="1763" w:type="dxa"/>
            <w:tcBorders>
              <w:top w:val="single" w:color="auto" w:sz="4" w:space="0"/>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368.41</w:t>
            </w:r>
          </w:p>
        </w:tc>
        <w:tc>
          <w:tcPr>
            <w:tcW w:w="1762"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21208</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国有土地使用权出让收入安排的支出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368.41</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368.41</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2120802</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土地开发支出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330.51</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330.51</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2120899</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其他国有土地使用权出让收入安排的支出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37.89</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37.89</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农林水支出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4,276.74</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565.00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3,711.74</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农业农村</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1,901.18</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565.00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1,336.18</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2130101</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行政运行</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565.00</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565.00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2130102</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一般行政管理事务</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2.94</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2.94</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2130108</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病虫害控制</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545.11</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545.11</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2130199</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其他农业农村支出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788.13</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788.13</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21308</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普惠金融发展支出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2,375.56</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2,375.56</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2130803</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农业保险保费补贴</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2,375.56</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2,375.56</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229</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其他支出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33.07</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33.07</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22999</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其他支出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33.07</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33.07</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2299901</w:t>
            </w:r>
          </w:p>
        </w:tc>
        <w:tc>
          <w:tcPr>
            <w:tcW w:w="1458"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  其他支出</w:t>
            </w:r>
          </w:p>
        </w:tc>
        <w:tc>
          <w:tcPr>
            <w:tcW w:w="1762" w:type="dxa"/>
            <w:tcBorders>
              <w:top w:val="nil"/>
              <w:left w:val="nil"/>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33.07</w:t>
            </w:r>
          </w:p>
        </w:tc>
        <w:tc>
          <w:tcPr>
            <w:tcW w:w="1763" w:type="dxa"/>
            <w:tcBorders>
              <w:top w:val="nil"/>
              <w:left w:val="single" w:color="auto" w:sz="4" w:space="0"/>
              <w:bottom w:val="single" w:color="auto" w:sz="4" w:space="0"/>
              <w:right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33.07</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2"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0.00</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 泗水县畜牧业发展中心                                                         单位：万元</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3613.74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385.87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十一、城乡社区支出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tcPr>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368.41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tcPr>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tcPr>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368.41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十二、农林水支出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4276.74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4276.74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3999.61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4,645.14</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4,276.74</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368.41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1859.57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1,214.05</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1,196.58</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17.47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1859.57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5859.19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5,859.19</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5,473.32</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385.87</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right="276" w:firstLine="138" w:firstLineChars="50"/>
        <w:jc w:val="right"/>
        <w:rPr>
          <w:rFonts w:ascii="楷体_GB2312" w:eastAsia="楷体_GB2312"/>
          <w:sz w:val="28"/>
          <w:szCs w:val="28"/>
        </w:rPr>
      </w:pPr>
      <w:r>
        <w:rPr>
          <w:rFonts w:hint="eastAsia" w:ascii="楷体_GB2312" w:eastAsia="楷体_GB2312"/>
          <w:sz w:val="28"/>
          <w:szCs w:val="28"/>
        </w:rPr>
        <w:t>部门：  泗水县畜牧业发展中心                                                       单位：万元</w:t>
      </w:r>
    </w:p>
    <w:tbl>
      <w:tblPr>
        <w:tblStyle w:val="11"/>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4,276.74</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565.00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3,711.74</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农林水支出</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4,276.74</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565.00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3,711.74</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21301</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农业农村</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1,901.18</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565.00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1,336.18</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2130101</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行政运行</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565.00</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565.00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2130102</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一般行政管理事务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2.94</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2.94</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2130108</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病虫害控制</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545.11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545.11</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2130199</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其他农业农村支出</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788.13</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788.13</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21308</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普惠金融发展支出</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2,375.56</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2,375.56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2130803</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农业保险保费补贴</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2,375.56</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2,375.56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泗水县畜牧业发展中心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008"/>
        <w:gridCol w:w="3023"/>
        <w:gridCol w:w="992"/>
        <w:gridCol w:w="993"/>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5023"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252"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9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99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538.60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24.68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155.62</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1.28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220.67</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28.80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1.06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44.55</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22.27</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1.32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22.75</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0.28</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3.39</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4.16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40.26</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0.40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1.72</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0.20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0.90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1.69</w:t>
            </w: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6.95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4.78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0.27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992"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540.32</w:t>
            </w:r>
          </w:p>
        </w:tc>
        <w:tc>
          <w:tcPr>
            <w:tcW w:w="7371"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24.68</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13.00</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10.00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10.00</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3.00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4.27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3.37</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3.37</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0.90</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385.87</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368.41</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368.41</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17.47</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212</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城乡社区支出</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385.87</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368.41</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368.41</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17.47</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21208</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国有土地使用权出让收入安排的支出</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385.87</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368.41</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368.41</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17.47</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2120802</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土地开发支出</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338.87</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330.51</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330.51</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8.36</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2120899</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 xml:space="preserve">  其他国有土地使用权出让收入安排的支出</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47.00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37.89</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0.00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37.89</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9.11</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rPr>
          <w:rFonts w:ascii="仿宋_GB2312" w:hAnsi="宋体" w:eastAsia="仿宋_GB2312"/>
          <w:sz w:val="22"/>
        </w:rPr>
      </w:pPr>
    </w:p>
    <w:p>
      <w:pPr>
        <w:rPr>
          <w:rFonts w:ascii="仿宋_GB2312" w:hAnsi="宋体" w:eastAsia="仿宋_GB2312"/>
          <w:sz w:val="22"/>
        </w:rPr>
      </w:pPr>
    </w:p>
    <w:tbl>
      <w:tblPr>
        <w:tblStyle w:val="11"/>
        <w:tblW w:w="13202" w:type="dxa"/>
        <w:tblInd w:w="89" w:type="dxa"/>
        <w:tblLayout w:type="autofit"/>
        <w:tblCellMar>
          <w:top w:w="0" w:type="dxa"/>
          <w:left w:w="108" w:type="dxa"/>
          <w:bottom w:w="0" w:type="dxa"/>
          <w:right w:w="108" w:type="dxa"/>
        </w:tblCellMar>
      </w:tblPr>
      <w:tblGrid>
        <w:gridCol w:w="13202"/>
      </w:tblGrid>
      <w:tr>
        <w:tblPrEx>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noWrap/>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国有资本经营预算财政拨款收入支出决算批复表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部门：泗水县畜牧业发展中心                                                        单位：万元</w:t>
            </w:r>
          </w:p>
          <w:tbl>
            <w:tblPr>
              <w:tblStyle w:val="11"/>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w:t>
            </w:r>
          </w:p>
          <w:p>
            <w:pPr>
              <w:ind w:firstLine="108" w:firstLineChars="50"/>
              <w:rPr>
                <w:rFonts w:ascii="仿宋_GB2312" w:hAnsi="宋体" w:eastAsia="仿宋_GB2312"/>
                <w:sz w:val="22"/>
              </w:rPr>
            </w:pPr>
            <w:r>
              <w:rPr>
                <w:rFonts w:hint="eastAsia" w:ascii="仿宋_GB2312" w:hAnsi="宋体" w:eastAsia="仿宋_GB2312"/>
                <w:sz w:val="22"/>
              </w:rPr>
              <w:t xml:space="preserve"> 说明：本部门没有国有资本经营预算收入，也没有使用国有资本经营预算安排的支出，故本表无数据</w:t>
            </w: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2020年度收、支总计 5916.32万元。与2019年相比，收、支总计各增加499.23万元，增长9.2%。主要是财政拨款增加。</w:t>
      </w:r>
    </w:p>
    <w:p>
      <w:pPr>
        <w:ind w:firstLine="640" w:firstLineChars="200"/>
        <w:rPr>
          <w:rFonts w:ascii="黑体" w:hAnsi="黑体" w:eastAsia="黑体"/>
          <w:sz w:val="32"/>
          <w:szCs w:val="32"/>
        </w:rPr>
      </w:pPr>
      <w:r>
        <w:rPr>
          <w:rFonts w:hint="eastAsia" w:ascii="黑体" w:hAnsi="黑体" w:eastAsia="黑体"/>
          <w:sz w:val="32"/>
          <w:szCs w:val="32"/>
        </w:rPr>
        <w:drawing>
          <wp:inline distT="0" distB="0" distL="0" distR="0">
            <wp:extent cx="4667250" cy="25050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本年收入合计4056.75万元，其中：财政拨款收入3999.61万元，占98.6%；上级补助收入0万元，占0%；事业收入0万元，占0%；经营收入0万元，占0%；附属单位上缴收入0万元，占0%；其他收入57.14万元，占1.4%。</w:t>
      </w:r>
    </w:p>
    <w:p>
      <w:pPr>
        <w:ind w:firstLine="640" w:firstLineChars="200"/>
        <w:rPr>
          <w:rFonts w:ascii="黑体" w:hAnsi="黑体" w:eastAsia="黑体"/>
          <w:sz w:val="32"/>
          <w:szCs w:val="32"/>
        </w:rPr>
      </w:pPr>
      <w:r>
        <w:rPr>
          <w:rFonts w:hint="eastAsia" w:ascii="黑体" w:hAnsi="黑体" w:eastAsia="黑体"/>
          <w:sz w:val="32"/>
          <w:szCs w:val="32"/>
        </w:rPr>
        <w:drawing>
          <wp:inline distT="0" distB="0" distL="0" distR="0">
            <wp:extent cx="4829175" cy="2200275"/>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仿宋_GB2312" w:eastAsia="仿宋_GB2312"/>
          <w:sz w:val="32"/>
          <w:szCs w:val="32"/>
        </w:rPr>
        <w:t>本年支出合计4678.21万元，其中：基本支出598.07万元，占12.8%；项目支出4080.14万元，占87.2%；上缴上级支出0万元，占0%；经营支出0万元，占0%；对附属单位补助支出0万元，占0%。</w:t>
      </w:r>
    </w:p>
    <w:p>
      <w:pPr>
        <w:ind w:firstLine="643" w:firstLineChars="200"/>
        <w:rPr>
          <w:rFonts w:ascii="仿宋_GB2312" w:eastAsia="仿宋_GB2312"/>
          <w:b/>
          <w:sz w:val="32"/>
          <w:szCs w:val="32"/>
        </w:rPr>
      </w:pPr>
    </w:p>
    <w:p>
      <w:pPr>
        <w:ind w:firstLine="643" w:firstLineChars="200"/>
        <w:rPr>
          <w:rFonts w:ascii="黑体" w:hAnsi="黑体" w:eastAsia="黑体"/>
          <w:sz w:val="32"/>
          <w:szCs w:val="32"/>
        </w:rPr>
      </w:pPr>
      <w:r>
        <w:rPr>
          <w:rFonts w:ascii="仿宋_GB2312" w:eastAsia="仿宋_GB2312"/>
          <w:b/>
          <w:sz w:val="32"/>
          <w:szCs w:val="32"/>
        </w:rPr>
        <w:drawing>
          <wp:inline distT="0" distB="0" distL="0" distR="0">
            <wp:extent cx="5057775" cy="4305300"/>
            <wp:effectExtent l="19050" t="0" r="9525"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2020年度财政拨款收、支总计5859.19万元。与2019年相比，财政拨款收、支总计各增加442.1万元，增长8.2%。主要是财政拨款增加。</w:t>
      </w:r>
    </w:p>
    <w:p>
      <w:pPr>
        <w:ind w:firstLine="640" w:firstLineChars="200"/>
        <w:rPr>
          <w:rFonts w:ascii="黑体" w:hAnsi="黑体" w:eastAsia="黑体"/>
          <w:sz w:val="32"/>
          <w:szCs w:val="32"/>
        </w:rPr>
      </w:pPr>
      <w:r>
        <w:rPr>
          <w:rFonts w:hint="eastAsia" w:ascii="黑体" w:hAnsi="黑体" w:eastAsia="黑体"/>
          <w:sz w:val="32"/>
          <w:szCs w:val="32"/>
        </w:rPr>
        <w:drawing>
          <wp:inline distT="0" distB="0" distL="0" distR="0">
            <wp:extent cx="5076825" cy="3200400"/>
            <wp:effectExtent l="19050" t="0" r="9525"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2020年度一般公共预算财政拨款支出4276.74万元，占本年支出合计的72.3%。与2019年相比，一般公共预算财政拨款支出增加739.22万元，下降增长20.9%。主要是财政拨款支出增加。</w:t>
      </w:r>
    </w:p>
    <w:p>
      <w:pPr>
        <w:ind w:firstLine="640" w:firstLineChars="200"/>
        <w:rPr>
          <w:rFonts w:ascii="楷体_GB2312" w:eastAsia="楷体_GB2312"/>
          <w:sz w:val="32"/>
          <w:szCs w:val="32"/>
        </w:rPr>
      </w:pPr>
      <w:r>
        <w:rPr>
          <w:rFonts w:hint="eastAsia" w:ascii="楷体_GB2312" w:eastAsia="楷体_GB2312"/>
          <w:sz w:val="32"/>
          <w:szCs w:val="32"/>
        </w:rPr>
        <w:drawing>
          <wp:inline distT="0" distB="0" distL="0" distR="0">
            <wp:extent cx="5200650" cy="3133725"/>
            <wp:effectExtent l="19050" t="0" r="1905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楷体_GB2312" w:eastAsia="楷体_GB2312"/>
          <w:sz w:val="32"/>
          <w:szCs w:val="32"/>
        </w:rPr>
      </w:pP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2020年度一般公共预算财政拨款支出4276.74万元，主要用于以下方面：农林水（类）支出4276.74万元，占100%。</w:t>
      </w:r>
    </w:p>
    <w:p>
      <w:pPr>
        <w:rPr>
          <w:rFonts w:ascii="楷体_GB2312" w:eastAsia="楷体_GB2312"/>
          <w:sz w:val="32"/>
          <w:szCs w:val="32"/>
        </w:rPr>
      </w:pPr>
      <w:r>
        <w:rPr>
          <w:rFonts w:hint="eastAsia" w:ascii="楷体_GB2312" w:eastAsia="楷体_GB2312"/>
          <w:sz w:val="32"/>
          <w:szCs w:val="32"/>
        </w:rPr>
        <w:drawing>
          <wp:inline distT="0" distB="0" distL="0" distR="0">
            <wp:extent cx="5362575" cy="3209925"/>
            <wp:effectExtent l="19050" t="0" r="9525"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2020年度一般公共预算财政拨款支出年初预算为3155.08万元，支出决算为4276.74万元，完成年初预算的135.6%。决算数大于年初预算数的主要原因……。其中：</w:t>
      </w:r>
    </w:p>
    <w:p>
      <w:pPr>
        <w:ind w:firstLine="640" w:firstLineChars="200"/>
        <w:rPr>
          <w:rFonts w:ascii="仿宋_GB2312" w:eastAsia="仿宋_GB2312"/>
          <w:sz w:val="32"/>
          <w:szCs w:val="32"/>
        </w:rPr>
      </w:pPr>
      <w:r>
        <w:rPr>
          <w:rFonts w:hint="eastAsia" w:ascii="仿宋_GB2312" w:eastAsia="仿宋_GB2312"/>
          <w:sz w:val="32"/>
          <w:szCs w:val="32"/>
        </w:rPr>
        <w:t>1、农林水支出（类）农业农村（款）行政运行（项）主要反映</w:t>
      </w:r>
      <w:r>
        <w:rPr>
          <w:rFonts w:hint="eastAsia" w:ascii="仿宋_GB2312" w:eastAsia="仿宋_GB2312"/>
          <w:color w:val="000000" w:themeColor="text1"/>
          <w:sz w:val="32"/>
          <w:szCs w:val="32"/>
        </w:rPr>
        <w:t>用于人员工资、社保等福利</w:t>
      </w:r>
      <w:r>
        <w:rPr>
          <w:rFonts w:hint="eastAsia" w:ascii="仿宋_GB2312" w:eastAsia="仿宋_GB2312"/>
          <w:sz w:val="32"/>
          <w:szCs w:val="32"/>
        </w:rPr>
        <w:t>支出。年初预算为563.08万元，支出决算为565万元，完成年初预算的100.3%。决算数大于年初预算数主要原因是工资上调，人员工资福利支出增加。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2、农林水支出（类）农业农村（款）一般行政管理事务（项）主要反映</w:t>
      </w:r>
      <w:r>
        <w:rPr>
          <w:rFonts w:hint="eastAsia" w:ascii="仿宋_GB2312" w:eastAsia="仿宋_GB2312"/>
          <w:color w:val="000000" w:themeColor="text1"/>
          <w:sz w:val="32"/>
          <w:szCs w:val="32"/>
        </w:rPr>
        <w:t>用于选派到上级部门学习锻炼干部工作生活补贴支出。</w:t>
      </w:r>
      <w:r>
        <w:rPr>
          <w:rFonts w:hint="eastAsia" w:ascii="仿宋_GB2312" w:eastAsia="仿宋_GB2312"/>
          <w:sz w:val="32"/>
          <w:szCs w:val="32"/>
        </w:rPr>
        <w:t>年初预算为0万元，支出决算为2.94万元，主要原因是年初未做预算。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3、农林水支出（类）农业农村（款）病虫害控制（项）主要反映</w:t>
      </w:r>
      <w:r>
        <w:rPr>
          <w:rFonts w:hint="eastAsia" w:ascii="仿宋_GB2312" w:eastAsia="仿宋_GB2312"/>
          <w:color w:val="000000" w:themeColor="text1"/>
          <w:sz w:val="32"/>
          <w:szCs w:val="32"/>
        </w:rPr>
        <w:t>用于</w:t>
      </w:r>
      <w:r>
        <w:rPr>
          <w:rFonts w:hint="eastAsia" w:ascii="仿宋_GB2312" w:eastAsia="仿宋_GB2312"/>
          <w:sz w:val="32"/>
          <w:szCs w:val="32"/>
        </w:rPr>
        <w:t>疫苗购置、强制免疫、畜禽无害化处理补助支出。年初预算为455万元，支出决算为545.11万元，完成年初预算的119.8%。决算数大于年初预算，主要原因是去年的畜禽无害化处理项目今年实施完成。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农林水支出（类）农业农村（款）其他农业农村（项）主要反映用于生猪调出大县、粮改饲项目支出。年初预算为575万元，支出决算为788.13万元，完成年初预算的137.1%。决算数大于年初预算，主要原因是存在往年进展慢的项目，今年实施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农林水支出（类）普惠金融发展支出（款）农业保险保费补贴（项）支出。主要反映用于畜牧养殖保险保费补贴支出。年初预算为1562万元，支出决算为2375.56万元，完成年初预算的152.10%。决算数大于年初预算，主要原因是跨年度支付保险保费补贴。</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2020年度一般公共预算财政拨款基本支出决算565万元，包括人员经费和公用经费，支出具体情况如下：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人员经费540.32万元，主要包括：基本工资、津贴补贴、奖金、机关事业单位基本养老保险、职业年金、职工基本医疗保险缴费、公务员医疗补助缴费、其他社会保障缴费、住房公积金、、对个人和家庭的补助、退职费等。</w:t>
      </w:r>
    </w:p>
    <w:p>
      <w:pPr>
        <w:ind w:firstLine="640" w:firstLineChars="200"/>
        <w:rPr>
          <w:rFonts w:ascii="仿宋_GB2312" w:eastAsia="仿宋_GB2312"/>
          <w:sz w:val="32"/>
          <w:szCs w:val="32"/>
        </w:rPr>
      </w:pPr>
      <w:r>
        <w:rPr>
          <w:rFonts w:hint="eastAsia" w:ascii="仿宋_GB2312" w:eastAsia="仿宋_GB2312"/>
          <w:sz w:val="32"/>
          <w:szCs w:val="32"/>
        </w:rPr>
        <w:t>公用经费24.68万元，主要包括：办公费、咨询费、邮电费差旅费、维修费、培训费、公务接待费、工会经费、公务用车运行维护费、其他交通费、其他商品和服务支出等。</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ascii="仿宋_GB2312" w:eastAsia="仿宋_GB2312"/>
          <w:sz w:val="32"/>
          <w:szCs w:val="32"/>
        </w:rPr>
      </w:pPr>
      <w:r>
        <w:rPr>
          <w:rFonts w:hint="eastAsia" w:ascii="仿宋_GB2312" w:hAnsi="宋体" w:eastAsia="仿宋_GB2312" w:cs="Courier New"/>
          <w:sz w:val="32"/>
          <w:szCs w:val="32"/>
        </w:rPr>
        <w:t>一般公共预算财政拨款“三公”经费支出范围包括泗水县畜牧业发展中心本级，共1个预算单位。</w:t>
      </w:r>
      <w:r>
        <w:rPr>
          <w:rFonts w:hint="eastAsia" w:ascii="仿宋_GB2312" w:eastAsia="仿宋_GB2312"/>
          <w:sz w:val="32"/>
          <w:szCs w:val="32"/>
        </w:rPr>
        <w:t>2020年度一般公共预算财政拨款“三公”经费决算数为4.27万元，完成年初预算的32.8%，其中：因公出国（境）费0万元，完成年初预算的0%；公务用车购置及运行维护费3.37万元，完成年初预算的33.7%；公务接待费0.9万元，完成年初预算的30%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三公”经费决算比年初预算数减少8.73万元，主要原因是车改后由派车制改为出差补助形式，减少公车出行次数；。其中：因公出国（境）费与2020年预算基本持平、公务用车购置及运行费减少6.63万元、公务接待费减少2.1万元。公务用车购置及运行费减少的主要原因是车改后由派车制改为出差补助形式，减少公车出行次数。公务接待费减少的主要原因是压缩接待开支。</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1、因公出国（境）费决算数为0万元，占一般公共预算财政拨款“三公”经费总数的0%。2020年使用财政拨款安排0等单位，因公出国（境）团组0个,累计0人次。开支内容没有该项支出。</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3.37万元，占一般公共预算财政拨款“三公”经费总数的78.9%。其中：公务用车购置费支出0万元，2020年0个单位使用财政拨款购置公务用车0辆，主要是没有该项支出；公务用车运行维护费3.37元，主要用于公车的维护及燃油。2020年1个单位财政拨款开支运行维护费的公务用车保有量为2辆。</w:t>
      </w:r>
    </w:p>
    <w:p>
      <w:pPr>
        <w:ind w:firstLine="640" w:firstLineChars="200"/>
        <w:rPr>
          <w:rFonts w:ascii="仿宋_GB2312" w:eastAsia="仿宋_GB2312"/>
          <w:sz w:val="32"/>
          <w:szCs w:val="32"/>
        </w:rPr>
      </w:pPr>
      <w:r>
        <w:rPr>
          <w:rFonts w:hint="eastAsia" w:ascii="仿宋_GB2312" w:eastAsia="仿宋_GB2312"/>
          <w:sz w:val="32"/>
          <w:szCs w:val="32"/>
        </w:rPr>
        <w:t>3、公务接待费决算数为0.9万元，占一般公共预算财政拨款“三公”经费总数的21.1%。其中：国内接待费0.9万元，主要用于国内公务接待支出，共计接待18批次、112人次（含外事接待0批次、0人次）；国（境）外接待费0万元，共计接待0批次、0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2020年度政府性基金预算财政拨款年初结转和结余0万元，本年收入385.87万元，本年支出368.41万元，年末结转和结余17.47万元。支出具体情况如下：</w:t>
      </w:r>
    </w:p>
    <w:p>
      <w:pPr>
        <w:ind w:firstLine="640" w:firstLineChars="200"/>
        <w:rPr>
          <w:rFonts w:ascii="仿宋_GB2312" w:eastAsia="仿宋_GB2312"/>
          <w:sz w:val="32"/>
          <w:szCs w:val="32"/>
        </w:rPr>
      </w:pPr>
      <w:r>
        <w:rPr>
          <w:rFonts w:hint="eastAsia" w:ascii="仿宋_GB2312" w:eastAsia="仿宋_GB2312"/>
          <w:sz w:val="32"/>
          <w:szCs w:val="32"/>
        </w:rPr>
        <w:t>（一）城乡</w:t>
      </w:r>
      <w:r>
        <w:rPr>
          <w:rFonts w:hint="eastAsia" w:ascii="仿宋_GB2312" w:hAnsi="宋体" w:eastAsia="仿宋_GB2312" w:cs="Courier New"/>
          <w:sz w:val="32"/>
          <w:szCs w:val="32"/>
        </w:rPr>
        <w:t>社会支出（类）国有土地使用权出让收入安排的支出（款）土地开发支出（项）。</w:t>
      </w:r>
      <w:r>
        <w:rPr>
          <w:rFonts w:hint="eastAsia" w:ascii="仿宋_GB2312" w:eastAsia="仿宋_GB2312"/>
          <w:sz w:val="32"/>
          <w:szCs w:val="32"/>
        </w:rPr>
        <w:t>主要反映用于畜禽粪污资源化利用、非洲猪瘟应急防控实验室建设支出。年初预算为0万元，支出决算为330.51万元，决算数大于年初预算数主要原因是年初无预算数。</w:t>
      </w:r>
    </w:p>
    <w:p>
      <w:pPr>
        <w:ind w:firstLine="640" w:firstLineChars="200"/>
        <w:rPr>
          <w:rFonts w:ascii="仿宋_GB2312" w:eastAsia="仿宋_GB2312"/>
          <w:sz w:val="32"/>
          <w:szCs w:val="32"/>
        </w:rPr>
      </w:pPr>
      <w:r>
        <w:rPr>
          <w:rFonts w:hint="eastAsia" w:ascii="仿宋_GB2312" w:eastAsia="仿宋_GB2312"/>
          <w:sz w:val="32"/>
          <w:szCs w:val="32"/>
        </w:rPr>
        <w:t>（二）城乡</w:t>
      </w:r>
      <w:r>
        <w:rPr>
          <w:rFonts w:hint="eastAsia" w:ascii="仿宋_GB2312" w:hAnsi="宋体" w:eastAsia="仿宋_GB2312" w:cs="Courier New"/>
          <w:sz w:val="32"/>
          <w:szCs w:val="32"/>
        </w:rPr>
        <w:t>社会支出（类）国有土地使用权出让收入安排的支出（款）其他国有土地使用权出让收入安排的支出（项）。</w:t>
      </w:r>
      <w:r>
        <w:rPr>
          <w:rFonts w:hint="eastAsia" w:ascii="仿宋_GB2312" w:eastAsia="仿宋_GB2312"/>
          <w:sz w:val="32"/>
          <w:szCs w:val="32"/>
        </w:rPr>
        <w:t>主要反映用于畜禽粪污资源化利用县级配套、非洲猪瘟应急防控实验室建设支出。年初预算为0万元，支出决算为37.89万元，决算数大于年初预算数主要原因是年初无预算数。</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ascii="黑体" w:hAnsi="黑体" w:eastAsia="黑体"/>
          <w:sz w:val="32"/>
          <w:szCs w:val="32"/>
        </w:rPr>
      </w:pPr>
      <w:r>
        <w:rPr>
          <w:rFonts w:hint="eastAsia" w:ascii="黑体" w:hAnsi="黑体" w:eastAsia="黑体"/>
          <w:sz w:val="32"/>
          <w:szCs w:val="32"/>
        </w:rPr>
        <w:t>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spacing w:line="560" w:lineRule="exact"/>
        <w:ind w:firstLine="601"/>
        <w:rPr>
          <w:rFonts w:ascii="仿宋_GB2312" w:eastAsia="仿宋_GB2312"/>
          <w:sz w:val="32"/>
          <w:szCs w:val="32"/>
        </w:rPr>
      </w:pPr>
      <w:r>
        <w:rPr>
          <w:rFonts w:hint="eastAsia" w:ascii="仿宋_GB2312" w:eastAsia="仿宋_GB2312"/>
          <w:sz w:val="32"/>
          <w:szCs w:val="32"/>
        </w:rPr>
        <w:t>泗水县畜牧业发展中心是事业单位，没有机关运行经费。</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spacing w:line="560" w:lineRule="exact"/>
        <w:ind w:firstLine="601"/>
        <w:rPr>
          <w:rFonts w:ascii="仿宋_GB2312" w:eastAsia="仿宋_GB2312"/>
          <w:sz w:val="32"/>
          <w:szCs w:val="32"/>
        </w:rPr>
      </w:pPr>
      <w:r>
        <w:rPr>
          <w:rFonts w:hint="eastAsia" w:ascii="仿宋_GB2312" w:eastAsia="仿宋_GB2312"/>
          <w:sz w:val="32"/>
          <w:szCs w:val="32"/>
        </w:rPr>
        <w:t>2020年度政府采购支出总额0万元，其中：政府采购货物支出0万元、政府采购工程支出0万元、政府采购服务支出0万元。授予中小企业合同金额0万元，其中：授予小微企业合同金额0万元。）</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spacing w:line="560" w:lineRule="exact"/>
        <w:ind w:firstLine="601"/>
        <w:rPr>
          <w:rFonts w:ascii="仿宋_GB2312" w:eastAsia="仿宋_GB2312"/>
          <w:sz w:val="32"/>
          <w:szCs w:val="32"/>
        </w:rPr>
      </w:pPr>
      <w:r>
        <w:rPr>
          <w:rFonts w:hint="eastAsia" w:ascii="仿宋_GB2312" w:hAnsi="宋体" w:eastAsia="仿宋_GB2312" w:cs="Courier New"/>
          <w:sz w:val="32"/>
          <w:szCs w:val="32"/>
        </w:rPr>
        <w:t>截至2020年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w:t>
      </w:r>
      <w:r>
        <w:rPr>
          <w:rFonts w:hint="eastAsia" w:ascii="仿宋_GB2312" w:eastAsia="仿宋_GB2312"/>
          <w:sz w:val="32"/>
          <w:szCs w:val="32"/>
        </w:rPr>
        <w:t>本部门共有车辆2辆，其中，</w:t>
      </w:r>
      <w:r>
        <w:rPr>
          <w:rFonts w:hint="eastAsia" w:ascii="仿宋_GB2312" w:hAnsi="宋体" w:eastAsia="仿宋_GB2312" w:cs="Courier New"/>
          <w:sz w:val="32"/>
          <w:szCs w:val="32"/>
        </w:rPr>
        <w:t>符合规定的领导干部用车</w:t>
      </w:r>
      <w:r>
        <w:rPr>
          <w:rFonts w:ascii="仿宋_GB2312" w:hAnsi="宋体" w:eastAsia="仿宋_GB2312" w:cs="Courier New"/>
          <w:sz w:val="32"/>
          <w:szCs w:val="32"/>
        </w:rPr>
        <w:t>0</w:t>
      </w:r>
      <w:r>
        <w:rPr>
          <w:rFonts w:hint="eastAsia" w:ascii="仿宋_GB2312" w:hAnsi="宋体" w:eastAsia="仿宋_GB2312" w:cs="Courier New"/>
          <w:sz w:val="32"/>
          <w:szCs w:val="32"/>
        </w:rPr>
        <w:t>辆、机要通信用车1辆、应急保障用车</w:t>
      </w:r>
      <w:r>
        <w:rPr>
          <w:rFonts w:ascii="仿宋_GB2312" w:hAnsi="宋体" w:eastAsia="仿宋_GB2312" w:cs="Courier New"/>
          <w:sz w:val="32"/>
          <w:szCs w:val="32"/>
        </w:rPr>
        <w:t>0</w:t>
      </w:r>
      <w:r>
        <w:rPr>
          <w:rFonts w:hint="eastAsia" w:ascii="仿宋_GB2312" w:hAnsi="宋体" w:eastAsia="仿宋_GB2312" w:cs="Courier New"/>
          <w:sz w:val="32"/>
          <w:szCs w:val="32"/>
        </w:rPr>
        <w:t>辆、执法执勤用车</w:t>
      </w:r>
      <w:r>
        <w:rPr>
          <w:rFonts w:ascii="仿宋_GB2312" w:hAnsi="宋体" w:eastAsia="仿宋_GB2312" w:cs="Courier New"/>
          <w:sz w:val="32"/>
          <w:szCs w:val="32"/>
        </w:rPr>
        <w:t>0</w:t>
      </w:r>
      <w:r>
        <w:rPr>
          <w:rFonts w:hint="eastAsia" w:ascii="仿宋_GB2312" w:hAnsi="宋体" w:eastAsia="仿宋_GB2312" w:cs="Courier New"/>
          <w:sz w:val="32"/>
          <w:szCs w:val="32"/>
        </w:rPr>
        <w:t>辆、特种专业技术用车1辆、其他用车0辆</w:t>
      </w:r>
      <w:r>
        <w:rPr>
          <w:rFonts w:hint="eastAsia" w:ascii="仿宋_GB2312" w:eastAsia="仿宋_GB2312"/>
          <w:sz w:val="32"/>
          <w:szCs w:val="32"/>
        </w:rPr>
        <w:t>；单位价值50万元以上通用设备0台（套），单位价值100万元以上专用设备0 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 xml:space="preserve">根据预算绩效管理要求，泗水县畜牧业发展中心按照“谁用款、谁评价”的原则，组织对本单位，对2020年度县级部门预算项目进行全面自评，涵盖项目3个，涉及预算资金80万元，占部门预算项目支出总额100%。 </w:t>
      </w:r>
    </w:p>
    <w:p>
      <w:pPr>
        <w:adjustRightInd w:val="0"/>
        <w:snapToGrid w:val="0"/>
        <w:spacing w:line="560" w:lineRule="exact"/>
        <w:ind w:firstLine="640" w:firstLineChars="200"/>
        <w:rPr>
          <w:rFonts w:ascii="Calibri" w:hAnsi="Calibri" w:eastAsia="仿宋_GB2312" w:cs="Times New Roman"/>
          <w:snapToGrid w:val="0"/>
          <w:kern w:val="0"/>
          <w:sz w:val="32"/>
          <w:szCs w:val="32"/>
        </w:rPr>
      </w:pPr>
      <w:r>
        <w:rPr>
          <w:rFonts w:hint="eastAsia" w:ascii="仿宋_GB2312" w:eastAsia="仿宋_GB2312"/>
          <w:sz w:val="32"/>
          <w:szCs w:val="32"/>
        </w:rPr>
        <w:t>组织对“疫苗购置”、 “采样、监测、流调”、“畜产品质量安全监测”等3个项目开展了部门评价，涉及资金80万元，上述项目我单位自行开展绩效评价。疫苗购置”：制定出自评方案，逐项落实资金的拨付流向和使用效果，认真填写自评表格，按时完成了预订的各项指标与任务，取得显著效果，受到各界人士的好评。“采样、监测、流调” “畜产品质量安全监测”：</w:t>
      </w:r>
      <w:r>
        <w:rPr>
          <w:rFonts w:hint="eastAsia" w:ascii="Calibri" w:hAnsi="Calibri" w:eastAsia="仿宋_GB2312" w:cs="Times New Roman"/>
          <w:snapToGrid w:val="0"/>
          <w:kern w:val="0"/>
          <w:sz w:val="32"/>
          <w:szCs w:val="32"/>
        </w:rPr>
        <w:t>2020年2月泗水县畜牧业发展中心和泗水县检验检测中心签订抽检合同，4月份泗水县检验检测中心完成抽检任务,</w:t>
      </w:r>
      <w:r>
        <w:rPr>
          <w:rFonts w:ascii="Calibri" w:hAnsi="Calibri" w:eastAsia="仿宋_GB2312" w:cs="Times New Roman"/>
          <w:snapToGrid w:val="0"/>
          <w:kern w:val="0"/>
          <w:sz w:val="32"/>
          <w:szCs w:val="32"/>
        </w:rPr>
        <w:t>出具检测报告</w:t>
      </w:r>
      <w:r>
        <w:rPr>
          <w:rFonts w:hint="eastAsia" w:ascii="Calibri" w:hAnsi="Calibri" w:eastAsia="仿宋_GB2312" w:cs="Times New Roman"/>
          <w:snapToGrid w:val="0"/>
          <w:kern w:val="0"/>
          <w:sz w:val="32"/>
          <w:szCs w:val="32"/>
        </w:rPr>
        <w:t>，所抽检样品</w:t>
      </w:r>
      <w:r>
        <w:rPr>
          <w:rFonts w:ascii="Calibri" w:hAnsi="Calibri" w:eastAsia="仿宋_GB2312" w:cs="Times New Roman"/>
          <w:snapToGrid w:val="0"/>
          <w:kern w:val="0"/>
          <w:sz w:val="32"/>
          <w:szCs w:val="32"/>
        </w:rPr>
        <w:t>符合国家抽检标准。</w:t>
      </w:r>
      <w:r>
        <w:rPr>
          <w:rFonts w:hint="eastAsia" w:ascii="Calibri" w:hAnsi="Calibri" w:eastAsia="仿宋_GB2312" w:cs="Times New Roman"/>
          <w:snapToGrid w:val="0"/>
          <w:kern w:val="0"/>
          <w:sz w:val="32"/>
          <w:szCs w:val="32"/>
        </w:rPr>
        <w:t>总体绩效成果及自评结论良好。抽检合格率为100%。</w:t>
      </w:r>
    </w:p>
    <w:p>
      <w:pPr>
        <w:overflowPunct w:val="0"/>
        <w:spacing w:line="560" w:lineRule="exact"/>
        <w:ind w:firstLine="640"/>
        <w:rPr>
          <w:rFonts w:ascii="仿宋_GB2312" w:eastAsia="仿宋_GB2312"/>
          <w:sz w:val="32"/>
          <w:szCs w:val="32"/>
        </w:rPr>
      </w:pPr>
      <w:r>
        <w:rPr>
          <w:rFonts w:hint="eastAsia" w:ascii="仿宋_GB2312" w:eastAsia="仿宋_GB2312"/>
          <w:sz w:val="32"/>
          <w:szCs w:val="32"/>
        </w:rPr>
        <w:t>从评价情况来看，上述3个项目完成情况较好，主要表现为：项目立项程序完整、规范，设置了明确的绩效目标，财务制度较健全，预算执行及时、有效，群众满意度较高，基本实现了预期。</w:t>
      </w:r>
    </w:p>
    <w:p>
      <w:pPr>
        <w:ind w:firstLine="643" w:firstLineChars="200"/>
        <w:rPr>
          <w:rFonts w:ascii="仿宋_GB2312" w:eastAsia="仿宋_GB2312"/>
          <w:b/>
          <w:bCs/>
          <w:kern w:val="0"/>
          <w:sz w:val="32"/>
          <w:szCs w:val="32"/>
        </w:rPr>
      </w:pPr>
      <w:r>
        <w:rPr>
          <w:rFonts w:hint="eastAsia" w:ascii="仿宋_GB2312" w:eastAsia="仿宋_GB2312"/>
          <w:b/>
          <w:bCs/>
          <w:kern w:val="0"/>
          <w:sz w:val="32"/>
          <w:szCs w:val="32"/>
        </w:rPr>
        <w:t>2、部门决算中项目绩效自评结果。</w:t>
      </w:r>
      <w:r>
        <w:rPr>
          <w:rFonts w:hint="eastAsia" w:ascii="仿宋_GB2312" w:eastAsia="仿宋_GB2312"/>
          <w:kern w:val="0"/>
          <w:sz w:val="32"/>
          <w:szCs w:val="32"/>
        </w:rPr>
        <w:t>泗水县畜牧业发展中心</w:t>
      </w:r>
      <w:r>
        <w:rPr>
          <w:rFonts w:hint="eastAsia" w:ascii="仿宋_GB2312" w:eastAsia="仿宋_GB2312"/>
          <w:sz w:val="32"/>
          <w:szCs w:val="32"/>
        </w:rPr>
        <w:t>2020年度县级部门预算项目绩效自评的3个项目中，有1个项目自评等级为优，2个项目自评等级为良。</w:t>
      </w:r>
      <w:r>
        <w:rPr>
          <w:rFonts w:hint="eastAsia" w:ascii="仿宋_GB2312" w:eastAsia="仿宋_GB2312" w:cs="仿宋_GB2312"/>
          <w:sz w:val="32"/>
          <w:szCs w:val="32"/>
        </w:rPr>
        <w:t>从自评情况看，项目支出绩效管理的重视程度进一步提升，大部分项目有序开展，执行和完成情况较好，</w:t>
      </w:r>
      <w:r>
        <w:rPr>
          <w:rFonts w:hint="eastAsia" w:ascii="仿宋_GB2312" w:eastAsia="仿宋_GB2312"/>
          <w:sz w:val="32"/>
          <w:szCs w:val="32"/>
        </w:rPr>
        <w:t>资金使用比较规范。</w:t>
      </w:r>
    </w:p>
    <w:p>
      <w:pPr>
        <w:ind w:firstLine="640" w:firstLineChars="200"/>
        <w:rPr>
          <w:rFonts w:ascii="仿宋_GB2312" w:eastAsia="仿宋_GB2312"/>
          <w:sz w:val="32"/>
          <w:szCs w:val="32"/>
          <w:u w:val="single"/>
        </w:rPr>
      </w:pPr>
      <w:r>
        <w:rPr>
          <w:rFonts w:hint="eastAsia" w:ascii="仿宋_GB2312" w:eastAsia="仿宋_GB2312"/>
          <w:sz w:val="32"/>
          <w:szCs w:val="32"/>
        </w:rPr>
        <w:t>今年在部门决算中反映了2020年度泗水县畜牧业发展中心项目支出绩效自评情况，以及“疫苗购置”、 “采样、监测、流调”、“畜产品质量安全监测”等3个项目的绩效自评具体结果。</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以“疫苗购置”项目为例，该项目绩效评价综合得分98，评价结果为“优”。</w:t>
      </w: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rPr>
          <w:rFonts w:ascii="方正小标宋简体" w:eastAsia="方正小标宋简体"/>
          <w:spacing w:val="60"/>
          <w:sz w:val="32"/>
          <w:szCs w:val="32"/>
        </w:rPr>
      </w:pPr>
    </w:p>
    <w:p>
      <w:pPr>
        <w:jc w:val="left"/>
        <w:rPr>
          <w:rFonts w:ascii="方正小标宋简体" w:eastAsia="方正小标宋简体"/>
          <w:spacing w:val="60"/>
          <w:sz w:val="32"/>
          <w:szCs w:val="32"/>
        </w:rPr>
      </w:pPr>
    </w:p>
    <w:p>
      <w:pPr>
        <w:ind w:firstLine="640" w:firstLineChars="200"/>
        <w:rPr>
          <w:rFonts w:ascii="黑体" w:hAnsi="黑体" w:eastAsia="黑体"/>
          <w:color w:val="000000"/>
          <w:sz w:val="32"/>
          <w:szCs w:val="32"/>
        </w:rPr>
      </w:pPr>
    </w:p>
    <w:p>
      <w:pPr>
        <w:ind w:firstLine="640" w:firstLineChars="200"/>
        <w:rPr>
          <w:rFonts w:ascii="黑体" w:hAnsi="黑体" w:eastAsia="黑体"/>
          <w:color w:val="000000"/>
          <w:sz w:val="32"/>
          <w:szCs w:val="32"/>
        </w:rPr>
      </w:pPr>
    </w:p>
    <w:p>
      <w:pPr>
        <w:ind w:firstLine="640" w:firstLineChars="200"/>
        <w:rPr>
          <w:rFonts w:ascii="黑体" w:hAnsi="黑体" w:eastAsia="黑体"/>
          <w:color w:val="00000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指单位从同级财政部门取得的财政预算资金。按现行管理制度，县级部门决算中反映的财政拨款包括一般公共预算财政拨款和政府性基金财政拨款。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县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十六、农林水支出（类）农业农村（款）行政运行（项）：反映</w:t>
      </w:r>
      <w:r>
        <w:rPr>
          <w:rFonts w:hint="eastAsia" w:ascii="仿宋_GB2312" w:eastAsia="仿宋_GB2312"/>
          <w:sz w:val="32"/>
          <w:szCs w:val="32"/>
        </w:rPr>
        <w:t>行政单位（包括实行公务员管理的事业单位）的基本支出。</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十七、农林水支出（类）农业农村（款）一般行政管理事务（项）：</w:t>
      </w:r>
      <w:r>
        <w:rPr>
          <w:rFonts w:hint="eastAsia" w:ascii="仿宋_GB2312" w:eastAsia="仿宋_GB2312"/>
          <w:sz w:val="32"/>
          <w:szCs w:val="32"/>
        </w:rPr>
        <w:t>反映行政单位（包括实行公务员管理的事业单位）未单独设置项级科目的其他项目支出。</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十八、农林水支出（类）农业农村（款）病虫害控制（项）：</w:t>
      </w:r>
      <w:r>
        <w:rPr>
          <w:rFonts w:hint="eastAsia" w:ascii="仿宋_GB2312" w:eastAsia="仿宋_GB2312"/>
          <w:sz w:val="32"/>
          <w:szCs w:val="32"/>
        </w:rPr>
        <w:t>反映用于病虫鼠害及疫情监测、预报、预防、控制、检疫、防疫所需的仪器、设施、药物、疫苗、种苗，疫畜（禽、鱼、植物）防治、扑杀补偿及劳务补助、菌（毒）种保藏及动植物及其产品检疫、检测等方面的支出。</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十九、农林水支出（类）农业农村（款）其他农业农村（支出（项）：</w:t>
      </w:r>
      <w:r>
        <w:rPr>
          <w:rFonts w:hint="eastAsia" w:ascii="仿宋_GB2312" w:eastAsia="仿宋_GB2312"/>
          <w:sz w:val="32"/>
          <w:szCs w:val="32"/>
        </w:rPr>
        <w:t>反映除上述项目以外其他用于农业方面的支出。</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二十、农林水支出（类）普惠金融发展支出（款）农业保险保费补贴（项）：</w:t>
      </w:r>
      <w:r>
        <w:rPr>
          <w:rFonts w:hint="eastAsia" w:ascii="仿宋_GB2312" w:eastAsia="仿宋_GB2312"/>
          <w:sz w:val="32"/>
          <w:szCs w:val="32"/>
        </w:rPr>
        <w:t>反映对农民或农业生产经营组织投保农业保险给予的补贴。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二十一、城乡社区支出（类）国有土地使用权出让收入安排的支出（款）土地开发支出（项）：</w:t>
      </w:r>
      <w:r>
        <w:rPr>
          <w:rFonts w:hint="eastAsia" w:ascii="仿宋_GB2312" w:eastAsia="仿宋_GB2312"/>
          <w:sz w:val="32"/>
          <w:szCs w:val="32"/>
        </w:rPr>
        <w:t>反映用于土地使用权出让金、新增建设用地有偿使用费、补偿费、征地管理费、耕地复垦费、相关税费。</w:t>
      </w:r>
    </w:p>
    <w:p>
      <w:pPr>
        <w:spacing w:line="560" w:lineRule="exact"/>
        <w:ind w:firstLine="640" w:firstLineChars="200"/>
        <w:rPr>
          <w:rFonts w:ascii="仿宋_GB2312" w:eastAsia="仿宋_GB2312"/>
          <w:b/>
          <w:sz w:val="32"/>
          <w:szCs w:val="32"/>
          <w:highlight w:val="lightGray"/>
        </w:rPr>
      </w:pPr>
      <w:r>
        <w:rPr>
          <w:rFonts w:hint="eastAsia" w:ascii="黑体" w:hAnsi="黑体" w:eastAsia="黑体"/>
          <w:sz w:val="32"/>
          <w:szCs w:val="32"/>
        </w:rPr>
        <w:t>二十二、城乡社区支出（类）国有土地使用权出让收入安排的支出（款）其他国有土地使用权出让收入安排的支出（项）：</w:t>
      </w:r>
      <w:r>
        <w:rPr>
          <w:rFonts w:hint="eastAsia" w:ascii="仿宋_GB2312" w:eastAsia="仿宋_GB2312"/>
          <w:sz w:val="32"/>
          <w:szCs w:val="32"/>
        </w:rPr>
        <w:t>反映除上述项目以外其他用于</w:t>
      </w:r>
      <w:r>
        <w:rPr>
          <w:rFonts w:hint="eastAsia" w:ascii="黑体" w:hAnsi="黑体" w:eastAsia="黑体"/>
          <w:sz w:val="32"/>
          <w:szCs w:val="32"/>
        </w:rPr>
        <w:t>国有土地使用权出让收入安排的支出。</w:t>
      </w: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2020年度泗水县畜牧业发展中心部门预算项目绩效自评情况汇总表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1"/>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744"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87"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8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疫苗购置</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泗水县畜牧业发展中心</w:t>
            </w: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98</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采样、监测、流调</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rPr>
              <w:t>泗水县畜牧业发展中心</w:t>
            </w: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94</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良</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畜产品质量安全监测</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rPr>
              <w:t>泗水县畜牧业发展中心</w:t>
            </w: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94</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良</w:t>
            </w:r>
          </w:p>
        </w:tc>
      </w:tr>
      <w:tr>
        <w:tblPrEx>
          <w:tblCellMar>
            <w:top w:w="15" w:type="dxa"/>
            <w:left w:w="15" w:type="dxa"/>
            <w:bottom w:w="15" w:type="dxa"/>
            <w:right w:w="15" w:type="dxa"/>
          </w:tblCellMar>
        </w:tblPrEx>
        <w:trPr>
          <w:trHeight w:val="378"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1"/>
        <w:tblW w:w="9358" w:type="dxa"/>
        <w:jc w:val="center"/>
        <w:tblLayout w:type="fixed"/>
        <w:tblCellMar>
          <w:top w:w="0" w:type="dxa"/>
          <w:left w:w="108" w:type="dxa"/>
          <w:bottom w:w="0" w:type="dxa"/>
          <w:right w:w="108" w:type="dxa"/>
        </w:tblCellMar>
      </w:tblPr>
      <w:tblGrid>
        <w:gridCol w:w="419"/>
        <w:gridCol w:w="827"/>
        <w:gridCol w:w="1240"/>
        <w:gridCol w:w="284"/>
        <w:gridCol w:w="1482"/>
        <w:gridCol w:w="382"/>
        <w:gridCol w:w="1020"/>
        <w:gridCol w:w="893"/>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县级预算项目支出绩效自评表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疫苗购置</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泗水县畜牧业发展中心</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泗水县畜牧业发展中心</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4366090</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100.00%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10.0 </w:t>
            </w:r>
          </w:p>
        </w:tc>
      </w:tr>
      <w:tr>
        <w:tblPrEx>
          <w:tblCellMar>
            <w:top w:w="0" w:type="dxa"/>
            <w:left w:w="108" w:type="dxa"/>
            <w:bottom w:w="0" w:type="dxa"/>
            <w:right w:w="108" w:type="dxa"/>
          </w:tblCellMar>
        </w:tblPrEx>
        <w:trPr>
          <w:trHeight w:val="55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100.00%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 xml:space="preserve">10.0 </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疫苗购置</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完成疫苗购置</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14"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全县各镇街</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13</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13</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nil"/>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免疫率达到国家标准</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nil"/>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耳标佩戴率达到国家标准</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抗体监测合格率达到国家标准</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疫苗发放及时率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疫苗购置</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70万元</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70.00 </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畜牧总产值</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稳中有进进</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稳中有进进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动物疫病防控工作有效率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减少死亡，降低污染。</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2-5%</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2-5%</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608"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降低畜禽死亡率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2-5%</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2-5%</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5.0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98.00%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95.00%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10.0 </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 xml:space="preserve">8.0 </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364"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98</w:t>
            </w: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40"/>
        <w:gridCol w:w="284"/>
        <w:gridCol w:w="1482"/>
        <w:gridCol w:w="382"/>
        <w:gridCol w:w="1020"/>
        <w:gridCol w:w="893"/>
        <w:gridCol w:w="349"/>
        <w:gridCol w:w="292"/>
        <w:gridCol w:w="516"/>
        <w:gridCol w:w="130"/>
        <w:gridCol w:w="747"/>
        <w:gridCol w:w="777"/>
      </w:tblGrid>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畜牧信息服务、畜产品质量安全抽样</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泗水县畜牧业发展中心</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泗水县畜牧业发展中心</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6"/>
                <w:szCs w:val="16"/>
              </w:rPr>
            </w:pPr>
            <w:r>
              <w:rPr>
                <w:rFonts w:ascii="宋体" w:hAnsi="宋体" w:cs="宋体"/>
                <w:color w:val="000000"/>
                <w:kern w:val="0"/>
                <w:sz w:val="16"/>
                <w:szCs w:val="16"/>
              </w:rPr>
              <w:t>4366090</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w:t>
            </w:r>
          </w:p>
        </w:tc>
      </w:tr>
      <w:tr>
        <w:tblPrEx>
          <w:tblCellMar>
            <w:top w:w="0" w:type="dxa"/>
            <w:left w:w="108" w:type="dxa"/>
            <w:bottom w:w="0" w:type="dxa"/>
            <w:right w:w="108" w:type="dxa"/>
          </w:tblCellMar>
        </w:tblPrEx>
        <w:trPr>
          <w:trHeight w:val="55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购买监测抽样物资</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eastAsia="宋体" w:cs="宋体"/>
                <w:b/>
                <w:bCs/>
                <w:color w:val="000000"/>
                <w:szCs w:val="21"/>
              </w:rPr>
            </w:pPr>
            <w:r>
              <w:rPr>
                <w:rFonts w:hint="eastAsia" w:ascii="宋体" w:hAnsi="宋体" w:cs="宋体"/>
                <w:color w:val="000000"/>
                <w:kern w:val="0"/>
                <w:sz w:val="16"/>
                <w:szCs w:val="16"/>
              </w:rPr>
              <w:t>购买监测抽样物资</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14"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vMerge w:val="restart"/>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防护服</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400</w:t>
            </w:r>
            <w:r>
              <w:rPr>
                <w:rFonts w:hint="eastAsia" w:ascii="宋体" w:hAnsi="宋体" w:cs="宋体"/>
                <w:color w:val="000000"/>
                <w:kern w:val="0"/>
                <w:sz w:val="16"/>
                <w:szCs w:val="16"/>
              </w:rPr>
              <w:t>个</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400</w:t>
            </w:r>
            <w:r>
              <w:rPr>
                <w:rFonts w:hint="eastAsia" w:ascii="宋体" w:hAnsi="宋体" w:cs="宋体"/>
                <w:color w:val="000000"/>
                <w:kern w:val="0"/>
                <w:sz w:val="16"/>
                <w:szCs w:val="16"/>
              </w:rPr>
              <w:t>个</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kern w:val="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p>
        </w:tc>
        <w:tc>
          <w:tcPr>
            <w:tcW w:w="1240" w:type="dxa"/>
            <w:vMerge w:val="continue"/>
            <w:tcBorders>
              <w:left w:val="nil"/>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口罩</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3000</w:t>
            </w:r>
            <w:r>
              <w:rPr>
                <w:rFonts w:hint="eastAsia" w:ascii="宋体" w:hAnsi="宋体" w:cs="宋体"/>
                <w:color w:val="000000"/>
                <w:kern w:val="0"/>
                <w:sz w:val="16"/>
                <w:szCs w:val="16"/>
              </w:rPr>
              <w:t>个</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3000</w:t>
            </w:r>
            <w:r>
              <w:rPr>
                <w:rFonts w:hint="eastAsia" w:ascii="宋体" w:hAnsi="宋体" w:cs="宋体"/>
                <w:color w:val="000000"/>
                <w:kern w:val="0"/>
                <w:sz w:val="16"/>
                <w:szCs w:val="16"/>
              </w:rPr>
              <w:t>个</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kern w:val="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p>
        </w:tc>
        <w:tc>
          <w:tcPr>
            <w:tcW w:w="1240" w:type="dxa"/>
            <w:vMerge w:val="continue"/>
            <w:tcBorders>
              <w:left w:val="nil"/>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消毒药</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500</w:t>
            </w:r>
            <w:r>
              <w:rPr>
                <w:rFonts w:hint="eastAsia" w:ascii="宋体" w:hAnsi="宋体" w:cs="宋体"/>
                <w:color w:val="000000"/>
                <w:kern w:val="0"/>
                <w:sz w:val="16"/>
                <w:szCs w:val="16"/>
              </w:rPr>
              <w:t>瓶</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500</w:t>
            </w:r>
            <w:r>
              <w:rPr>
                <w:rFonts w:hint="eastAsia" w:ascii="宋体" w:hAnsi="宋体" w:cs="宋体"/>
                <w:color w:val="000000"/>
                <w:kern w:val="0"/>
                <w:sz w:val="16"/>
                <w:szCs w:val="16"/>
              </w:rPr>
              <w:t>瓶</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kern w:val="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p>
        </w:tc>
        <w:tc>
          <w:tcPr>
            <w:tcW w:w="1240" w:type="dxa"/>
            <w:vMerge w:val="continue"/>
            <w:tcBorders>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卫生帽</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4000</w:t>
            </w:r>
            <w:r>
              <w:rPr>
                <w:rFonts w:hint="eastAsia" w:ascii="宋体" w:hAnsi="宋体" w:cs="宋体"/>
                <w:color w:val="000000"/>
                <w:kern w:val="0"/>
                <w:sz w:val="16"/>
                <w:szCs w:val="16"/>
              </w:rPr>
              <w:t>个</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4000</w:t>
            </w:r>
            <w:r>
              <w:rPr>
                <w:rFonts w:hint="eastAsia" w:ascii="宋体" w:hAnsi="宋体" w:cs="宋体"/>
                <w:color w:val="000000"/>
                <w:kern w:val="0"/>
                <w:sz w:val="16"/>
                <w:szCs w:val="16"/>
              </w:rPr>
              <w:t>个</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nil"/>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完成率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购置及时率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100.00%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资金支出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w:t>
            </w:r>
            <w:r>
              <w:rPr>
                <w:rFonts w:hint="eastAsia" w:ascii="宋体" w:hAnsi="宋体" w:cs="宋体"/>
                <w:color w:val="000000"/>
                <w:kern w:val="0"/>
                <w:sz w:val="16"/>
                <w:szCs w:val="16"/>
              </w:rPr>
              <w:t>万元</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4</w:t>
            </w:r>
            <w:r>
              <w:rPr>
                <w:rFonts w:hint="eastAsia" w:ascii="宋体" w:hAnsi="宋体" w:cs="宋体"/>
                <w:color w:val="000000"/>
                <w:kern w:val="0"/>
                <w:sz w:val="16"/>
                <w:szCs w:val="16"/>
              </w:rPr>
              <w:t>万元</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专业技术人员在进行抽样、监测、流调时能进行更好地自我防护，确保一场一服，避免养殖场之间交叉污染，减少发病率、降低死亡率。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降低动物重大疫病发病</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降低动物重大疫病发病</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08"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有效避免重大动物疫病疫情发生</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促进畜牧业健康发展</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促进畜牧业健康发展</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95%</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95%</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ascii="宋体" w:hAnsi="宋体" w:cs="宋体"/>
                <w:color w:val="000000"/>
                <w:kern w:val="0"/>
                <w:sz w:val="16"/>
                <w:szCs w:val="16"/>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364"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94</w:t>
            </w: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spacing w:line="640" w:lineRule="exact"/>
        <w:jc w:val="center"/>
        <w:rPr>
          <w:rFonts w:ascii="方正小标宋简体" w:hAnsi="方正小标宋简体" w:eastAsia="方正小标宋简体" w:cs="方正小标宋简体"/>
          <w:kern w:val="0"/>
          <w:sz w:val="44"/>
          <w:szCs w:val="44"/>
        </w:rPr>
      </w:pPr>
    </w:p>
    <w:p>
      <w:pPr>
        <w:spacing w:line="64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kern w:val="0"/>
          <w:sz w:val="44"/>
          <w:szCs w:val="44"/>
        </w:rPr>
        <w:t>2020年度泗水县</w:t>
      </w:r>
      <w:r>
        <w:rPr>
          <w:rFonts w:hint="eastAsia" w:ascii="方正小标宋简体" w:hAnsi="方正小标宋简体" w:eastAsia="方正小标宋简体" w:cs="Times New Roman"/>
          <w:sz w:val="44"/>
          <w:szCs w:val="44"/>
        </w:rPr>
        <w:t>畜牧业发展中心</w:t>
      </w:r>
    </w:p>
    <w:p>
      <w:pPr>
        <w:overflowPunct w:val="0"/>
        <w:adjustRightInd w:val="0"/>
        <w:snapToGrid w:val="0"/>
        <w:spacing w:line="600" w:lineRule="exact"/>
        <w:jc w:val="center"/>
        <w:outlineLvl w:val="0"/>
        <w:rPr>
          <w:rFonts w:ascii="方正小标宋简体" w:hAnsi="Calibri" w:eastAsia="方正小标宋简体" w:cs="Times New Roman"/>
          <w:sz w:val="44"/>
          <w:szCs w:val="44"/>
        </w:rPr>
      </w:pPr>
      <w:r>
        <w:rPr>
          <w:rFonts w:hint="eastAsia" w:ascii="方正小标宋简体" w:eastAsia="方正小标宋简体"/>
          <w:sz w:val="44"/>
          <w:szCs w:val="44"/>
        </w:rPr>
        <w:t>绩效评价报告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为了进一步做好各级财政动物疫病防控支持政策的贯彻落实，规范资金使用管理，提高资金使用效率，</w:t>
      </w:r>
      <w:r>
        <w:rPr>
          <w:rFonts w:ascii="仿宋_GB2312" w:eastAsia="仿宋_GB2312"/>
          <w:sz w:val="32"/>
          <w:szCs w:val="32"/>
        </w:rPr>
        <w:t>根据《中华人民共和国预算法》</w:t>
      </w:r>
      <w:r>
        <w:rPr>
          <w:rFonts w:hint="eastAsia" w:ascii="仿宋_GB2312" w:eastAsia="仿宋_GB2312"/>
          <w:sz w:val="32"/>
          <w:szCs w:val="32"/>
        </w:rPr>
        <w:t>《泗水县县级项目支出绩效自评工作规程》</w:t>
      </w:r>
      <w:r>
        <w:rPr>
          <w:rFonts w:ascii="仿宋_GB2312" w:eastAsia="仿宋_GB2312"/>
          <w:sz w:val="32"/>
          <w:szCs w:val="32"/>
        </w:rPr>
        <w:t>有关规定</w:t>
      </w:r>
      <w:r>
        <w:rPr>
          <w:rFonts w:hint="eastAsia" w:ascii="仿宋_GB2312" w:eastAsia="仿宋_GB2312"/>
          <w:sz w:val="32"/>
          <w:szCs w:val="32"/>
        </w:rPr>
        <w:t>要求，泗水县畜牧兽医事业发展中心对2020年度县级财政动物防疫疫苗购置经费、畜牧信息服务、畜产品质量安全抽样经费进行了绩效目标自评，现报告如下:</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自评工作开展情况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泗水县重大动物疫病强制免疫疫苗费用财政预算数是70万元，财政拨付70万元，部门实际支出数70万元，主要用于购买强制免疫疫苗，种类主要是禽流感疫苗，口蹄疫疫苗、小反刍兽疫疫苗和布病疫苗，实际执行率100%。强制免疫用疫苗的管理实行省政府统一招标，逐级管理，具体由各镇街组织实施免疫，该项目经费已实施完成；畜牧信息服务和畜产品质量安全抽样预算各5万元，因财政资金紧张，压减经费开支。财政拨付资金4万元，单位支出资金4万元，主要用于检测和采样人员必需的个人防护，如口罩和手套、防护服、消毒药等</w:t>
      </w:r>
      <w:r>
        <w:rPr>
          <w:rFonts w:hint="eastAsia" w:ascii="仿宋_GB2312" w:eastAsia="仿宋_GB2312"/>
          <w:sz w:val="32"/>
          <w:szCs w:val="32"/>
          <w:lang w:val="en-US" w:eastAsia="zh-CN"/>
        </w:rPr>
        <w:t>物资</w:t>
      </w:r>
      <w:bookmarkStart w:id="0" w:name="_GoBack"/>
      <w:bookmarkEnd w:id="0"/>
      <w:r>
        <w:rPr>
          <w:rFonts w:hint="eastAsia" w:ascii="仿宋_GB2312" w:eastAsia="仿宋_GB2312"/>
          <w:sz w:val="32"/>
          <w:szCs w:val="32"/>
        </w:rPr>
        <w:t>采购，实际执行率100%。</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自评结果概述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我们召开了专题会议，组织财务、疫控中心等相关科室的负责人对通知进行了学习，分析了绩效自评的意义和方法，制定出自评方案，逐项落实资金的拨付流向和使用效果，认真填写自评表格，圆满完成自评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通过认真核查与自评，大家一致认为“按时完成了预订的各项指标与任务，取得显著效果，获得优秀成绩，受到各界人士的好评”。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下一步工作措施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动物防疫疫苗购置</w:t>
      </w:r>
      <w:r>
        <w:rPr>
          <w:rFonts w:ascii="仿宋_GB2312" w:eastAsia="仿宋_GB2312"/>
          <w:sz w:val="32"/>
          <w:szCs w:val="32"/>
        </w:rPr>
        <w:t>项目</w:t>
      </w:r>
      <w:r>
        <w:rPr>
          <w:rFonts w:hint="eastAsia" w:ascii="仿宋_GB2312" w:eastAsia="仿宋_GB2312"/>
          <w:sz w:val="32"/>
          <w:szCs w:val="32"/>
        </w:rPr>
        <w:t>省局统一</w:t>
      </w:r>
      <w:r>
        <w:rPr>
          <w:rFonts w:ascii="仿宋_GB2312" w:eastAsia="仿宋_GB2312"/>
          <w:sz w:val="32"/>
          <w:szCs w:val="32"/>
        </w:rPr>
        <w:t>招投标</w:t>
      </w:r>
      <w:r>
        <w:rPr>
          <w:rFonts w:hint="eastAsia" w:ascii="仿宋_GB2312" w:eastAsia="仿宋_GB2312"/>
          <w:sz w:val="32"/>
          <w:szCs w:val="32"/>
        </w:rPr>
        <w:t>；该项目经费的实施，提高了我县畜禽免疫质量和免疫密度，免疫率、耳标佩戴率、抗体检测合格率均达到了国家标准。降低了全县畜禽疫病的发病率，确保了全县无重大动物疫情发生，促进了全县畜牧业的健康发展，为振兴农村经济发挥了巨大的促进作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畜牧兽医专业技术人员在进行抽样、监测、流调时能进行更好地自我防护，确保一场一服，避免养殖场之间交叉污染，减少发病率、降低死亡率。加强监督检查，加强宣传引导，加强政策解读，完善预算管理和专项资金管理制度。</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90" w:lineRule="exact"/>
        <w:ind w:firstLine="640" w:firstLineChars="200"/>
        <w:rPr>
          <w:rFonts w:ascii="Calibri" w:hAnsi="Calibri" w:eastAsia="仿宋_GB2312" w:cs="Times New Roman"/>
          <w:snapToGrid w:val="0"/>
          <w:kern w:val="0"/>
          <w:sz w:val="32"/>
          <w:szCs w:val="32"/>
        </w:rPr>
      </w:pPr>
    </w:p>
    <w:p>
      <w:pPr>
        <w:spacing w:line="560" w:lineRule="exact"/>
        <w:ind w:firstLine="640" w:firstLineChars="200"/>
        <w:rPr>
          <w:rFonts w:ascii="Calibri" w:hAnsi="Calibri" w:eastAsia="仿宋_GB2312" w:cs="Times New Roman"/>
          <w:snapToGrid w:val="0"/>
          <w:kern w:val="0"/>
          <w:sz w:val="32"/>
          <w:szCs w:val="32"/>
        </w:rPr>
      </w:pPr>
      <w:r>
        <w:rPr>
          <w:rFonts w:hint="eastAsia" w:ascii="Calibri" w:hAnsi="Calibri" w:eastAsia="仿宋_GB2312" w:cs="Times New Roman"/>
          <w:snapToGrid w:val="0"/>
          <w:kern w:val="0"/>
          <w:sz w:val="32"/>
          <w:szCs w:val="32"/>
        </w:rPr>
        <w:t xml:space="preserve">                         </w:t>
      </w:r>
    </w:p>
    <w:p>
      <w:pPr>
        <w:adjustRightInd w:val="0"/>
        <w:snapToGrid w:val="0"/>
        <w:spacing w:line="590" w:lineRule="exact"/>
        <w:ind w:firstLine="640" w:firstLineChars="200"/>
        <w:rPr>
          <w:rFonts w:ascii="Calibri" w:hAnsi="Calibri" w:eastAsia="仿宋_GB2312" w:cs="Times New Roman"/>
          <w:snapToGrid w:val="0"/>
          <w:kern w:val="0"/>
          <w:sz w:val="32"/>
          <w:szCs w:val="32"/>
        </w:rPr>
      </w:pPr>
    </w:p>
    <w:p>
      <w:pPr>
        <w:jc w:val="center"/>
        <w:rPr>
          <w:rFonts w:ascii="仿宋_GB2312" w:eastAsia="仿宋_GB2312"/>
          <w:sz w:val="32"/>
          <w:szCs w:val="32"/>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3"/>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4440"/>
    <w:rsid w:val="00003E5B"/>
    <w:rsid w:val="000063E2"/>
    <w:rsid w:val="00006FF7"/>
    <w:rsid w:val="000079C8"/>
    <w:rsid w:val="0001197D"/>
    <w:rsid w:val="000153C6"/>
    <w:rsid w:val="0001792C"/>
    <w:rsid w:val="00027A87"/>
    <w:rsid w:val="00027DEF"/>
    <w:rsid w:val="000328FA"/>
    <w:rsid w:val="00033CD9"/>
    <w:rsid w:val="000345DF"/>
    <w:rsid w:val="00042BAC"/>
    <w:rsid w:val="00046FD8"/>
    <w:rsid w:val="00051568"/>
    <w:rsid w:val="00066AF4"/>
    <w:rsid w:val="00067FE4"/>
    <w:rsid w:val="00071940"/>
    <w:rsid w:val="00072A60"/>
    <w:rsid w:val="00074B56"/>
    <w:rsid w:val="000773CE"/>
    <w:rsid w:val="00083ED9"/>
    <w:rsid w:val="0008419B"/>
    <w:rsid w:val="00085A41"/>
    <w:rsid w:val="000901CB"/>
    <w:rsid w:val="000909C8"/>
    <w:rsid w:val="0009340D"/>
    <w:rsid w:val="000936D3"/>
    <w:rsid w:val="000974EE"/>
    <w:rsid w:val="000A4A01"/>
    <w:rsid w:val="000B0E0D"/>
    <w:rsid w:val="000B24AD"/>
    <w:rsid w:val="000C668A"/>
    <w:rsid w:val="000D0E79"/>
    <w:rsid w:val="000D6E77"/>
    <w:rsid w:val="000F299F"/>
    <w:rsid w:val="000F3B1D"/>
    <w:rsid w:val="000F745B"/>
    <w:rsid w:val="00104DFC"/>
    <w:rsid w:val="00107705"/>
    <w:rsid w:val="001124E9"/>
    <w:rsid w:val="00115E8F"/>
    <w:rsid w:val="00117CD2"/>
    <w:rsid w:val="00120B95"/>
    <w:rsid w:val="00124F11"/>
    <w:rsid w:val="00124FD4"/>
    <w:rsid w:val="00133DE4"/>
    <w:rsid w:val="00135D6F"/>
    <w:rsid w:val="00136400"/>
    <w:rsid w:val="001461DD"/>
    <w:rsid w:val="00147D1A"/>
    <w:rsid w:val="00147FE9"/>
    <w:rsid w:val="00150B20"/>
    <w:rsid w:val="00151522"/>
    <w:rsid w:val="0015299E"/>
    <w:rsid w:val="00173140"/>
    <w:rsid w:val="00187893"/>
    <w:rsid w:val="00193CD4"/>
    <w:rsid w:val="001A017D"/>
    <w:rsid w:val="001A33D7"/>
    <w:rsid w:val="001B12AB"/>
    <w:rsid w:val="001B7919"/>
    <w:rsid w:val="001B797C"/>
    <w:rsid w:val="001C38F0"/>
    <w:rsid w:val="001C4A98"/>
    <w:rsid w:val="001C512A"/>
    <w:rsid w:val="001C7AAD"/>
    <w:rsid w:val="001D27CF"/>
    <w:rsid w:val="001D5B03"/>
    <w:rsid w:val="001D71F5"/>
    <w:rsid w:val="001D78AD"/>
    <w:rsid w:val="001E156C"/>
    <w:rsid w:val="001E2331"/>
    <w:rsid w:val="001F0C3C"/>
    <w:rsid w:val="00203023"/>
    <w:rsid w:val="00211108"/>
    <w:rsid w:val="00211415"/>
    <w:rsid w:val="00230421"/>
    <w:rsid w:val="0023110A"/>
    <w:rsid w:val="00231C6F"/>
    <w:rsid w:val="00232270"/>
    <w:rsid w:val="002332CA"/>
    <w:rsid w:val="002341AC"/>
    <w:rsid w:val="00246365"/>
    <w:rsid w:val="0025004A"/>
    <w:rsid w:val="00250D29"/>
    <w:rsid w:val="00252592"/>
    <w:rsid w:val="002669FF"/>
    <w:rsid w:val="002704FC"/>
    <w:rsid w:val="002726F2"/>
    <w:rsid w:val="00282271"/>
    <w:rsid w:val="00286B2B"/>
    <w:rsid w:val="00287E57"/>
    <w:rsid w:val="00291093"/>
    <w:rsid w:val="00292EC6"/>
    <w:rsid w:val="002A2000"/>
    <w:rsid w:val="002A393C"/>
    <w:rsid w:val="002A7916"/>
    <w:rsid w:val="002C14BE"/>
    <w:rsid w:val="002C37F7"/>
    <w:rsid w:val="002D3F33"/>
    <w:rsid w:val="002E1DFD"/>
    <w:rsid w:val="002E3EF1"/>
    <w:rsid w:val="002F0492"/>
    <w:rsid w:val="002F1AAA"/>
    <w:rsid w:val="003113C7"/>
    <w:rsid w:val="0031420E"/>
    <w:rsid w:val="0031641E"/>
    <w:rsid w:val="00324811"/>
    <w:rsid w:val="0032631F"/>
    <w:rsid w:val="00326B48"/>
    <w:rsid w:val="00336092"/>
    <w:rsid w:val="003419B7"/>
    <w:rsid w:val="00347DC6"/>
    <w:rsid w:val="00350E58"/>
    <w:rsid w:val="0035121D"/>
    <w:rsid w:val="00361220"/>
    <w:rsid w:val="00377EFE"/>
    <w:rsid w:val="0038060D"/>
    <w:rsid w:val="0039152C"/>
    <w:rsid w:val="0039198A"/>
    <w:rsid w:val="0039416A"/>
    <w:rsid w:val="00396289"/>
    <w:rsid w:val="003A6F38"/>
    <w:rsid w:val="003B207E"/>
    <w:rsid w:val="003C006C"/>
    <w:rsid w:val="003C149E"/>
    <w:rsid w:val="003D0995"/>
    <w:rsid w:val="003F5A3D"/>
    <w:rsid w:val="003F683C"/>
    <w:rsid w:val="00402E3A"/>
    <w:rsid w:val="004078E3"/>
    <w:rsid w:val="00417AB3"/>
    <w:rsid w:val="004251AA"/>
    <w:rsid w:val="00425D6D"/>
    <w:rsid w:val="0042603B"/>
    <w:rsid w:val="00440991"/>
    <w:rsid w:val="0044626A"/>
    <w:rsid w:val="00450E1C"/>
    <w:rsid w:val="00457392"/>
    <w:rsid w:val="0046235E"/>
    <w:rsid w:val="00473524"/>
    <w:rsid w:val="00473706"/>
    <w:rsid w:val="004746CA"/>
    <w:rsid w:val="00484012"/>
    <w:rsid w:val="00484B17"/>
    <w:rsid w:val="0049167E"/>
    <w:rsid w:val="00497798"/>
    <w:rsid w:val="004B0E0B"/>
    <w:rsid w:val="004B123D"/>
    <w:rsid w:val="004B21DB"/>
    <w:rsid w:val="004B3CB6"/>
    <w:rsid w:val="004D70AE"/>
    <w:rsid w:val="004D7F4B"/>
    <w:rsid w:val="004F1CB7"/>
    <w:rsid w:val="004F4F44"/>
    <w:rsid w:val="004F6AC3"/>
    <w:rsid w:val="004F754D"/>
    <w:rsid w:val="004F7E65"/>
    <w:rsid w:val="00504CEA"/>
    <w:rsid w:val="0052317D"/>
    <w:rsid w:val="00531DD9"/>
    <w:rsid w:val="00533CEC"/>
    <w:rsid w:val="005370A7"/>
    <w:rsid w:val="00543695"/>
    <w:rsid w:val="005554EB"/>
    <w:rsid w:val="00560997"/>
    <w:rsid w:val="00561398"/>
    <w:rsid w:val="0056205C"/>
    <w:rsid w:val="00564ABB"/>
    <w:rsid w:val="00572234"/>
    <w:rsid w:val="00573964"/>
    <w:rsid w:val="005770C2"/>
    <w:rsid w:val="00577A60"/>
    <w:rsid w:val="00581567"/>
    <w:rsid w:val="00585CF6"/>
    <w:rsid w:val="0058616C"/>
    <w:rsid w:val="005878A1"/>
    <w:rsid w:val="00591FFD"/>
    <w:rsid w:val="00592EE5"/>
    <w:rsid w:val="00593F01"/>
    <w:rsid w:val="005A1B33"/>
    <w:rsid w:val="005C23C1"/>
    <w:rsid w:val="005C372A"/>
    <w:rsid w:val="005C5EBA"/>
    <w:rsid w:val="005D08E0"/>
    <w:rsid w:val="005D151B"/>
    <w:rsid w:val="005E5B5E"/>
    <w:rsid w:val="005E73B9"/>
    <w:rsid w:val="005E7991"/>
    <w:rsid w:val="005F21B2"/>
    <w:rsid w:val="005F2704"/>
    <w:rsid w:val="006228B9"/>
    <w:rsid w:val="00640E24"/>
    <w:rsid w:val="00641109"/>
    <w:rsid w:val="006418D0"/>
    <w:rsid w:val="0065353C"/>
    <w:rsid w:val="00673C02"/>
    <w:rsid w:val="006745FA"/>
    <w:rsid w:val="00676262"/>
    <w:rsid w:val="00680D7E"/>
    <w:rsid w:val="006856D6"/>
    <w:rsid w:val="006861D2"/>
    <w:rsid w:val="00686876"/>
    <w:rsid w:val="006A4CEC"/>
    <w:rsid w:val="006B0A06"/>
    <w:rsid w:val="006B6B2F"/>
    <w:rsid w:val="006C3684"/>
    <w:rsid w:val="006C5957"/>
    <w:rsid w:val="006C79F1"/>
    <w:rsid w:val="006D63F0"/>
    <w:rsid w:val="006D68CE"/>
    <w:rsid w:val="006E5119"/>
    <w:rsid w:val="0070229E"/>
    <w:rsid w:val="0070425A"/>
    <w:rsid w:val="00704C0A"/>
    <w:rsid w:val="0070713A"/>
    <w:rsid w:val="007103A6"/>
    <w:rsid w:val="0071213C"/>
    <w:rsid w:val="00722061"/>
    <w:rsid w:val="00722443"/>
    <w:rsid w:val="0072456B"/>
    <w:rsid w:val="00726276"/>
    <w:rsid w:val="00727759"/>
    <w:rsid w:val="007431A2"/>
    <w:rsid w:val="00743ECD"/>
    <w:rsid w:val="00755186"/>
    <w:rsid w:val="00756BB9"/>
    <w:rsid w:val="00762471"/>
    <w:rsid w:val="00762BCE"/>
    <w:rsid w:val="00765553"/>
    <w:rsid w:val="00770D38"/>
    <w:rsid w:val="00772737"/>
    <w:rsid w:val="00772BA7"/>
    <w:rsid w:val="0077668E"/>
    <w:rsid w:val="00782FDC"/>
    <w:rsid w:val="007832E8"/>
    <w:rsid w:val="00783556"/>
    <w:rsid w:val="00790286"/>
    <w:rsid w:val="0079270F"/>
    <w:rsid w:val="007937B7"/>
    <w:rsid w:val="00796669"/>
    <w:rsid w:val="007973AF"/>
    <w:rsid w:val="00797829"/>
    <w:rsid w:val="007A657E"/>
    <w:rsid w:val="007A7BE7"/>
    <w:rsid w:val="007B0567"/>
    <w:rsid w:val="007B2D34"/>
    <w:rsid w:val="007B37CE"/>
    <w:rsid w:val="007B7872"/>
    <w:rsid w:val="007C1619"/>
    <w:rsid w:val="007C5B9D"/>
    <w:rsid w:val="007D1474"/>
    <w:rsid w:val="007D5935"/>
    <w:rsid w:val="007E028F"/>
    <w:rsid w:val="007E6B45"/>
    <w:rsid w:val="007F0E04"/>
    <w:rsid w:val="007F286B"/>
    <w:rsid w:val="008023CF"/>
    <w:rsid w:val="00806313"/>
    <w:rsid w:val="0081323F"/>
    <w:rsid w:val="00813D18"/>
    <w:rsid w:val="008155FA"/>
    <w:rsid w:val="00823CDE"/>
    <w:rsid w:val="008241CB"/>
    <w:rsid w:val="00824880"/>
    <w:rsid w:val="0082653B"/>
    <w:rsid w:val="00834440"/>
    <w:rsid w:val="00836E4E"/>
    <w:rsid w:val="0084275E"/>
    <w:rsid w:val="008469C4"/>
    <w:rsid w:val="008545C6"/>
    <w:rsid w:val="00854BC2"/>
    <w:rsid w:val="00857E55"/>
    <w:rsid w:val="00860F9F"/>
    <w:rsid w:val="008647FA"/>
    <w:rsid w:val="008648FE"/>
    <w:rsid w:val="008716D3"/>
    <w:rsid w:val="00877D68"/>
    <w:rsid w:val="008810F7"/>
    <w:rsid w:val="008857D8"/>
    <w:rsid w:val="008973EB"/>
    <w:rsid w:val="008A3D78"/>
    <w:rsid w:val="008B6CEB"/>
    <w:rsid w:val="008C2CB9"/>
    <w:rsid w:val="008D05F8"/>
    <w:rsid w:val="008D1401"/>
    <w:rsid w:val="008D2FD0"/>
    <w:rsid w:val="008F2132"/>
    <w:rsid w:val="008F43D6"/>
    <w:rsid w:val="0091139F"/>
    <w:rsid w:val="009149EC"/>
    <w:rsid w:val="00914BD8"/>
    <w:rsid w:val="00925730"/>
    <w:rsid w:val="00941B09"/>
    <w:rsid w:val="00960E98"/>
    <w:rsid w:val="00963ED9"/>
    <w:rsid w:val="00967BEA"/>
    <w:rsid w:val="00986BB5"/>
    <w:rsid w:val="00995650"/>
    <w:rsid w:val="009A0A55"/>
    <w:rsid w:val="009A4260"/>
    <w:rsid w:val="009B0DA3"/>
    <w:rsid w:val="009B31FD"/>
    <w:rsid w:val="009C32F1"/>
    <w:rsid w:val="009C5B96"/>
    <w:rsid w:val="009D0AFE"/>
    <w:rsid w:val="009D4DDA"/>
    <w:rsid w:val="009D6EA4"/>
    <w:rsid w:val="009E3107"/>
    <w:rsid w:val="009E4B06"/>
    <w:rsid w:val="009F135C"/>
    <w:rsid w:val="009F60C3"/>
    <w:rsid w:val="00A00486"/>
    <w:rsid w:val="00A0157D"/>
    <w:rsid w:val="00A13857"/>
    <w:rsid w:val="00A15171"/>
    <w:rsid w:val="00A23A6E"/>
    <w:rsid w:val="00A3182B"/>
    <w:rsid w:val="00A338CA"/>
    <w:rsid w:val="00A40145"/>
    <w:rsid w:val="00A401E6"/>
    <w:rsid w:val="00A42449"/>
    <w:rsid w:val="00A60E3D"/>
    <w:rsid w:val="00A63E05"/>
    <w:rsid w:val="00A67E7B"/>
    <w:rsid w:val="00A73602"/>
    <w:rsid w:val="00A86066"/>
    <w:rsid w:val="00A9359D"/>
    <w:rsid w:val="00AA7833"/>
    <w:rsid w:val="00AB2061"/>
    <w:rsid w:val="00AB7D63"/>
    <w:rsid w:val="00AC07F9"/>
    <w:rsid w:val="00AC3D9B"/>
    <w:rsid w:val="00AC7538"/>
    <w:rsid w:val="00AC7F84"/>
    <w:rsid w:val="00AD430D"/>
    <w:rsid w:val="00AD449E"/>
    <w:rsid w:val="00AD5EA2"/>
    <w:rsid w:val="00AE7A12"/>
    <w:rsid w:val="00AF66C3"/>
    <w:rsid w:val="00B0646E"/>
    <w:rsid w:val="00B10011"/>
    <w:rsid w:val="00B14A96"/>
    <w:rsid w:val="00B20EE8"/>
    <w:rsid w:val="00B213BD"/>
    <w:rsid w:val="00B21B63"/>
    <w:rsid w:val="00B23C3D"/>
    <w:rsid w:val="00B244AA"/>
    <w:rsid w:val="00B24E0E"/>
    <w:rsid w:val="00B26473"/>
    <w:rsid w:val="00B310EE"/>
    <w:rsid w:val="00B3675F"/>
    <w:rsid w:val="00B60B53"/>
    <w:rsid w:val="00B628BC"/>
    <w:rsid w:val="00B641F1"/>
    <w:rsid w:val="00B64536"/>
    <w:rsid w:val="00B6627E"/>
    <w:rsid w:val="00B740D0"/>
    <w:rsid w:val="00B83A79"/>
    <w:rsid w:val="00B9411C"/>
    <w:rsid w:val="00BA6768"/>
    <w:rsid w:val="00BB007F"/>
    <w:rsid w:val="00BB0FCA"/>
    <w:rsid w:val="00BC2015"/>
    <w:rsid w:val="00BD2806"/>
    <w:rsid w:val="00BD42BB"/>
    <w:rsid w:val="00BD4647"/>
    <w:rsid w:val="00BE75BF"/>
    <w:rsid w:val="00BF0F72"/>
    <w:rsid w:val="00BF0FAD"/>
    <w:rsid w:val="00BF783F"/>
    <w:rsid w:val="00C02AEE"/>
    <w:rsid w:val="00C038B8"/>
    <w:rsid w:val="00C215ED"/>
    <w:rsid w:val="00C24122"/>
    <w:rsid w:val="00C2521B"/>
    <w:rsid w:val="00C2694F"/>
    <w:rsid w:val="00C46877"/>
    <w:rsid w:val="00C5351E"/>
    <w:rsid w:val="00C57771"/>
    <w:rsid w:val="00C57FB8"/>
    <w:rsid w:val="00C6452D"/>
    <w:rsid w:val="00C668BF"/>
    <w:rsid w:val="00C7067D"/>
    <w:rsid w:val="00C740BF"/>
    <w:rsid w:val="00C7441E"/>
    <w:rsid w:val="00C745E7"/>
    <w:rsid w:val="00C75A3F"/>
    <w:rsid w:val="00CA1923"/>
    <w:rsid w:val="00CA3AE0"/>
    <w:rsid w:val="00CA4D4A"/>
    <w:rsid w:val="00CA7E65"/>
    <w:rsid w:val="00CB2A97"/>
    <w:rsid w:val="00CB679D"/>
    <w:rsid w:val="00CC162C"/>
    <w:rsid w:val="00CC33FB"/>
    <w:rsid w:val="00CC36CA"/>
    <w:rsid w:val="00CC43BE"/>
    <w:rsid w:val="00CC5922"/>
    <w:rsid w:val="00CD35EE"/>
    <w:rsid w:val="00CD380D"/>
    <w:rsid w:val="00CE3890"/>
    <w:rsid w:val="00CE5A34"/>
    <w:rsid w:val="00CE7CE6"/>
    <w:rsid w:val="00CF1C91"/>
    <w:rsid w:val="00CF316E"/>
    <w:rsid w:val="00D01BCA"/>
    <w:rsid w:val="00D02150"/>
    <w:rsid w:val="00D15268"/>
    <w:rsid w:val="00D17472"/>
    <w:rsid w:val="00D1769C"/>
    <w:rsid w:val="00D17C29"/>
    <w:rsid w:val="00D205AE"/>
    <w:rsid w:val="00D23558"/>
    <w:rsid w:val="00D23C5C"/>
    <w:rsid w:val="00D40B34"/>
    <w:rsid w:val="00D4622B"/>
    <w:rsid w:val="00D516F3"/>
    <w:rsid w:val="00D54594"/>
    <w:rsid w:val="00D61F63"/>
    <w:rsid w:val="00D6441D"/>
    <w:rsid w:val="00D745F7"/>
    <w:rsid w:val="00D8335E"/>
    <w:rsid w:val="00D84C7C"/>
    <w:rsid w:val="00D86C5A"/>
    <w:rsid w:val="00D9425C"/>
    <w:rsid w:val="00D94351"/>
    <w:rsid w:val="00DA0E3E"/>
    <w:rsid w:val="00DA146A"/>
    <w:rsid w:val="00DA2B56"/>
    <w:rsid w:val="00DA6582"/>
    <w:rsid w:val="00DB795F"/>
    <w:rsid w:val="00DC4A12"/>
    <w:rsid w:val="00DC4F2C"/>
    <w:rsid w:val="00DC6101"/>
    <w:rsid w:val="00DC712E"/>
    <w:rsid w:val="00DC76D6"/>
    <w:rsid w:val="00DC7E1B"/>
    <w:rsid w:val="00DD563C"/>
    <w:rsid w:val="00DD75C4"/>
    <w:rsid w:val="00DE65A3"/>
    <w:rsid w:val="00DF624E"/>
    <w:rsid w:val="00E02756"/>
    <w:rsid w:val="00E0706F"/>
    <w:rsid w:val="00E127BA"/>
    <w:rsid w:val="00E1446A"/>
    <w:rsid w:val="00E17187"/>
    <w:rsid w:val="00E26E7B"/>
    <w:rsid w:val="00E4100E"/>
    <w:rsid w:val="00E43CAE"/>
    <w:rsid w:val="00E5066B"/>
    <w:rsid w:val="00E53EBB"/>
    <w:rsid w:val="00E702ED"/>
    <w:rsid w:val="00E73EFC"/>
    <w:rsid w:val="00E74A02"/>
    <w:rsid w:val="00E75ED5"/>
    <w:rsid w:val="00E76695"/>
    <w:rsid w:val="00E77347"/>
    <w:rsid w:val="00E82B03"/>
    <w:rsid w:val="00E93FE6"/>
    <w:rsid w:val="00E952DB"/>
    <w:rsid w:val="00E9576D"/>
    <w:rsid w:val="00E95B1B"/>
    <w:rsid w:val="00EA3307"/>
    <w:rsid w:val="00EB0BDD"/>
    <w:rsid w:val="00EB656E"/>
    <w:rsid w:val="00EB793C"/>
    <w:rsid w:val="00EC63CE"/>
    <w:rsid w:val="00EF4656"/>
    <w:rsid w:val="00EF7E8D"/>
    <w:rsid w:val="00F04FD1"/>
    <w:rsid w:val="00F0671C"/>
    <w:rsid w:val="00F06E3D"/>
    <w:rsid w:val="00F07603"/>
    <w:rsid w:val="00F16764"/>
    <w:rsid w:val="00F175F7"/>
    <w:rsid w:val="00F3029F"/>
    <w:rsid w:val="00F31379"/>
    <w:rsid w:val="00F32ACC"/>
    <w:rsid w:val="00F4023D"/>
    <w:rsid w:val="00F4319D"/>
    <w:rsid w:val="00F463B9"/>
    <w:rsid w:val="00F50DA7"/>
    <w:rsid w:val="00F70F13"/>
    <w:rsid w:val="00F76CBD"/>
    <w:rsid w:val="00F818F5"/>
    <w:rsid w:val="00F93421"/>
    <w:rsid w:val="00F94037"/>
    <w:rsid w:val="00F94085"/>
    <w:rsid w:val="00FA18CB"/>
    <w:rsid w:val="00FB04A3"/>
    <w:rsid w:val="00FB18F7"/>
    <w:rsid w:val="00FB1F51"/>
    <w:rsid w:val="00FB4FF9"/>
    <w:rsid w:val="00FC0939"/>
    <w:rsid w:val="00FC1937"/>
    <w:rsid w:val="00FD2501"/>
    <w:rsid w:val="00FD7AC3"/>
    <w:rsid w:val="00FD7C3E"/>
    <w:rsid w:val="00FE1E6C"/>
    <w:rsid w:val="00FE629B"/>
    <w:rsid w:val="00FE7C77"/>
    <w:rsid w:val="00FF64B7"/>
    <w:rsid w:val="11253183"/>
    <w:rsid w:val="17FC5430"/>
    <w:rsid w:val="374215BA"/>
    <w:rsid w:val="3EE4290F"/>
    <w:rsid w:val="48704822"/>
    <w:rsid w:val="49624118"/>
    <w:rsid w:val="499B3B5C"/>
    <w:rsid w:val="5AAE5BB6"/>
    <w:rsid w:val="5C454B66"/>
    <w:rsid w:val="5F2968CA"/>
    <w:rsid w:val="628F6E56"/>
    <w:rsid w:val="64232AC7"/>
    <w:rsid w:val="642E007C"/>
    <w:rsid w:val="684966B7"/>
    <w:rsid w:val="6E696A04"/>
    <w:rsid w:val="6F5E3B6F"/>
    <w:rsid w:val="6FB5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uiPriority w:val="0"/>
    <w:rPr>
      <w:rFonts w:ascii="宋体"/>
      <w:sz w:val="18"/>
      <w:szCs w:val="18"/>
    </w:rPr>
  </w:style>
  <w:style w:type="paragraph" w:styleId="3">
    <w:name w:val="Body Text"/>
    <w:basedOn w:val="1"/>
    <w:link w:val="18"/>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uiPriority w:val="99"/>
    <w:pPr>
      <w:ind w:left="100" w:leftChars="2500"/>
    </w:pPr>
  </w:style>
  <w:style w:type="paragraph" w:styleId="5">
    <w:name w:val="Body Text Indent 2"/>
    <w:basedOn w:val="1"/>
    <w:link w:val="31"/>
    <w:uiPriority w:val="0"/>
    <w:pPr>
      <w:ind w:firstLine="640" w:firstLineChars="200"/>
    </w:pPr>
    <w:rPr>
      <w:rFonts w:ascii="楷体_GB2312" w:hAnsi="Courier New" w:eastAsia="楷体_GB2312"/>
      <w:sz w:val="32"/>
    </w:rPr>
  </w:style>
  <w:style w:type="paragraph" w:styleId="6">
    <w:name w:val="Balloon Text"/>
    <w:basedOn w:val="1"/>
    <w:link w:val="19"/>
    <w:semiHidden/>
    <w:unhideWhenUsed/>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uiPriority w:val="0"/>
  </w:style>
  <w:style w:type="character" w:customStyle="1" w:styleId="15">
    <w:name w:val="页眉 Char"/>
    <w:basedOn w:val="13"/>
    <w:link w:val="8"/>
    <w:uiPriority w:val="0"/>
    <w:rPr>
      <w:sz w:val="18"/>
      <w:szCs w:val="18"/>
    </w:rPr>
  </w:style>
  <w:style w:type="character" w:customStyle="1" w:styleId="16">
    <w:name w:val="页脚 Char"/>
    <w:basedOn w:val="13"/>
    <w:link w:val="7"/>
    <w:qFormat/>
    <w:uiPriority w:val="0"/>
    <w:rPr>
      <w:sz w:val="18"/>
      <w:szCs w:val="18"/>
    </w:rPr>
  </w:style>
  <w:style w:type="character" w:customStyle="1" w:styleId="17">
    <w:name w:val="日期 Char"/>
    <w:basedOn w:val="13"/>
    <w:link w:val="4"/>
    <w:semiHidden/>
    <w:qFormat/>
    <w:uiPriority w:val="99"/>
  </w:style>
  <w:style w:type="character" w:customStyle="1" w:styleId="18">
    <w:name w:val="正文文本 Char"/>
    <w:basedOn w:val="13"/>
    <w:link w:val="3"/>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link w:val="10"/>
    <w:qFormat/>
    <w:uiPriority w:val="0"/>
    <w:rPr>
      <w:rFonts w:ascii="Cambria" w:hAnsi="Cambria"/>
      <w:b/>
      <w:bCs/>
      <w:sz w:val="32"/>
      <w:szCs w:val="32"/>
    </w:rPr>
  </w:style>
  <w:style w:type="character" w:customStyle="1" w:styleId="27">
    <w:name w:val="文档结构图 Char"/>
    <w:link w:val="2"/>
    <w:qFormat/>
    <w:uiPriority w:val="0"/>
    <w:rPr>
      <w:rFonts w:ascii="宋体"/>
      <w:sz w:val="18"/>
      <w:szCs w:val="18"/>
    </w:rPr>
  </w:style>
  <w:style w:type="character" w:customStyle="1" w:styleId="28">
    <w:name w:val="副标题 Char"/>
    <w:link w:val="9"/>
    <w:qFormat/>
    <w:uiPriority w:val="11"/>
    <w:rPr>
      <w:rFonts w:ascii="Cambria" w:hAnsi="Cambria"/>
      <w:b/>
      <w:bCs/>
      <w:kern w:val="28"/>
      <w:sz w:val="32"/>
      <w:szCs w:val="32"/>
    </w:rPr>
  </w:style>
  <w:style w:type="character" w:customStyle="1" w:styleId="29">
    <w:name w:val="正文文本缩进 2 Char"/>
    <w:link w:val="5"/>
    <w:qFormat/>
    <w:uiPriority w:val="0"/>
    <w:rPr>
      <w:rFonts w:ascii="楷体_GB2312" w:hAnsi="Courier New" w:eastAsia="楷体_GB2312"/>
      <w:sz w:val="32"/>
    </w:rPr>
  </w:style>
  <w:style w:type="character" w:customStyle="1" w:styleId="30">
    <w:name w:val="文档结构图 Char1"/>
    <w:basedOn w:val="13"/>
    <w:link w:val="2"/>
    <w:semiHidden/>
    <w:qFormat/>
    <w:uiPriority w:val="99"/>
    <w:rPr>
      <w:rFonts w:ascii="宋体" w:eastAsia="宋体"/>
      <w:sz w:val="18"/>
      <w:szCs w:val="18"/>
    </w:rPr>
  </w:style>
  <w:style w:type="character" w:customStyle="1" w:styleId="31">
    <w:name w:val="正文文本缩进 2 Char1"/>
    <w:basedOn w:val="13"/>
    <w:link w:val="5"/>
    <w:semiHidden/>
    <w:qFormat/>
    <w:uiPriority w:val="99"/>
  </w:style>
  <w:style w:type="character" w:customStyle="1" w:styleId="32">
    <w:name w:val="标题 Char1"/>
    <w:basedOn w:val="13"/>
    <w:link w:val="10"/>
    <w:qFormat/>
    <w:uiPriority w:val="10"/>
    <w:rPr>
      <w:rFonts w:eastAsia="宋体" w:asciiTheme="majorHAnsi" w:hAnsiTheme="majorHAnsi" w:cstheme="majorBidi"/>
      <w:b/>
      <w:bCs/>
      <w:sz w:val="32"/>
      <w:szCs w:val="32"/>
    </w:rPr>
  </w:style>
  <w:style w:type="character" w:customStyle="1" w:styleId="33">
    <w:name w:val="副标题 Char1"/>
    <w:basedOn w:val="13"/>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invertIfNegative val="0"/>
          <c:dLbls>
            <c:delete val="1"/>
          </c:dLbls>
          <c:cat>
            <c:strRef>
              <c:f>Sheet1!$A$2</c:f>
              <c:strCache>
                <c:ptCount val="1"/>
                <c:pt idx="0">
                  <c:v>收入支出总计</c:v>
                </c:pt>
              </c:strCache>
            </c:strRef>
          </c:cat>
          <c:val>
            <c:numRef>
              <c:f>Sheet1!$B$2</c:f>
              <c:numCache>
                <c:formatCode>General</c:formatCode>
                <c:ptCount val="1"/>
                <c:pt idx="0">
                  <c:v>5916.32</c:v>
                </c:pt>
              </c:numCache>
            </c:numRef>
          </c:val>
        </c:ser>
        <c:ser>
          <c:idx val="1"/>
          <c:order val="1"/>
          <c:tx>
            <c:strRef>
              <c:f>Sheet1!$C$1</c:f>
              <c:strCache>
                <c:ptCount val="1"/>
                <c:pt idx="0">
                  <c:v>2019</c:v>
                </c:pt>
              </c:strCache>
            </c:strRef>
          </c:tx>
          <c:invertIfNegative val="0"/>
          <c:dLbls>
            <c:delete val="1"/>
          </c:dLbls>
          <c:cat>
            <c:strRef>
              <c:f>Sheet1!$A$2</c:f>
              <c:strCache>
                <c:ptCount val="1"/>
                <c:pt idx="0">
                  <c:v>收入支出总计</c:v>
                </c:pt>
              </c:strCache>
            </c:strRef>
          </c:cat>
          <c:val>
            <c:numRef>
              <c:f>Sheet1!$C$2</c:f>
              <c:numCache>
                <c:formatCode>General</c:formatCode>
                <c:ptCount val="1"/>
                <c:pt idx="0">
                  <c:v>5417.09</c:v>
                </c:pt>
              </c:numCache>
            </c:numRef>
          </c:val>
        </c:ser>
        <c:dLbls>
          <c:showLegendKey val="0"/>
          <c:showVal val="0"/>
          <c:showCatName val="0"/>
          <c:showSerName val="0"/>
          <c:showPercent val="0"/>
          <c:showBubbleSize val="0"/>
        </c:dLbls>
        <c:gapWidth val="150"/>
        <c:axId val="45282048"/>
        <c:axId val="45283584"/>
      </c:barChart>
      <c:catAx>
        <c:axId val="45282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283584"/>
        <c:crosses val="autoZero"/>
        <c:auto val="1"/>
        <c:lblAlgn val="ctr"/>
        <c:lblOffset val="100"/>
        <c:noMultiLvlLbl val="0"/>
      </c:catAx>
      <c:valAx>
        <c:axId val="45283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282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3999.61</c:v>
                </c:pt>
                <c:pt idx="1">
                  <c:v>0</c:v>
                </c:pt>
                <c:pt idx="2">
                  <c:v>0</c:v>
                </c:pt>
                <c:pt idx="3">
                  <c:v>0</c:v>
                </c:pt>
                <c:pt idx="4">
                  <c:v>0</c:v>
                </c:pt>
                <c:pt idx="5">
                  <c:v>57.14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598.07</c:v>
                </c:pt>
                <c:pt idx="1">
                  <c:v>4080.14</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c:f>
              <c:strCache>
                <c:ptCount val="1"/>
                <c:pt idx="0">
                  <c:v>财政拨款收支总计</c:v>
                </c:pt>
              </c:strCache>
            </c:strRef>
          </c:cat>
          <c:val>
            <c:numRef>
              <c:f>Sheet1!$B$2</c:f>
              <c:numCache>
                <c:formatCode>General</c:formatCode>
                <c:ptCount val="1"/>
                <c:pt idx="0">
                  <c:v>5859.19</c:v>
                </c:pt>
              </c:numCache>
            </c:numRef>
          </c:val>
        </c:ser>
        <c:ser>
          <c:idx val="1"/>
          <c:order val="1"/>
          <c:tx>
            <c:strRef>
              <c:f>Sheet1!$C$1</c:f>
              <c:strCache>
                <c:ptCount val="1"/>
                <c:pt idx="0">
                  <c:v>2019年</c:v>
                </c:pt>
              </c:strCache>
            </c:strRef>
          </c:tx>
          <c:invertIfNegative val="0"/>
          <c:dLbls>
            <c:delete val="1"/>
          </c:dLbls>
          <c:cat>
            <c:strRef>
              <c:f>Sheet1!$A$2</c:f>
              <c:strCache>
                <c:ptCount val="1"/>
                <c:pt idx="0">
                  <c:v>财政拨款收支总计</c:v>
                </c:pt>
              </c:strCache>
            </c:strRef>
          </c:cat>
          <c:val>
            <c:numRef>
              <c:f>Sheet1!$C$2</c:f>
              <c:numCache>
                <c:formatCode>General</c:formatCode>
                <c:ptCount val="1"/>
                <c:pt idx="0">
                  <c:v>5417.09</c:v>
                </c:pt>
              </c:numCache>
            </c:numRef>
          </c:val>
        </c:ser>
        <c:dLbls>
          <c:showLegendKey val="0"/>
          <c:showVal val="0"/>
          <c:showCatName val="0"/>
          <c:showSerName val="0"/>
          <c:showPercent val="0"/>
          <c:showBubbleSize val="0"/>
        </c:dLbls>
        <c:gapWidth val="150"/>
        <c:axId val="109486464"/>
        <c:axId val="109489152"/>
      </c:barChart>
      <c:catAx>
        <c:axId val="1094864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9489152"/>
        <c:crosses val="autoZero"/>
        <c:auto val="1"/>
        <c:lblAlgn val="ctr"/>
        <c:lblOffset val="100"/>
        <c:noMultiLvlLbl val="0"/>
      </c:catAx>
      <c:valAx>
        <c:axId val="1094891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9486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4276.74</c:v>
                </c:pt>
              </c:numCache>
            </c:numRef>
          </c:val>
        </c:ser>
        <c:ser>
          <c:idx val="1"/>
          <c:order val="1"/>
          <c:tx>
            <c:strRef>
              <c:f>Sheet1!$C$1</c:f>
              <c:strCache>
                <c:ptCount val="1"/>
                <c:pt idx="0">
                  <c:v>2019年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3537.52</c:v>
                </c:pt>
              </c:numCache>
            </c:numRef>
          </c:val>
        </c:ser>
        <c:dLbls>
          <c:showLegendKey val="0"/>
          <c:showVal val="0"/>
          <c:showCatName val="0"/>
          <c:showSerName val="0"/>
          <c:showPercent val="0"/>
          <c:showBubbleSize val="0"/>
        </c:dLbls>
        <c:gapWidth val="150"/>
        <c:axId val="85969920"/>
        <c:axId val="85971712"/>
      </c:barChart>
      <c:catAx>
        <c:axId val="859699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71712"/>
        <c:crosses val="autoZero"/>
        <c:auto val="1"/>
        <c:lblAlgn val="ctr"/>
        <c:lblOffset val="100"/>
        <c:noMultiLvlLbl val="0"/>
      </c:catAx>
      <c:valAx>
        <c:axId val="85971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699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Lbls>
            <c:delete val="1"/>
          </c:dLbls>
          <c:cat>
            <c:strRef>
              <c:f>Sheet1!$A$2</c:f>
              <c:strCache>
                <c:ptCount val="1"/>
                <c:pt idx="0">
                  <c:v>农林水类</c:v>
                </c:pt>
              </c:strCache>
            </c:strRef>
          </c:cat>
          <c:val>
            <c:numRef>
              <c:f>Sheet1!$B$2</c:f>
              <c:numCache>
                <c:formatCode>General</c:formatCode>
                <c:ptCount val="1"/>
                <c:pt idx="0">
                  <c:v>4276.74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D8586-8580-48EF-A587-54246307F2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2567</Words>
  <Characters>14636</Characters>
  <Lines>121</Lines>
  <Paragraphs>34</Paragraphs>
  <TotalTime>1103</TotalTime>
  <ScaleCrop>false</ScaleCrop>
  <LinksUpToDate>false</LinksUpToDate>
  <CharactersWithSpaces>17169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2021-08-20T02:07:00Z</dcterms:created>
  <dc:creator>微软用户</dc:creator>
  <cp:lastModifiedBy>lenovo</cp:lastModifiedBy>
  <cp:lastPrinted>2021-08-27T02:08:00Z</cp:lastPrinted>
  <dcterms:modified xsi:type="dcterms:W3CDTF">2022-01-25T13:35:23Z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D02D15C19C434276824D77856DA9A978</vt:lpwstr>
  </property>
</Properties>
</file>