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90" w:lineRule="exact"/>
        <w:ind w:right="0" w:rightChars="0" w:firstLine="0"/>
        <w:jc w:val="center"/>
        <w:textAlignment w:val="auto"/>
        <w:rPr>
          <w:rFonts w:hint="default" w:ascii="Times New Roman" w:hAnsi="Times New Roman" w:eastAsia="方正小标宋简体" w:cs="Times New Roman"/>
          <w:b/>
          <w:color w:val="000000" w:themeColor="text1"/>
          <w:sz w:val="44"/>
          <w:szCs w:val="44"/>
          <w:highlight w:val="none"/>
          <w:lang w:val="en-US" w:eastAsia="zh-CN"/>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590" w:lineRule="exact"/>
        <w:ind w:right="0" w:rightChars="0" w:firstLine="0"/>
        <w:jc w:val="center"/>
        <w:textAlignment w:val="auto"/>
        <w:rPr>
          <w:rFonts w:hint="default" w:ascii="Times New Roman" w:hAnsi="Times New Roman" w:eastAsia="方正小标宋简体" w:cs="Times New Roman"/>
          <w:b/>
          <w:color w:val="000000" w:themeColor="text1"/>
          <w:sz w:val="44"/>
          <w:szCs w:val="44"/>
          <w:highlight w:val="none"/>
          <w:lang w:val="en-US" w:eastAsia="zh-CN"/>
          <w14:textFill>
            <w14:solidFill>
              <w14:schemeClr w14:val="tx1"/>
            </w14:solidFill>
          </w14:textFill>
        </w:rPr>
      </w:pPr>
      <w:r>
        <w:rPr>
          <w:rFonts w:hint="default" w:ascii="Times New Roman" w:hAnsi="Times New Roman" w:eastAsia="方正小标宋简体" w:cs="Times New Roman"/>
          <w:b/>
          <w:color w:val="000000" w:themeColor="text1"/>
          <w:sz w:val="44"/>
          <w:szCs w:val="44"/>
          <w:highlight w:val="none"/>
          <w:lang w:val="en-US" w:eastAsia="zh-CN"/>
          <w14:textFill>
            <w14:solidFill>
              <w14:schemeClr w14:val="tx1"/>
            </w14:solidFill>
          </w14:textFill>
        </w:rPr>
        <w:t>泗水县圣水峪镇</w:t>
      </w:r>
    </w:p>
    <w:p>
      <w:pPr>
        <w:keepNext w:val="0"/>
        <w:keepLines w:val="0"/>
        <w:pageBreakBefore w:val="0"/>
        <w:kinsoku/>
        <w:wordWrap/>
        <w:overflowPunct/>
        <w:topLinePunct w:val="0"/>
        <w:autoSpaceDE/>
        <w:autoSpaceDN/>
        <w:bidi w:val="0"/>
        <w:adjustRightInd/>
        <w:snapToGrid/>
        <w:spacing w:line="590" w:lineRule="exact"/>
        <w:ind w:right="0" w:rightChars="0" w:firstLine="0"/>
        <w:jc w:val="center"/>
        <w:textAlignment w:val="auto"/>
        <w:rPr>
          <w:rFonts w:hint="default" w:ascii="Times New Roman" w:hAnsi="Times New Roman" w:eastAsia="方正小标宋简体" w:cs="Times New Roman"/>
          <w:b/>
          <w:color w:val="000000" w:themeColor="text1"/>
          <w:sz w:val="44"/>
          <w:szCs w:val="44"/>
          <w:highlight w:val="none"/>
          <w14:textFill>
            <w14:solidFill>
              <w14:schemeClr w14:val="tx1"/>
            </w14:solidFill>
          </w14:textFill>
        </w:rPr>
      </w:pPr>
      <w:r>
        <w:rPr>
          <w:rFonts w:hint="default" w:ascii="Times New Roman" w:hAnsi="Times New Roman" w:eastAsia="方正小标宋简体" w:cs="Times New Roman"/>
          <w:b/>
          <w:color w:val="000000" w:themeColor="text1"/>
          <w:sz w:val="44"/>
          <w:szCs w:val="44"/>
          <w:highlight w:val="none"/>
          <w14:textFill>
            <w14:solidFill>
              <w14:schemeClr w14:val="tx1"/>
            </w14:solidFill>
          </w14:textFill>
        </w:rPr>
        <w:t>202</w:t>
      </w:r>
      <w:r>
        <w:rPr>
          <w:rFonts w:hint="default" w:ascii="Times New Roman" w:hAnsi="Times New Roman" w:eastAsia="方正小标宋简体" w:cs="Times New Roman"/>
          <w:b/>
          <w:color w:val="000000" w:themeColor="text1"/>
          <w:sz w:val="44"/>
          <w:szCs w:val="44"/>
          <w:highlight w:val="none"/>
          <w:lang w:val="en-US" w:eastAsia="zh-CN"/>
          <w14:textFill>
            <w14:solidFill>
              <w14:schemeClr w14:val="tx1"/>
            </w14:solidFill>
          </w14:textFill>
        </w:rPr>
        <w:t>4</w:t>
      </w:r>
      <w:r>
        <w:rPr>
          <w:rFonts w:hint="default" w:ascii="Times New Roman" w:hAnsi="Times New Roman" w:eastAsia="方正小标宋简体" w:cs="Times New Roman"/>
          <w:b/>
          <w:color w:val="000000" w:themeColor="text1"/>
          <w:sz w:val="44"/>
          <w:szCs w:val="44"/>
          <w:highlight w:val="none"/>
          <w14:textFill>
            <w14:solidFill>
              <w14:schemeClr w14:val="tx1"/>
            </w14:solidFill>
          </w14:textFill>
        </w:rPr>
        <w:t>年政府信息公开工作年度报告</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5" w:lineRule="atLeast"/>
        <w:ind w:left="0" w:right="0" w:rightChars="0" w:firstLine="0"/>
        <w:jc w:val="center"/>
        <w:textAlignment w:val="auto"/>
        <w:rPr>
          <w:rStyle w:val="6"/>
          <w:rFonts w:hint="default" w:ascii="Times New Roman" w:hAnsi="Times New Roman" w:eastAsia="方正仿宋简体" w:cs="Times New Roman"/>
          <w:i w:val="0"/>
          <w:iCs w:val="0"/>
          <w:caps w:val="0"/>
          <w:color w:val="000000" w:themeColor="text1"/>
          <w:spacing w:val="0"/>
          <w:sz w:val="31"/>
          <w:szCs w:val="31"/>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pP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本报告由泗水县</w:t>
      </w:r>
      <w:r>
        <w:rPr>
          <w:rFonts w:hint="eastAsia" w:ascii="Times New Roman" w:hAnsi="Times New Roman" w:eastAsia="方正仿宋简体" w:cs="方正仿宋简体"/>
          <w:b/>
          <w:bCs/>
          <w:color w:val="000000" w:themeColor="text1"/>
          <w:kern w:val="0"/>
          <w:sz w:val="32"/>
          <w:szCs w:val="32"/>
          <w:lang w:eastAsia="zh-CN"/>
          <w14:textFill>
            <w14:solidFill>
              <w14:schemeClr w14:val="tx1"/>
            </w14:solidFill>
          </w14:textFill>
        </w:rPr>
        <w:t>圣水峪</w:t>
      </w: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镇人民政府按照《中华人民共和国政府信息公开条例》（以下简称《条例》）和《中华人民共和国政府信息公开工作年度报告格式》（国办公开办函〔2021〕30号）要求编制。</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pP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本报告内容包括总体情况、主动公开政府信息情况、收到和处理政府信息公开申请情况、政府信息公开行政复议和行政诉讼情况、存在的主要问题及改进情况、其他需要报告的事项等六部分内容。</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pP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本报告所列数据的统计时限自202</w:t>
      </w:r>
      <w:r>
        <w:rPr>
          <w:rFonts w:hint="eastAsia" w:ascii="Times New Roman" w:hAnsi="Times New Roman" w:eastAsia="方正仿宋简体" w:cs="方正仿宋简体"/>
          <w:b/>
          <w:bCs/>
          <w:color w:val="000000" w:themeColor="text1"/>
          <w:kern w:val="0"/>
          <w:sz w:val="32"/>
          <w:szCs w:val="32"/>
          <w:lang w:val="en-US" w:eastAsia="zh-CN"/>
          <w14:textFill>
            <w14:solidFill>
              <w14:schemeClr w14:val="tx1"/>
            </w14:solidFill>
          </w14:textFill>
        </w:rPr>
        <w:t>4</w:t>
      </w: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年1月1日起至202</w:t>
      </w:r>
      <w:r>
        <w:rPr>
          <w:rFonts w:hint="eastAsia" w:ascii="Times New Roman" w:hAnsi="Times New Roman" w:eastAsia="方正仿宋简体" w:cs="方正仿宋简体"/>
          <w:b/>
          <w:bCs/>
          <w:color w:val="000000" w:themeColor="text1"/>
          <w:kern w:val="0"/>
          <w:sz w:val="32"/>
          <w:szCs w:val="32"/>
          <w:lang w:val="en-US" w:eastAsia="zh-CN"/>
          <w14:textFill>
            <w14:solidFill>
              <w14:schemeClr w14:val="tx1"/>
            </w14:solidFill>
          </w14:textFill>
        </w:rPr>
        <w:t>4</w:t>
      </w: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年12月31日止。本报告电子版可在“中国·泗水”政府门户网站（www.sishui.gov.cn）查阅或下载。如对本报告有任何疑问，请与泗水县</w:t>
      </w:r>
      <w:r>
        <w:rPr>
          <w:rFonts w:hint="eastAsia" w:ascii="Times New Roman" w:hAnsi="Times New Roman" w:eastAsia="方正仿宋简体" w:cs="方正仿宋简体"/>
          <w:b/>
          <w:bCs/>
          <w:color w:val="000000" w:themeColor="text1"/>
          <w:kern w:val="0"/>
          <w:sz w:val="32"/>
          <w:szCs w:val="32"/>
          <w:lang w:eastAsia="zh-CN"/>
          <w14:textFill>
            <w14:solidFill>
              <w14:schemeClr w14:val="tx1"/>
            </w14:solidFill>
          </w14:textFill>
        </w:rPr>
        <w:t>圣水峪</w:t>
      </w: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镇人民政府联系（地址：泗水县</w:t>
      </w:r>
      <w:r>
        <w:rPr>
          <w:rFonts w:hint="eastAsia" w:ascii="Times New Roman" w:hAnsi="Times New Roman" w:eastAsia="方正仿宋简体" w:cs="方正仿宋简体"/>
          <w:b/>
          <w:bCs/>
          <w:color w:val="000000" w:themeColor="text1"/>
          <w:kern w:val="0"/>
          <w:sz w:val="32"/>
          <w:szCs w:val="32"/>
          <w:lang w:eastAsia="zh-CN"/>
          <w14:textFill>
            <w14:solidFill>
              <w14:schemeClr w14:val="tx1"/>
            </w14:solidFill>
          </w14:textFill>
        </w:rPr>
        <w:t>圣水峪镇人民路</w:t>
      </w:r>
      <w:r>
        <w:rPr>
          <w:rFonts w:hint="eastAsia" w:ascii="Times New Roman" w:hAnsi="Times New Roman" w:eastAsia="方正仿宋简体" w:cs="方正仿宋简体"/>
          <w:b/>
          <w:bCs/>
          <w:color w:val="000000" w:themeColor="text1"/>
          <w:kern w:val="0"/>
          <w:sz w:val="32"/>
          <w:szCs w:val="32"/>
          <w:lang w:val="en-US" w:eastAsia="zh-CN"/>
          <w14:textFill>
            <w14:solidFill>
              <w14:schemeClr w14:val="tx1"/>
            </w14:solidFill>
          </w14:textFill>
        </w:rPr>
        <w:t>1号</w:t>
      </w: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，联系电话：0537-43</w:t>
      </w:r>
      <w:r>
        <w:rPr>
          <w:rFonts w:hint="eastAsia" w:ascii="Times New Roman" w:hAnsi="Times New Roman" w:eastAsia="方正仿宋简体" w:cs="方正仿宋简体"/>
          <w:b/>
          <w:bCs/>
          <w:color w:val="000000" w:themeColor="text1"/>
          <w:kern w:val="0"/>
          <w:sz w:val="32"/>
          <w:szCs w:val="32"/>
          <w:lang w:val="en-US" w:eastAsia="zh-CN"/>
          <w14:textFill>
            <w14:solidFill>
              <w14:schemeClr w14:val="tx1"/>
            </w14:solidFill>
          </w14:textFill>
        </w:rPr>
        <w:t>01016</w:t>
      </w: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方正黑体简体" w:cs="方正黑体简体"/>
          <w:b/>
          <w:bCs/>
          <w:color w:val="000000" w:themeColor="text1"/>
          <w:kern w:val="0"/>
          <w:sz w:val="32"/>
          <w:szCs w:val="32"/>
          <w14:textFill>
            <w14:solidFill>
              <w14:schemeClr w14:val="tx1"/>
            </w14:solidFill>
          </w14:textFill>
        </w:rPr>
      </w:pPr>
      <w:r>
        <w:rPr>
          <w:rFonts w:hint="eastAsia" w:ascii="Times New Roman" w:hAnsi="Times New Roman" w:eastAsia="方正黑体简体" w:cs="方正黑体简体"/>
          <w:b/>
          <w:bCs/>
          <w:color w:val="000000" w:themeColor="text1"/>
          <w:kern w:val="0"/>
          <w:sz w:val="32"/>
          <w:szCs w:val="32"/>
          <w14:textFill>
            <w14:solidFill>
              <w14:schemeClr w14:val="tx1"/>
            </w14:solidFill>
          </w14:textFill>
        </w:rPr>
        <w:t>一、总体情况</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pPr>
      <w:r>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t>202</w:t>
      </w:r>
      <w:r>
        <w:rPr>
          <w:rFonts w:hint="eastAsia" w:ascii="Times New Roman" w:hAnsi="Times New Roman" w:eastAsia="方正仿宋简体" w:cs="方正仿宋简体"/>
          <w:b/>
          <w:bCs/>
          <w:color w:val="000000" w:themeColor="text1"/>
          <w:kern w:val="0"/>
          <w:sz w:val="32"/>
          <w:szCs w:val="32"/>
          <w:highlight w:val="none"/>
          <w:lang w:val="en-US" w:eastAsia="zh-CN"/>
          <w14:textFill>
            <w14:solidFill>
              <w14:schemeClr w14:val="tx1"/>
            </w14:solidFill>
          </w14:textFill>
        </w:rPr>
        <w:t>4</w:t>
      </w:r>
      <w:r>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t>年，</w:t>
      </w:r>
      <w:r>
        <w:rPr>
          <w:rFonts w:hint="eastAsia" w:ascii="Times New Roman" w:hAnsi="Times New Roman" w:eastAsia="方正仿宋简体" w:cs="方正仿宋简体"/>
          <w:b/>
          <w:bCs/>
          <w:color w:val="000000" w:themeColor="text1"/>
          <w:kern w:val="0"/>
          <w:sz w:val="32"/>
          <w:szCs w:val="32"/>
          <w:highlight w:val="none"/>
          <w:lang w:val="en-US" w:eastAsia="zh-CN"/>
          <w14:textFill>
            <w14:solidFill>
              <w14:schemeClr w14:val="tx1"/>
            </w14:solidFill>
          </w14:textFill>
        </w:rPr>
        <w:t>圣水峪</w:t>
      </w:r>
      <w:r>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t>镇在县委、县政府的领导下，</w:t>
      </w:r>
      <w:r>
        <w:rPr>
          <w:rFonts w:hint="eastAsia" w:ascii="Times New Roman" w:hAnsi="Times New Roman" w:eastAsia="方正仿宋简体" w:cs="方正仿宋简体"/>
          <w:b/>
          <w:bCs/>
          <w:color w:val="000000" w:themeColor="text1"/>
          <w:kern w:val="0"/>
          <w:sz w:val="32"/>
          <w:szCs w:val="32"/>
          <w:lang w:val="en-US" w:eastAsia="zh-CN"/>
          <w14:textFill>
            <w14:solidFill>
              <w14:schemeClr w14:val="tx1"/>
            </w14:solidFill>
          </w14:textFill>
        </w:rPr>
        <w:t>坚持以习近平新时代中国特色社会主义思想为指导</w:t>
      </w:r>
      <w:r>
        <w:rPr>
          <w:rFonts w:hint="eastAsia" w:ascii="Times New Roman" w:hAnsi="Times New Roman" w:eastAsia="方正仿宋简体" w:cs="方正仿宋简体"/>
          <w:b/>
          <w:bCs/>
          <w:color w:val="000000" w:themeColor="text1"/>
          <w:kern w:val="0"/>
          <w:sz w:val="32"/>
          <w:szCs w:val="32"/>
          <w14:textFill>
            <w14:solidFill>
              <w14:schemeClr w14:val="tx1"/>
            </w14:solidFill>
          </w14:textFill>
        </w:rPr>
        <w:t>，</w:t>
      </w:r>
      <w:r>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t>严格贯彻落实《中华人民共和国政府信息公开条例》文件精神，严格按照《条例》总体要求，落实政务公开相关工作，及时回应群众关切、答疑解惑，坚决保障“公开为常态，不公开为例外”，确保政务公开工作稳步、有序、健康发展。现将工作情况汇报如下：</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方正楷体简体" w:cs="方正楷体简体"/>
          <w:b/>
          <w:bCs/>
          <w:color w:val="000000" w:themeColor="text1"/>
          <w:kern w:val="0"/>
          <w:sz w:val="32"/>
          <w:szCs w:val="32"/>
          <w:highlight w:val="none"/>
          <w14:textFill>
            <w14:solidFill>
              <w14:schemeClr w14:val="tx1"/>
            </w14:solidFill>
          </w14:textFill>
        </w:rPr>
      </w:pPr>
      <w:r>
        <w:rPr>
          <w:rFonts w:hint="eastAsia" w:ascii="Times New Roman" w:hAnsi="Times New Roman" w:eastAsia="方正楷体简体" w:cs="方正楷体简体"/>
          <w:b/>
          <w:bCs/>
          <w:color w:val="000000" w:themeColor="text1"/>
          <w:kern w:val="0"/>
          <w:sz w:val="32"/>
          <w:szCs w:val="32"/>
          <w:highlight w:val="none"/>
          <w14:textFill>
            <w14:solidFill>
              <w14:schemeClr w14:val="tx1"/>
            </w14:solidFill>
          </w14:textFill>
        </w:rPr>
        <w:t>（一）主动公开情况</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pPr>
      <w:r>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t>镇政府严格按照《中华人民共和国政府信息公开条例》要求，及时对信息进行更新。通过网站主动公开政府信息共</w:t>
      </w:r>
      <w:r>
        <w:rPr>
          <w:rFonts w:hint="eastAsia" w:ascii="Times New Roman" w:hAnsi="Times New Roman" w:eastAsia="方正仿宋简体" w:cs="方正仿宋简体"/>
          <w:b/>
          <w:bCs/>
          <w:color w:val="000000" w:themeColor="text1"/>
          <w:kern w:val="0"/>
          <w:sz w:val="32"/>
          <w:szCs w:val="32"/>
          <w:highlight w:val="none"/>
          <w:lang w:val="en-US" w:eastAsia="zh-CN"/>
          <w14:textFill>
            <w14:solidFill>
              <w14:schemeClr w14:val="tx1"/>
            </w14:solidFill>
          </w14:textFill>
        </w:rPr>
        <w:t>37</w:t>
      </w:r>
      <w:r>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t>条，其中工作动态</w:t>
      </w:r>
      <w:r>
        <w:rPr>
          <w:rFonts w:hint="eastAsia" w:ascii="Times New Roman" w:hAnsi="Times New Roman" w:eastAsia="方正仿宋简体" w:cs="方正仿宋简体"/>
          <w:b/>
          <w:bCs/>
          <w:color w:val="000000" w:themeColor="text1"/>
          <w:kern w:val="0"/>
          <w:sz w:val="32"/>
          <w:szCs w:val="32"/>
          <w:highlight w:val="none"/>
          <w:lang w:val="en-US" w:eastAsia="zh-CN"/>
          <w14:textFill>
            <w14:solidFill>
              <w14:schemeClr w14:val="tx1"/>
            </w14:solidFill>
          </w14:textFill>
        </w:rPr>
        <w:t>31</w:t>
      </w:r>
      <w:r>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t>条，通知公告4条，机构职能1条，信息公开年报1条。坚持做好权威信息发布工作，确保政府信息公开工作正常高效运行。</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方正仿宋简体" w:cs="Times New Roman"/>
          <w:b/>
          <w:bCs/>
          <w:color w:val="000000" w:themeColor="text1"/>
          <w:kern w:val="0"/>
          <w:sz w:val="32"/>
          <w:szCs w:val="32"/>
          <w:highlight w:val="none"/>
          <w:lang w:eastAsia="zh-CN"/>
          <w14:textFill>
            <w14:solidFill>
              <w14:schemeClr w14:val="tx1"/>
            </w14:solidFill>
          </w14:textFill>
        </w:rPr>
      </w:pPr>
      <w:r>
        <w:rPr>
          <w:rFonts w:hint="eastAsia" w:ascii="Times New Roman" w:hAnsi="Times New Roman" w:eastAsia="方正仿宋简体" w:cs="Times New Roman"/>
          <w:b/>
          <w:bCs/>
          <w:color w:val="000000" w:themeColor="text1"/>
          <w:kern w:val="0"/>
          <w:sz w:val="32"/>
          <w:szCs w:val="32"/>
          <w:highlight w:val="none"/>
          <w:lang w:eastAsia="zh-CN"/>
          <w14:textFill>
            <w14:solidFill>
              <w14:schemeClr w14:val="tx1"/>
            </w14:solidFill>
          </w14:textFill>
        </w:rPr>
        <w:drawing>
          <wp:inline distT="0" distB="0" distL="114300" distR="114300">
            <wp:extent cx="5461000" cy="5005705"/>
            <wp:effectExtent l="4445" t="4445" r="20955" b="1905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方正楷体简体" w:cs="方正楷体简体"/>
          <w:b/>
          <w:bCs/>
          <w:color w:val="000000" w:themeColor="text1"/>
          <w:kern w:val="0"/>
          <w:sz w:val="32"/>
          <w:szCs w:val="32"/>
          <w:highlight w:val="none"/>
          <w14:textFill>
            <w14:solidFill>
              <w14:schemeClr w14:val="tx1"/>
            </w14:solidFill>
          </w14:textFill>
        </w:rPr>
      </w:pPr>
      <w:r>
        <w:rPr>
          <w:rFonts w:hint="eastAsia" w:ascii="Times New Roman" w:hAnsi="Times New Roman" w:eastAsia="方正楷体简体" w:cs="方正楷体简体"/>
          <w:b/>
          <w:bCs/>
          <w:color w:val="000000" w:themeColor="text1"/>
          <w:kern w:val="0"/>
          <w:sz w:val="32"/>
          <w:szCs w:val="32"/>
          <w:highlight w:val="none"/>
          <w14:textFill>
            <w14:solidFill>
              <w14:schemeClr w14:val="tx1"/>
            </w14:solidFill>
          </w14:textFill>
        </w:rPr>
        <w:t>（二）依申请公开情况</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pPr>
      <w:r>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t>202</w:t>
      </w:r>
      <w:r>
        <w:rPr>
          <w:rFonts w:hint="eastAsia" w:ascii="Times New Roman" w:hAnsi="Times New Roman" w:eastAsia="方正仿宋简体" w:cs="方正仿宋简体"/>
          <w:b/>
          <w:bCs/>
          <w:color w:val="000000" w:themeColor="text1"/>
          <w:kern w:val="0"/>
          <w:sz w:val="32"/>
          <w:szCs w:val="32"/>
          <w:highlight w:val="none"/>
          <w:lang w:val="en-US" w:eastAsia="zh-CN"/>
          <w14:textFill>
            <w14:solidFill>
              <w14:schemeClr w14:val="tx1"/>
            </w14:solidFill>
          </w14:textFill>
        </w:rPr>
        <w:t>4</w:t>
      </w:r>
      <w:r>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t>年1月1日至20</w:t>
      </w:r>
      <w:r>
        <w:rPr>
          <w:rFonts w:hint="eastAsia" w:ascii="Times New Roman" w:hAnsi="Times New Roman" w:eastAsia="方正仿宋简体" w:cs="方正仿宋简体"/>
          <w:b/>
          <w:bCs/>
          <w:color w:val="000000" w:themeColor="text1"/>
          <w:kern w:val="0"/>
          <w:sz w:val="32"/>
          <w:szCs w:val="32"/>
          <w:highlight w:val="none"/>
          <w:lang w:val="en-US" w:eastAsia="zh-CN"/>
          <w14:textFill>
            <w14:solidFill>
              <w14:schemeClr w14:val="tx1"/>
            </w14:solidFill>
          </w14:textFill>
        </w:rPr>
        <w:t>24</w:t>
      </w:r>
      <w:r>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t>年12月31日，</w:t>
      </w:r>
      <w:r>
        <w:rPr>
          <w:rFonts w:hint="eastAsia" w:ascii="Times New Roman" w:hAnsi="Times New Roman" w:eastAsia="方正仿宋简体" w:cs="方正仿宋简体"/>
          <w:b/>
          <w:bCs/>
          <w:color w:val="000000" w:themeColor="text1"/>
          <w:kern w:val="0"/>
          <w:sz w:val="32"/>
          <w:szCs w:val="32"/>
          <w:highlight w:val="none"/>
          <w:lang w:eastAsia="zh-CN"/>
          <w14:textFill>
            <w14:solidFill>
              <w14:schemeClr w14:val="tx1"/>
            </w14:solidFill>
          </w14:textFill>
        </w:rPr>
        <w:t>圣水峪</w:t>
      </w:r>
      <w:r>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t>镇未收到自然人、法人或其他组织进行信息公开的申请。</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方正楷体简体" w:cs="方正楷体简体"/>
          <w:b/>
          <w:bCs/>
          <w:color w:val="000000" w:themeColor="text1"/>
          <w:kern w:val="0"/>
          <w:sz w:val="32"/>
          <w:szCs w:val="32"/>
          <w:highlight w:val="none"/>
          <w14:textFill>
            <w14:solidFill>
              <w14:schemeClr w14:val="tx1"/>
            </w14:solidFill>
          </w14:textFill>
        </w:rPr>
      </w:pPr>
      <w:r>
        <w:rPr>
          <w:rFonts w:hint="eastAsia" w:ascii="Times New Roman" w:hAnsi="Times New Roman" w:eastAsia="方正楷体简体" w:cs="方正楷体简体"/>
          <w:b/>
          <w:bCs/>
          <w:color w:val="000000" w:themeColor="text1"/>
          <w:kern w:val="0"/>
          <w:sz w:val="32"/>
          <w:szCs w:val="32"/>
          <w:highlight w:val="none"/>
          <w14:textFill>
            <w14:solidFill>
              <w14:schemeClr w14:val="tx1"/>
            </w14:solidFill>
          </w14:textFill>
        </w:rPr>
        <w:t>（三）政府信息管理情况</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pPr>
      <w:r>
        <w:rPr>
          <w:rFonts w:hint="eastAsia" w:ascii="Times New Roman" w:hAnsi="Times New Roman" w:eastAsia="方正仿宋简体" w:cs="方正仿宋简体"/>
          <w:b/>
          <w:bCs/>
          <w:color w:val="000000" w:themeColor="text1"/>
          <w:kern w:val="0"/>
          <w:sz w:val="32"/>
          <w:szCs w:val="32"/>
          <w:highlight w:val="none"/>
          <w:lang w:val="en-US" w:eastAsia="zh-CN"/>
          <w14:textFill>
            <w14:solidFill>
              <w14:schemeClr w14:val="tx1"/>
            </w14:solidFill>
          </w14:textFill>
        </w:rPr>
        <w:t>圣水峪</w:t>
      </w:r>
      <w:r>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t>镇不断完善政府信息主动公开制度，由党政办负责统筹协调编制政府信息公开内容，并安排专人负责信息公开工作，对政府信息公开目录进行重新梳理，明确各栏目责任单位，保障政府信息及时公开到位</w:t>
      </w:r>
      <w:r>
        <w:rPr>
          <w:rFonts w:hint="eastAsia" w:ascii="Times New Roman" w:hAnsi="Times New Roman" w:eastAsia="方正仿宋简体" w:cs="方正仿宋简体"/>
          <w:b/>
          <w:bCs/>
          <w:color w:val="000000" w:themeColor="text1"/>
          <w:kern w:val="0"/>
          <w:sz w:val="32"/>
          <w:szCs w:val="32"/>
          <w:highlight w:val="none"/>
          <w:lang w:eastAsia="zh-CN"/>
          <w14:textFill>
            <w14:solidFill>
              <w14:schemeClr w14:val="tx1"/>
            </w14:solidFill>
          </w14:textFill>
        </w:rPr>
        <w:t>；</w:t>
      </w:r>
      <w:r>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t>由专门人员完善保密审查制度和管理制度，明确有关保密审查的职责分工、审查程序和责任追究办法，严格执行一事一审，确保不发生泄密问题。</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方正楷体简体" w:cs="方正楷体简体"/>
          <w:b/>
          <w:bCs/>
          <w:color w:val="000000" w:themeColor="text1"/>
          <w:kern w:val="0"/>
          <w:sz w:val="32"/>
          <w:szCs w:val="32"/>
          <w:highlight w:val="none"/>
          <w14:textFill>
            <w14:solidFill>
              <w14:schemeClr w14:val="tx1"/>
            </w14:solidFill>
          </w14:textFill>
        </w:rPr>
      </w:pPr>
      <w:r>
        <w:rPr>
          <w:rFonts w:hint="eastAsia" w:ascii="Times New Roman" w:hAnsi="Times New Roman" w:eastAsia="方正楷体简体" w:cs="方正楷体简体"/>
          <w:b/>
          <w:bCs/>
          <w:color w:val="000000" w:themeColor="text1"/>
          <w:kern w:val="0"/>
          <w:sz w:val="32"/>
          <w:szCs w:val="32"/>
          <w:highlight w:val="none"/>
          <w14:textFill>
            <w14:solidFill>
              <w14:schemeClr w14:val="tx1"/>
            </w14:solidFill>
          </w14:textFill>
        </w:rPr>
        <w:t>（四）政府信息公开平台建设情况</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pPr>
      <w:r>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t>切实发挥政府网站政务公开主平台的积极作用，加强政务发布与解读，积极回应社会关切，推进政民互动。加大网站信息发布和更新力度，及时与上级主管部门沟通对接。对公开信息进行梳理，细化信息公开内容、规范信息公开格式、确保信息公开时效。结合基层工作实际，在为民服务大厅及</w:t>
      </w:r>
      <w:r>
        <w:rPr>
          <w:rFonts w:hint="eastAsia" w:ascii="Times New Roman" w:hAnsi="Times New Roman" w:eastAsia="方正仿宋简体" w:cs="方正仿宋简体"/>
          <w:b/>
          <w:bCs/>
          <w:color w:val="000000" w:themeColor="text1"/>
          <w:kern w:val="0"/>
          <w:sz w:val="32"/>
          <w:szCs w:val="32"/>
          <w:highlight w:val="none"/>
          <w:lang w:val="en-US" w:eastAsia="zh-CN"/>
          <w14:textFill>
            <w14:solidFill>
              <w14:schemeClr w14:val="tx1"/>
            </w14:solidFill>
          </w14:textFill>
        </w:rPr>
        <w:t>39</w:t>
      </w:r>
      <w:r>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t>个行政村设置政务公开专区，为群众查阅相关政策和信息提供了便利。</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方正楷体简体" w:cs="方正楷体简体"/>
          <w:b/>
          <w:bCs/>
          <w:color w:val="000000" w:themeColor="text1"/>
          <w:kern w:val="0"/>
          <w:sz w:val="32"/>
          <w:szCs w:val="32"/>
          <w:highlight w:val="none"/>
          <w14:textFill>
            <w14:solidFill>
              <w14:schemeClr w14:val="tx1"/>
            </w14:solidFill>
          </w14:textFill>
        </w:rPr>
      </w:pPr>
      <w:r>
        <w:rPr>
          <w:rFonts w:hint="eastAsia" w:ascii="Times New Roman" w:hAnsi="Times New Roman" w:eastAsia="方正楷体简体" w:cs="方正楷体简体"/>
          <w:b/>
          <w:bCs/>
          <w:color w:val="000000" w:themeColor="text1"/>
          <w:kern w:val="0"/>
          <w:sz w:val="32"/>
          <w:szCs w:val="32"/>
          <w:highlight w:val="none"/>
          <w14:textFill>
            <w14:solidFill>
              <w14:schemeClr w14:val="tx1"/>
            </w14:solidFill>
          </w14:textFill>
        </w:rPr>
        <w:t>（五）监督保障情况</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pPr>
      <w:r>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t>202</w:t>
      </w:r>
      <w:r>
        <w:rPr>
          <w:rFonts w:hint="eastAsia" w:ascii="Times New Roman" w:hAnsi="Times New Roman" w:eastAsia="方正仿宋简体" w:cs="方正仿宋简体"/>
          <w:b/>
          <w:bCs/>
          <w:color w:val="000000" w:themeColor="text1"/>
          <w:kern w:val="0"/>
          <w:sz w:val="32"/>
          <w:szCs w:val="32"/>
          <w:highlight w:val="none"/>
          <w:lang w:val="en-US" w:eastAsia="zh-CN"/>
          <w14:textFill>
            <w14:solidFill>
              <w14:schemeClr w14:val="tx1"/>
            </w14:solidFill>
          </w14:textFill>
        </w:rPr>
        <w:t>4</w:t>
      </w:r>
      <w:r>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t>年度，</w:t>
      </w:r>
      <w:r>
        <w:rPr>
          <w:rFonts w:hint="eastAsia" w:ascii="Times New Roman" w:hAnsi="Times New Roman" w:eastAsia="方正仿宋简体" w:cs="方正仿宋简体"/>
          <w:b/>
          <w:bCs/>
          <w:color w:val="000000" w:themeColor="text1"/>
          <w:kern w:val="0"/>
          <w:sz w:val="32"/>
          <w:szCs w:val="32"/>
          <w:highlight w:val="none"/>
          <w:lang w:eastAsia="zh-CN"/>
          <w14:textFill>
            <w14:solidFill>
              <w14:schemeClr w14:val="tx1"/>
            </w14:solidFill>
          </w14:textFill>
        </w:rPr>
        <w:t>圣水峪镇</w:t>
      </w:r>
      <w:r>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t>严格执行《条例》的相关要求，切实加强对政务公开工作的组织领导，建立分管负责人统一领导、党政办牵头组织协调、职能部门各司其职的工作机制，明确镇专人负责政务公开信息发布，协调各单位配合，确保政务公开工作任务落地、责任到人，全面提升政务公开执行力。</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方正黑体简体" w:cs="方正黑体简体"/>
          <w:b/>
          <w:bCs/>
          <w:color w:val="000000" w:themeColor="text1"/>
          <w:kern w:val="0"/>
          <w:sz w:val="32"/>
          <w:szCs w:val="32"/>
          <w14:textFill>
            <w14:solidFill>
              <w14:schemeClr w14:val="tx1"/>
            </w14:solidFill>
          </w14:textFill>
        </w:rPr>
      </w:pPr>
      <w:r>
        <w:rPr>
          <w:rFonts w:hint="eastAsia" w:ascii="Times New Roman" w:hAnsi="Times New Roman" w:eastAsia="方正黑体简体" w:cs="方正黑体简体"/>
          <w:b/>
          <w:bCs/>
          <w:color w:val="000000" w:themeColor="text1"/>
          <w:kern w:val="0"/>
          <w:sz w:val="32"/>
          <w:szCs w:val="32"/>
          <w:lang w:val="en-US" w:eastAsia="zh-CN"/>
          <w14:textFill>
            <w14:solidFill>
              <w14:schemeClr w14:val="tx1"/>
            </w14:solidFill>
          </w14:textFill>
        </w:rPr>
        <w:t>二、</w:t>
      </w:r>
      <w:r>
        <w:rPr>
          <w:rFonts w:hint="eastAsia" w:ascii="Times New Roman" w:hAnsi="Times New Roman" w:eastAsia="方正黑体简体" w:cs="方正黑体简体"/>
          <w:b/>
          <w:bCs/>
          <w:color w:val="000000" w:themeColor="text1"/>
          <w:kern w:val="0"/>
          <w:sz w:val="32"/>
          <w:szCs w:val="32"/>
          <w14:textFill>
            <w14:solidFill>
              <w14:schemeClr w14:val="tx1"/>
            </w14:solidFill>
          </w14:textFill>
        </w:rPr>
        <w:t>主动公开政府信息情况</w:t>
      </w:r>
    </w:p>
    <w:tbl>
      <w:tblPr>
        <w:tblStyle w:val="7"/>
        <w:tblW w:w="8773"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2435"/>
        <w:gridCol w:w="2133"/>
        <w:gridCol w:w="2216"/>
        <w:gridCol w:w="198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fixed"/>
          <w:tblCellMar>
            <w:top w:w="0" w:type="dxa"/>
            <w:left w:w="0" w:type="dxa"/>
            <w:bottom w:w="0" w:type="dxa"/>
            <w:right w:w="0" w:type="dxa"/>
          </w:tblCellMar>
        </w:tblPrEx>
        <w:trPr>
          <w:trHeight w:val="680" w:hRule="atLeast"/>
          <w:jc w:val="center"/>
        </w:trPr>
        <w:tc>
          <w:tcPr>
            <w:tcW w:w="8773" w:type="dxa"/>
            <w:gridSpan w:val="4"/>
            <w:tcBorders>
              <w:tl2br w:val="nil"/>
              <w:tr2bl w:val="nil"/>
            </w:tcBorders>
            <w:shd w:val="clear" w:color="auto" w:fill="AAAAC6"/>
            <w:tcMar>
              <w:left w:w="57" w:type="dxa"/>
              <w:right w:w="57" w:type="dxa"/>
            </w:tcMar>
            <w:vAlign w:val="center"/>
          </w:tcPr>
          <w:p>
            <w:pPr>
              <w:widowControl/>
              <w:spacing w:line="340" w:lineRule="exact"/>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第二十条第（一）项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680" w:hRule="atLeast"/>
          <w:jc w:val="center"/>
        </w:trPr>
        <w:tc>
          <w:tcPr>
            <w:tcW w:w="2435" w:type="dxa"/>
            <w:tcBorders>
              <w:tl2br w:val="nil"/>
              <w:tr2bl w:val="nil"/>
            </w:tcBorders>
            <w:shd w:val="clear" w:color="auto" w:fill="auto"/>
            <w:tcMar>
              <w:left w:w="57" w:type="dxa"/>
              <w:right w:w="57" w:type="dxa"/>
            </w:tcMar>
            <w:vAlign w:val="center"/>
          </w:tcPr>
          <w:p>
            <w:pPr>
              <w:widowControl/>
              <w:spacing w:line="340" w:lineRule="exact"/>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信息内容</w:t>
            </w:r>
          </w:p>
        </w:tc>
        <w:tc>
          <w:tcPr>
            <w:tcW w:w="2133" w:type="dxa"/>
            <w:tcBorders>
              <w:tl2br w:val="nil"/>
              <w:tr2bl w:val="nil"/>
            </w:tcBorders>
            <w:shd w:val="clear" w:color="auto" w:fill="auto"/>
            <w:tcMar>
              <w:left w:w="57" w:type="dxa"/>
              <w:right w:w="57" w:type="dxa"/>
            </w:tcMar>
            <w:vAlign w:val="center"/>
          </w:tcPr>
          <w:p>
            <w:pPr>
              <w:widowControl/>
              <w:spacing w:line="340" w:lineRule="exact"/>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本年制发件数</w:t>
            </w:r>
          </w:p>
        </w:tc>
        <w:tc>
          <w:tcPr>
            <w:tcW w:w="2216" w:type="dxa"/>
            <w:tcBorders>
              <w:tl2br w:val="nil"/>
              <w:tr2bl w:val="nil"/>
            </w:tcBorders>
            <w:shd w:val="clear" w:color="auto" w:fill="auto"/>
            <w:tcMar>
              <w:left w:w="57" w:type="dxa"/>
              <w:right w:w="57" w:type="dxa"/>
            </w:tcMar>
            <w:vAlign w:val="center"/>
          </w:tcPr>
          <w:p>
            <w:pPr>
              <w:widowControl/>
              <w:spacing w:line="340" w:lineRule="exact"/>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本年废止件数</w:t>
            </w:r>
          </w:p>
        </w:tc>
        <w:tc>
          <w:tcPr>
            <w:tcW w:w="1989" w:type="dxa"/>
            <w:tcBorders>
              <w:tl2br w:val="nil"/>
              <w:tr2bl w:val="nil"/>
            </w:tcBorders>
            <w:shd w:val="clear" w:color="auto" w:fill="auto"/>
            <w:tcMar>
              <w:left w:w="57" w:type="dxa"/>
              <w:right w:w="57" w:type="dxa"/>
            </w:tcMar>
            <w:vAlign w:val="center"/>
          </w:tcPr>
          <w:p>
            <w:pPr>
              <w:widowControl/>
              <w:spacing w:line="340" w:lineRule="exact"/>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现行有效件数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680" w:hRule="atLeast"/>
          <w:jc w:val="center"/>
        </w:trPr>
        <w:tc>
          <w:tcPr>
            <w:tcW w:w="2435" w:type="dxa"/>
            <w:tcBorders>
              <w:tl2br w:val="nil"/>
              <w:tr2bl w:val="nil"/>
            </w:tcBorders>
            <w:shd w:val="clear" w:color="auto" w:fill="auto"/>
            <w:tcMar>
              <w:left w:w="57" w:type="dxa"/>
              <w:right w:w="57" w:type="dxa"/>
            </w:tcMar>
            <w:vAlign w:val="center"/>
          </w:tcPr>
          <w:p>
            <w:pPr>
              <w:widowControl/>
              <w:spacing w:line="340" w:lineRule="exact"/>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规章</w:t>
            </w:r>
          </w:p>
        </w:tc>
        <w:tc>
          <w:tcPr>
            <w:tcW w:w="2133" w:type="dxa"/>
            <w:tcBorders>
              <w:tl2br w:val="nil"/>
              <w:tr2bl w:val="nil"/>
            </w:tcBorders>
            <w:shd w:val="clear" w:color="auto" w:fill="auto"/>
            <w:tcMar>
              <w:left w:w="57" w:type="dxa"/>
              <w:right w:w="57" w:type="dxa"/>
            </w:tcMar>
            <w:vAlign w:val="center"/>
          </w:tcPr>
          <w:p>
            <w:pPr>
              <w:widowControl/>
              <w:spacing w:line="340" w:lineRule="exact"/>
              <w:jc w:val="center"/>
              <w:rPr>
                <w:rFonts w:hint="eastAsia" w:ascii="Times New Roman" w:hAnsi="Times New Roman" w:eastAsia="方正黑体简体" w:cs="方正黑体简体"/>
                <w:b w:val="0"/>
                <w:bCs/>
                <w:color w:val="000000" w:themeColor="text1"/>
                <w:sz w:val="28"/>
                <w:szCs w:val="28"/>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val="en-US" w:eastAsia="zh-CN" w:bidi="ar"/>
                <w14:textFill>
                  <w14:solidFill>
                    <w14:schemeClr w14:val="tx1"/>
                  </w14:solidFill>
                </w14:textFill>
              </w:rPr>
              <w:t>0</w:t>
            </w:r>
          </w:p>
        </w:tc>
        <w:tc>
          <w:tcPr>
            <w:tcW w:w="2216" w:type="dxa"/>
            <w:tcBorders>
              <w:tl2br w:val="nil"/>
              <w:tr2bl w:val="nil"/>
            </w:tcBorders>
            <w:shd w:val="clear" w:color="auto" w:fill="auto"/>
            <w:tcMar>
              <w:left w:w="57" w:type="dxa"/>
              <w:right w:w="57" w:type="dxa"/>
            </w:tcMar>
            <w:vAlign w:val="center"/>
          </w:tcPr>
          <w:p>
            <w:pPr>
              <w:widowControl/>
              <w:spacing w:line="340" w:lineRule="exact"/>
              <w:jc w:val="center"/>
              <w:rPr>
                <w:rFonts w:hint="eastAsia" w:ascii="Times New Roman" w:hAnsi="Times New Roman" w:eastAsia="方正黑体简体" w:cs="方正黑体简体"/>
                <w:b w:val="0"/>
                <w:bCs/>
                <w:color w:val="000000" w:themeColor="text1"/>
                <w:sz w:val="28"/>
                <w:szCs w:val="28"/>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val="en-US" w:eastAsia="zh-CN" w:bidi="ar"/>
                <w14:textFill>
                  <w14:solidFill>
                    <w14:schemeClr w14:val="tx1"/>
                  </w14:solidFill>
                </w14:textFill>
              </w:rPr>
              <w:t>0</w:t>
            </w:r>
          </w:p>
        </w:tc>
        <w:tc>
          <w:tcPr>
            <w:tcW w:w="1989" w:type="dxa"/>
            <w:tcBorders>
              <w:tl2br w:val="nil"/>
              <w:tr2bl w:val="nil"/>
            </w:tcBorders>
            <w:shd w:val="clear" w:color="auto" w:fill="auto"/>
            <w:tcMar>
              <w:left w:w="57" w:type="dxa"/>
              <w:right w:w="57" w:type="dxa"/>
            </w:tcMar>
            <w:vAlign w:val="center"/>
          </w:tcPr>
          <w:p>
            <w:pPr>
              <w:widowControl/>
              <w:spacing w:line="340" w:lineRule="exact"/>
              <w:jc w:val="center"/>
              <w:rPr>
                <w:rFonts w:hint="eastAsia" w:ascii="Times New Roman" w:hAnsi="Times New Roman" w:eastAsia="方正黑体简体" w:cs="方正黑体简体"/>
                <w:b w:val="0"/>
                <w:bCs/>
                <w:color w:val="000000" w:themeColor="text1"/>
                <w:sz w:val="28"/>
                <w:szCs w:val="28"/>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val="en-US" w:eastAsia="zh-CN" w:bidi="ar"/>
                <w14:textFill>
                  <w14:solidFill>
                    <w14:schemeClr w14:val="tx1"/>
                  </w14:solidFill>
                </w14:textFill>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680" w:hRule="atLeast"/>
          <w:jc w:val="center"/>
        </w:trPr>
        <w:tc>
          <w:tcPr>
            <w:tcW w:w="2435" w:type="dxa"/>
            <w:tcBorders>
              <w:tl2br w:val="nil"/>
              <w:tr2bl w:val="nil"/>
            </w:tcBorders>
            <w:shd w:val="clear" w:color="auto" w:fill="auto"/>
            <w:tcMar>
              <w:left w:w="57" w:type="dxa"/>
              <w:right w:w="57" w:type="dxa"/>
            </w:tcMar>
            <w:vAlign w:val="center"/>
          </w:tcPr>
          <w:p>
            <w:pPr>
              <w:widowControl/>
              <w:spacing w:line="340" w:lineRule="exact"/>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行政规范性文件</w:t>
            </w:r>
          </w:p>
        </w:tc>
        <w:tc>
          <w:tcPr>
            <w:tcW w:w="2133" w:type="dxa"/>
            <w:tcBorders>
              <w:tl2br w:val="nil"/>
              <w:tr2bl w:val="nil"/>
            </w:tcBorders>
            <w:shd w:val="clear" w:color="auto" w:fill="auto"/>
            <w:tcMar>
              <w:left w:w="57" w:type="dxa"/>
              <w:right w:w="57" w:type="dxa"/>
            </w:tcMar>
            <w:vAlign w:val="center"/>
          </w:tcPr>
          <w:p>
            <w:pPr>
              <w:widowControl/>
              <w:spacing w:line="340" w:lineRule="exact"/>
              <w:jc w:val="center"/>
              <w:rPr>
                <w:rFonts w:hint="eastAsia" w:ascii="Times New Roman" w:hAnsi="Times New Roman" w:eastAsia="方正黑体简体" w:cs="方正黑体简体"/>
                <w:b w:val="0"/>
                <w:bCs/>
                <w:color w:val="000000" w:themeColor="text1"/>
                <w:sz w:val="28"/>
                <w:szCs w:val="28"/>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val="en-US" w:eastAsia="zh-CN" w:bidi="ar"/>
                <w14:textFill>
                  <w14:solidFill>
                    <w14:schemeClr w14:val="tx1"/>
                  </w14:solidFill>
                </w14:textFill>
              </w:rPr>
              <w:t>0</w:t>
            </w:r>
          </w:p>
        </w:tc>
        <w:tc>
          <w:tcPr>
            <w:tcW w:w="2216" w:type="dxa"/>
            <w:tcBorders>
              <w:tl2br w:val="nil"/>
              <w:tr2bl w:val="nil"/>
            </w:tcBorders>
            <w:shd w:val="clear" w:color="auto" w:fill="auto"/>
            <w:tcMar>
              <w:left w:w="57" w:type="dxa"/>
              <w:right w:w="57" w:type="dxa"/>
            </w:tcMar>
            <w:vAlign w:val="center"/>
          </w:tcPr>
          <w:p>
            <w:pPr>
              <w:widowControl/>
              <w:spacing w:line="340" w:lineRule="exact"/>
              <w:jc w:val="center"/>
              <w:rPr>
                <w:rFonts w:hint="eastAsia" w:ascii="Times New Roman" w:hAnsi="Times New Roman" w:eastAsia="方正黑体简体" w:cs="方正黑体简体"/>
                <w:b w:val="0"/>
                <w:bCs/>
                <w:color w:val="000000" w:themeColor="text1"/>
                <w:sz w:val="28"/>
                <w:szCs w:val="28"/>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val="en-US" w:eastAsia="zh-CN" w:bidi="ar"/>
                <w14:textFill>
                  <w14:solidFill>
                    <w14:schemeClr w14:val="tx1"/>
                  </w14:solidFill>
                </w14:textFill>
              </w:rPr>
              <w:t>0</w:t>
            </w:r>
          </w:p>
        </w:tc>
        <w:tc>
          <w:tcPr>
            <w:tcW w:w="1989" w:type="dxa"/>
            <w:tcBorders>
              <w:tl2br w:val="nil"/>
              <w:tr2bl w:val="nil"/>
            </w:tcBorders>
            <w:shd w:val="clear" w:color="auto" w:fill="auto"/>
            <w:tcMar>
              <w:left w:w="57" w:type="dxa"/>
              <w:right w:w="57" w:type="dxa"/>
            </w:tcMar>
            <w:vAlign w:val="center"/>
          </w:tcPr>
          <w:p>
            <w:pPr>
              <w:widowControl/>
              <w:spacing w:line="340" w:lineRule="exact"/>
              <w:jc w:val="center"/>
              <w:rPr>
                <w:rFonts w:hint="eastAsia" w:ascii="Times New Roman" w:hAnsi="Times New Roman" w:eastAsia="方正黑体简体" w:cs="方正黑体简体"/>
                <w:b w:val="0"/>
                <w:bCs/>
                <w:color w:val="000000" w:themeColor="text1"/>
                <w:sz w:val="28"/>
                <w:szCs w:val="28"/>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val="en-US" w:eastAsia="zh-CN" w:bidi="ar"/>
                <w14:textFill>
                  <w14:solidFill>
                    <w14:schemeClr w14:val="tx1"/>
                  </w14:solidFill>
                </w14:textFill>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680" w:hRule="atLeast"/>
          <w:jc w:val="center"/>
        </w:trPr>
        <w:tc>
          <w:tcPr>
            <w:tcW w:w="8773" w:type="dxa"/>
            <w:gridSpan w:val="4"/>
            <w:tcBorders>
              <w:tl2br w:val="nil"/>
              <w:tr2bl w:val="nil"/>
            </w:tcBorders>
            <w:shd w:val="clear" w:color="auto" w:fill="AAAAC6"/>
            <w:tcMar>
              <w:left w:w="57" w:type="dxa"/>
              <w:right w:w="57" w:type="dxa"/>
            </w:tcMar>
            <w:vAlign w:val="center"/>
          </w:tcPr>
          <w:p>
            <w:pPr>
              <w:widowControl/>
              <w:spacing w:line="340" w:lineRule="exact"/>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第二十条第（五）项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680" w:hRule="atLeast"/>
          <w:jc w:val="center"/>
        </w:trPr>
        <w:tc>
          <w:tcPr>
            <w:tcW w:w="2435" w:type="dxa"/>
            <w:tcBorders>
              <w:tl2br w:val="nil"/>
              <w:tr2bl w:val="nil"/>
            </w:tcBorders>
            <w:shd w:val="clear" w:color="auto" w:fill="auto"/>
            <w:tcMar>
              <w:left w:w="57" w:type="dxa"/>
              <w:right w:w="57" w:type="dxa"/>
            </w:tcMar>
            <w:vAlign w:val="center"/>
          </w:tcPr>
          <w:p>
            <w:pPr>
              <w:widowControl/>
              <w:spacing w:line="340" w:lineRule="exact"/>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信息内容</w:t>
            </w:r>
          </w:p>
        </w:tc>
        <w:tc>
          <w:tcPr>
            <w:tcW w:w="6338" w:type="dxa"/>
            <w:gridSpan w:val="3"/>
            <w:tcBorders>
              <w:tl2br w:val="nil"/>
              <w:tr2bl w:val="nil"/>
            </w:tcBorders>
            <w:shd w:val="clear" w:color="auto" w:fill="auto"/>
            <w:tcMar>
              <w:left w:w="57" w:type="dxa"/>
              <w:right w:w="57" w:type="dxa"/>
            </w:tcMar>
            <w:vAlign w:val="center"/>
          </w:tcPr>
          <w:p>
            <w:pPr>
              <w:widowControl/>
              <w:spacing w:line="340" w:lineRule="exact"/>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本年处理决定数量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680" w:hRule="atLeast"/>
          <w:jc w:val="center"/>
        </w:trPr>
        <w:tc>
          <w:tcPr>
            <w:tcW w:w="2435" w:type="dxa"/>
            <w:tcBorders>
              <w:tl2br w:val="nil"/>
              <w:tr2bl w:val="nil"/>
            </w:tcBorders>
            <w:shd w:val="clear" w:color="auto" w:fill="auto"/>
            <w:tcMar>
              <w:left w:w="57" w:type="dxa"/>
              <w:right w:w="57" w:type="dxa"/>
            </w:tcMar>
            <w:vAlign w:val="center"/>
          </w:tcPr>
          <w:p>
            <w:pPr>
              <w:widowControl/>
              <w:spacing w:line="340" w:lineRule="exact"/>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行政许可</w:t>
            </w:r>
          </w:p>
        </w:tc>
        <w:tc>
          <w:tcPr>
            <w:tcW w:w="6338" w:type="dxa"/>
            <w:gridSpan w:val="3"/>
            <w:tcBorders>
              <w:tl2br w:val="nil"/>
              <w:tr2bl w:val="nil"/>
            </w:tcBorders>
            <w:shd w:val="clear" w:color="auto" w:fill="auto"/>
            <w:tcMar>
              <w:left w:w="57" w:type="dxa"/>
              <w:right w:w="57" w:type="dxa"/>
            </w:tcMar>
            <w:vAlign w:val="center"/>
          </w:tcPr>
          <w:p>
            <w:pPr>
              <w:widowControl/>
              <w:spacing w:line="340" w:lineRule="exact"/>
              <w:jc w:val="center"/>
              <w:rPr>
                <w:rFonts w:hint="eastAsia" w:ascii="Times New Roman" w:hAnsi="Times New Roman" w:eastAsia="方正黑体简体" w:cs="方正黑体简体"/>
                <w:b w:val="0"/>
                <w:bCs/>
                <w:color w:val="000000" w:themeColor="text1"/>
                <w:sz w:val="28"/>
                <w:szCs w:val="28"/>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val="en-US" w:eastAsia="zh-CN" w:bidi="ar"/>
                <w14:textFill>
                  <w14:solidFill>
                    <w14:schemeClr w14:val="tx1"/>
                  </w14:solidFill>
                </w14:textFill>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680" w:hRule="atLeast"/>
          <w:jc w:val="center"/>
        </w:trPr>
        <w:tc>
          <w:tcPr>
            <w:tcW w:w="8773" w:type="dxa"/>
            <w:gridSpan w:val="4"/>
            <w:tcBorders>
              <w:tl2br w:val="nil"/>
              <w:tr2bl w:val="nil"/>
            </w:tcBorders>
            <w:shd w:val="clear" w:color="auto" w:fill="AAAAC6"/>
            <w:tcMar>
              <w:left w:w="57" w:type="dxa"/>
              <w:right w:w="57" w:type="dxa"/>
            </w:tcMar>
            <w:vAlign w:val="center"/>
          </w:tcPr>
          <w:p>
            <w:pPr>
              <w:widowControl/>
              <w:spacing w:line="340" w:lineRule="exact"/>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第二十条第（六）项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680" w:hRule="atLeast"/>
          <w:jc w:val="center"/>
        </w:trPr>
        <w:tc>
          <w:tcPr>
            <w:tcW w:w="2435" w:type="dxa"/>
            <w:tcBorders>
              <w:tl2br w:val="nil"/>
              <w:tr2bl w:val="nil"/>
            </w:tcBorders>
            <w:shd w:val="clear" w:color="auto" w:fill="auto"/>
            <w:tcMar>
              <w:left w:w="57" w:type="dxa"/>
              <w:right w:w="57" w:type="dxa"/>
            </w:tcMar>
            <w:vAlign w:val="center"/>
          </w:tcPr>
          <w:p>
            <w:pPr>
              <w:widowControl/>
              <w:spacing w:line="340" w:lineRule="exact"/>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信息内容</w:t>
            </w:r>
          </w:p>
        </w:tc>
        <w:tc>
          <w:tcPr>
            <w:tcW w:w="6338" w:type="dxa"/>
            <w:gridSpan w:val="3"/>
            <w:tcBorders>
              <w:tl2br w:val="nil"/>
              <w:tr2bl w:val="nil"/>
            </w:tcBorders>
            <w:shd w:val="clear" w:color="auto" w:fill="auto"/>
            <w:tcMar>
              <w:left w:w="57" w:type="dxa"/>
              <w:right w:w="57" w:type="dxa"/>
            </w:tcMar>
            <w:vAlign w:val="center"/>
          </w:tcPr>
          <w:p>
            <w:pPr>
              <w:widowControl/>
              <w:spacing w:line="340" w:lineRule="exact"/>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本年处理决定数量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680" w:hRule="atLeast"/>
          <w:jc w:val="center"/>
        </w:trPr>
        <w:tc>
          <w:tcPr>
            <w:tcW w:w="2435" w:type="dxa"/>
            <w:tcBorders>
              <w:tl2br w:val="nil"/>
              <w:tr2bl w:val="nil"/>
            </w:tcBorders>
            <w:shd w:val="clear" w:color="auto" w:fill="auto"/>
            <w:tcMar>
              <w:left w:w="57" w:type="dxa"/>
              <w:right w:w="57" w:type="dxa"/>
            </w:tcMar>
            <w:vAlign w:val="center"/>
          </w:tcPr>
          <w:p>
            <w:pPr>
              <w:widowControl/>
              <w:spacing w:line="340" w:lineRule="exact"/>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行政处罚</w:t>
            </w:r>
          </w:p>
        </w:tc>
        <w:tc>
          <w:tcPr>
            <w:tcW w:w="6338" w:type="dxa"/>
            <w:gridSpan w:val="3"/>
            <w:tcBorders>
              <w:tl2br w:val="nil"/>
              <w:tr2bl w:val="nil"/>
            </w:tcBorders>
            <w:shd w:val="clear" w:color="auto" w:fill="auto"/>
            <w:tcMar>
              <w:left w:w="57" w:type="dxa"/>
              <w:right w:w="57" w:type="dxa"/>
            </w:tcMar>
            <w:vAlign w:val="center"/>
          </w:tcPr>
          <w:p>
            <w:pPr>
              <w:widowControl/>
              <w:spacing w:line="340" w:lineRule="exact"/>
              <w:jc w:val="center"/>
              <w:rPr>
                <w:rFonts w:hint="eastAsia" w:ascii="Times New Roman" w:hAnsi="Times New Roman" w:eastAsia="方正黑体简体" w:cs="方正黑体简体"/>
                <w:b w:val="0"/>
                <w:bCs/>
                <w:color w:val="000000" w:themeColor="text1"/>
                <w:sz w:val="28"/>
                <w:szCs w:val="28"/>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val="en-US" w:eastAsia="zh-CN" w:bidi="ar"/>
                <w14:textFill>
                  <w14:solidFill>
                    <w14:schemeClr w14:val="tx1"/>
                  </w14:solidFill>
                </w14:textFill>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680" w:hRule="atLeast"/>
          <w:jc w:val="center"/>
        </w:trPr>
        <w:tc>
          <w:tcPr>
            <w:tcW w:w="2435" w:type="dxa"/>
            <w:tcBorders>
              <w:tl2br w:val="nil"/>
              <w:tr2bl w:val="nil"/>
            </w:tcBorders>
            <w:shd w:val="clear" w:color="auto" w:fill="auto"/>
            <w:tcMar>
              <w:left w:w="57" w:type="dxa"/>
              <w:right w:w="57" w:type="dxa"/>
            </w:tcMar>
            <w:vAlign w:val="center"/>
          </w:tcPr>
          <w:p>
            <w:pPr>
              <w:widowControl/>
              <w:spacing w:line="340" w:lineRule="exact"/>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行政强制</w:t>
            </w:r>
          </w:p>
        </w:tc>
        <w:tc>
          <w:tcPr>
            <w:tcW w:w="6338" w:type="dxa"/>
            <w:gridSpan w:val="3"/>
            <w:tcBorders>
              <w:tl2br w:val="nil"/>
              <w:tr2bl w:val="nil"/>
            </w:tcBorders>
            <w:shd w:val="clear" w:color="auto" w:fill="auto"/>
            <w:tcMar>
              <w:left w:w="57" w:type="dxa"/>
              <w:right w:w="57" w:type="dxa"/>
            </w:tcMar>
            <w:vAlign w:val="center"/>
          </w:tcPr>
          <w:p>
            <w:pPr>
              <w:widowControl/>
              <w:spacing w:line="340" w:lineRule="exact"/>
              <w:jc w:val="center"/>
              <w:rPr>
                <w:rFonts w:hint="eastAsia" w:ascii="Times New Roman" w:hAnsi="Times New Roman" w:eastAsia="方正黑体简体" w:cs="方正黑体简体"/>
                <w:b w:val="0"/>
                <w:bCs/>
                <w:color w:val="000000" w:themeColor="text1"/>
                <w:sz w:val="28"/>
                <w:szCs w:val="28"/>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val="en-US" w:eastAsia="zh-CN" w:bidi="ar"/>
                <w14:textFill>
                  <w14:solidFill>
                    <w14:schemeClr w14:val="tx1"/>
                  </w14:solidFill>
                </w14:textFill>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680" w:hRule="atLeast"/>
          <w:jc w:val="center"/>
        </w:trPr>
        <w:tc>
          <w:tcPr>
            <w:tcW w:w="8773" w:type="dxa"/>
            <w:gridSpan w:val="4"/>
            <w:tcBorders>
              <w:tl2br w:val="nil"/>
              <w:tr2bl w:val="nil"/>
            </w:tcBorders>
            <w:shd w:val="clear" w:color="auto" w:fill="AAAAC6"/>
            <w:tcMar>
              <w:left w:w="57" w:type="dxa"/>
              <w:right w:w="57" w:type="dxa"/>
            </w:tcMar>
            <w:vAlign w:val="center"/>
          </w:tcPr>
          <w:p>
            <w:pPr>
              <w:widowControl/>
              <w:spacing w:line="340" w:lineRule="exact"/>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第二十条第（八）项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680" w:hRule="atLeast"/>
          <w:jc w:val="center"/>
        </w:trPr>
        <w:tc>
          <w:tcPr>
            <w:tcW w:w="2435" w:type="dxa"/>
            <w:tcBorders>
              <w:tl2br w:val="nil"/>
              <w:tr2bl w:val="nil"/>
            </w:tcBorders>
            <w:shd w:val="clear" w:color="auto" w:fill="auto"/>
            <w:tcMar>
              <w:left w:w="57" w:type="dxa"/>
              <w:right w:w="57" w:type="dxa"/>
            </w:tcMar>
            <w:vAlign w:val="center"/>
          </w:tcPr>
          <w:p>
            <w:pPr>
              <w:widowControl/>
              <w:spacing w:line="340" w:lineRule="exact"/>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信息内容</w:t>
            </w:r>
          </w:p>
        </w:tc>
        <w:tc>
          <w:tcPr>
            <w:tcW w:w="6338" w:type="dxa"/>
            <w:gridSpan w:val="3"/>
            <w:tcBorders>
              <w:tl2br w:val="nil"/>
              <w:tr2bl w:val="nil"/>
            </w:tcBorders>
            <w:shd w:val="clear" w:color="auto" w:fill="auto"/>
            <w:tcMar>
              <w:left w:w="57" w:type="dxa"/>
              <w:right w:w="57" w:type="dxa"/>
            </w:tcMar>
            <w:vAlign w:val="center"/>
          </w:tcPr>
          <w:p>
            <w:pPr>
              <w:widowControl/>
              <w:spacing w:line="340" w:lineRule="exact"/>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本年收费金额（单位：万元）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680" w:hRule="atLeast"/>
          <w:jc w:val="center"/>
        </w:trPr>
        <w:tc>
          <w:tcPr>
            <w:tcW w:w="2435" w:type="dxa"/>
            <w:tcBorders>
              <w:tl2br w:val="nil"/>
              <w:tr2bl w:val="nil"/>
            </w:tcBorders>
            <w:shd w:val="clear" w:color="auto" w:fill="auto"/>
            <w:tcMar>
              <w:left w:w="57" w:type="dxa"/>
              <w:right w:w="57" w:type="dxa"/>
            </w:tcMar>
            <w:vAlign w:val="center"/>
          </w:tcPr>
          <w:p>
            <w:pPr>
              <w:widowControl/>
              <w:spacing w:line="340" w:lineRule="exact"/>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行政事业性收费</w:t>
            </w:r>
          </w:p>
        </w:tc>
        <w:tc>
          <w:tcPr>
            <w:tcW w:w="6338" w:type="dxa"/>
            <w:gridSpan w:val="3"/>
            <w:tcBorders>
              <w:tl2br w:val="nil"/>
              <w:tr2bl w:val="nil"/>
            </w:tcBorders>
            <w:shd w:val="clear" w:color="auto" w:fill="auto"/>
            <w:tcMar>
              <w:left w:w="57" w:type="dxa"/>
              <w:right w:w="57" w:type="dxa"/>
            </w:tcMar>
            <w:vAlign w:val="center"/>
          </w:tcPr>
          <w:p>
            <w:pPr>
              <w:spacing w:line="340" w:lineRule="exact"/>
              <w:jc w:val="center"/>
              <w:rPr>
                <w:rFonts w:hint="eastAsia" w:ascii="Times New Roman" w:hAnsi="Times New Roman" w:eastAsia="方正黑体简体" w:cs="方正黑体简体"/>
                <w:b w:val="0"/>
                <w:bCs/>
                <w:color w:val="000000" w:themeColor="text1"/>
                <w:sz w:val="28"/>
                <w:szCs w:val="28"/>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val="en-US" w:eastAsia="zh-CN"/>
                <w14:textFill>
                  <w14:solidFill>
                    <w14:schemeClr w14:val="tx1"/>
                  </w14:solidFill>
                </w14:textFill>
              </w:rPr>
              <w:t>0</w:t>
            </w:r>
          </w:p>
        </w:tc>
      </w:tr>
    </w:tbl>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方正黑体简体" w:cs="方正黑体简体"/>
          <w:b/>
          <w:bCs/>
          <w:color w:val="000000" w:themeColor="text1"/>
          <w:kern w:val="0"/>
          <w:sz w:val="32"/>
          <w:szCs w:val="32"/>
          <w14:textFill>
            <w14:solidFill>
              <w14:schemeClr w14:val="tx1"/>
            </w14:solidFill>
          </w14:textFill>
        </w:rPr>
      </w:pPr>
      <w:r>
        <w:rPr>
          <w:rFonts w:hint="eastAsia" w:ascii="Times New Roman" w:hAnsi="Times New Roman" w:eastAsia="方正黑体简体" w:cs="方正黑体简体"/>
          <w:b/>
          <w:bCs/>
          <w:color w:val="000000" w:themeColor="text1"/>
          <w:kern w:val="0"/>
          <w:sz w:val="32"/>
          <w:szCs w:val="32"/>
          <w14:textFill>
            <w14:solidFill>
              <w14:schemeClr w14:val="tx1"/>
            </w14:solidFill>
          </w14:textFill>
        </w:rPr>
        <w:t>三、收到和处理政府信息公开申请情况</w:t>
      </w:r>
    </w:p>
    <w:tbl>
      <w:tblPr>
        <w:tblStyle w:val="7"/>
        <w:tblW w:w="8967"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768"/>
        <w:gridCol w:w="725"/>
        <w:gridCol w:w="3558"/>
        <w:gridCol w:w="478"/>
        <w:gridCol w:w="599"/>
        <w:gridCol w:w="590"/>
        <w:gridCol w:w="598"/>
        <w:gridCol w:w="571"/>
        <w:gridCol w:w="559"/>
        <w:gridCol w:w="52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5051" w:type="dxa"/>
            <w:gridSpan w:val="3"/>
            <w:vMerge w:val="restart"/>
            <w:tcBorders>
              <w:tl2br w:val="nil"/>
              <w:tr2bl w:val="nil"/>
            </w:tcBorders>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方正黑体简体" w:cs="Times New Roman"/>
                <w:b w:val="0"/>
                <w:bCs/>
                <w:color w:val="000000" w:themeColor="text1"/>
                <w:sz w:val="21"/>
                <w:szCs w:val="21"/>
                <w14:textFill>
                  <w14:solidFill>
                    <w14:schemeClr w14:val="tx1"/>
                  </w14:solidFill>
                </w14:textFill>
              </w:rPr>
            </w:pPr>
            <w:r>
              <w:rPr>
                <w:rFonts w:hint="default" w:ascii="Times New Roman" w:hAnsi="Times New Roman" w:eastAsia="方正黑体简体" w:cs="Times New Roman"/>
                <w:b w:val="0"/>
                <w:bCs/>
                <w:color w:val="000000" w:themeColor="text1"/>
                <w:sz w:val="21"/>
                <w:szCs w:val="21"/>
                <w:lang w:bidi="ar"/>
                <w14:textFill>
                  <w14:solidFill>
                    <w14:schemeClr w14:val="tx1"/>
                  </w14:solidFill>
                </w14:textFill>
              </w:rPr>
              <w:t>（本列数据的勾稽关系为：第一项加第二项之和，等于第三项加第四项之和）</w:t>
            </w:r>
          </w:p>
        </w:tc>
        <w:tc>
          <w:tcPr>
            <w:tcW w:w="3916" w:type="dxa"/>
            <w:gridSpan w:val="7"/>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方正黑体简体" w:cs="Times New Roman"/>
                <w:b w:val="0"/>
                <w:bCs/>
                <w:color w:val="000000" w:themeColor="text1"/>
                <w:sz w:val="21"/>
                <w:szCs w:val="21"/>
                <w14:textFill>
                  <w14:solidFill>
                    <w14:schemeClr w14:val="tx1"/>
                  </w14:solidFill>
                </w14:textFill>
              </w:rPr>
            </w:pPr>
            <w:r>
              <w:rPr>
                <w:rFonts w:hint="default" w:ascii="Times New Roman" w:hAnsi="Times New Roman" w:eastAsia="方正黑体简体" w:cs="Times New Roman"/>
                <w:b w:val="0"/>
                <w:bCs/>
                <w:color w:val="000000" w:themeColor="text1"/>
                <w:sz w:val="21"/>
                <w:szCs w:val="21"/>
                <w:lang w:bidi="ar"/>
                <w14:textFill>
                  <w14:solidFill>
                    <w14:schemeClr w14:val="tx1"/>
                  </w14:solidFill>
                </w14:textFill>
              </w:rPr>
              <w:t>申请人情况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5051" w:type="dxa"/>
            <w:gridSpan w:val="3"/>
            <w:vMerge w:val="continue"/>
            <w:tcBorders>
              <w:tl2br w:val="nil"/>
              <w:tr2bl w:val="nil"/>
            </w:tcBorders>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方正黑体简体" w:cs="Times New Roman"/>
                <w:b w:val="0"/>
                <w:bCs/>
                <w:color w:val="000000" w:themeColor="text1"/>
                <w:sz w:val="21"/>
                <w:szCs w:val="21"/>
                <w14:textFill>
                  <w14:solidFill>
                    <w14:schemeClr w14:val="tx1"/>
                  </w14:solidFill>
                </w14:textFill>
              </w:rPr>
            </w:pPr>
          </w:p>
        </w:tc>
        <w:tc>
          <w:tcPr>
            <w:tcW w:w="478" w:type="dxa"/>
            <w:vMerge w:val="restart"/>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方正黑体简体" w:cs="Times New Roman"/>
                <w:b w:val="0"/>
                <w:bCs/>
                <w:color w:val="000000" w:themeColor="text1"/>
                <w:sz w:val="21"/>
                <w:szCs w:val="21"/>
                <w14:textFill>
                  <w14:solidFill>
                    <w14:schemeClr w14:val="tx1"/>
                  </w14:solidFill>
                </w14:textFill>
              </w:rPr>
            </w:pPr>
            <w:r>
              <w:rPr>
                <w:rFonts w:hint="default" w:ascii="Times New Roman" w:hAnsi="Times New Roman" w:eastAsia="方正黑体简体" w:cs="Times New Roman"/>
                <w:b w:val="0"/>
                <w:bCs/>
                <w:color w:val="000000" w:themeColor="text1"/>
                <w:sz w:val="21"/>
                <w:szCs w:val="21"/>
                <w:lang w:bidi="ar"/>
                <w14:textFill>
                  <w14:solidFill>
                    <w14:schemeClr w14:val="tx1"/>
                  </w14:solidFill>
                </w14:textFill>
              </w:rPr>
              <w:t>自然人</w:t>
            </w:r>
          </w:p>
        </w:tc>
        <w:tc>
          <w:tcPr>
            <w:tcW w:w="2917" w:type="dxa"/>
            <w:gridSpan w:val="5"/>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方正黑体简体" w:cs="Times New Roman"/>
                <w:b w:val="0"/>
                <w:bCs/>
                <w:color w:val="000000" w:themeColor="text1"/>
                <w:sz w:val="21"/>
                <w:szCs w:val="21"/>
                <w14:textFill>
                  <w14:solidFill>
                    <w14:schemeClr w14:val="tx1"/>
                  </w14:solidFill>
                </w14:textFill>
              </w:rPr>
            </w:pPr>
            <w:r>
              <w:rPr>
                <w:rFonts w:hint="default" w:ascii="Times New Roman" w:hAnsi="Times New Roman" w:eastAsia="方正黑体简体" w:cs="Times New Roman"/>
                <w:b w:val="0"/>
                <w:bCs/>
                <w:color w:val="000000" w:themeColor="text1"/>
                <w:sz w:val="21"/>
                <w:szCs w:val="21"/>
                <w:lang w:bidi="ar"/>
                <w14:textFill>
                  <w14:solidFill>
                    <w14:schemeClr w14:val="tx1"/>
                  </w14:solidFill>
                </w14:textFill>
              </w:rPr>
              <w:t>法人或其他组织</w:t>
            </w:r>
          </w:p>
        </w:tc>
        <w:tc>
          <w:tcPr>
            <w:tcW w:w="521" w:type="dxa"/>
            <w:vMerge w:val="restart"/>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方正黑体简体" w:cs="Times New Roman"/>
                <w:b w:val="0"/>
                <w:bCs/>
                <w:color w:val="000000" w:themeColor="text1"/>
                <w:sz w:val="21"/>
                <w:szCs w:val="21"/>
                <w14:textFill>
                  <w14:solidFill>
                    <w14:schemeClr w14:val="tx1"/>
                  </w14:solidFill>
                </w14:textFill>
              </w:rPr>
            </w:pPr>
            <w:r>
              <w:rPr>
                <w:rFonts w:hint="default" w:ascii="Times New Roman" w:hAnsi="Times New Roman" w:eastAsia="方正黑体简体" w:cs="Times New Roman"/>
                <w:b w:val="0"/>
                <w:bCs/>
                <w:color w:val="000000" w:themeColor="text1"/>
                <w:sz w:val="21"/>
                <w:szCs w:val="21"/>
                <w:lang w:bidi="ar"/>
                <w14:textFill>
                  <w14:solidFill>
                    <w14:schemeClr w14:val="tx1"/>
                  </w14:solidFill>
                </w14:textFill>
              </w:rPr>
              <w:t>总计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5051" w:type="dxa"/>
            <w:gridSpan w:val="3"/>
            <w:vMerge w:val="continue"/>
            <w:tcBorders>
              <w:tl2br w:val="nil"/>
              <w:tr2bl w:val="nil"/>
            </w:tcBorders>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方正仿宋简体" w:cs="Times New Roman"/>
                <w:b w:val="0"/>
                <w:bCs/>
                <w:color w:val="000000" w:themeColor="text1"/>
                <w:sz w:val="21"/>
                <w:szCs w:val="21"/>
                <w14:textFill>
                  <w14:solidFill>
                    <w14:schemeClr w14:val="tx1"/>
                  </w14:solidFill>
                </w14:textFill>
              </w:rPr>
            </w:pPr>
          </w:p>
        </w:tc>
        <w:tc>
          <w:tcPr>
            <w:tcW w:w="478" w:type="dxa"/>
            <w:vMerge w:val="continue"/>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方正仿宋简体" w:cs="Times New Roman"/>
                <w:b w:val="0"/>
                <w:bCs/>
                <w:color w:val="000000" w:themeColor="text1"/>
                <w:sz w:val="21"/>
                <w:szCs w:val="21"/>
                <w14:textFill>
                  <w14:solidFill>
                    <w14:schemeClr w14:val="tx1"/>
                  </w14:solidFill>
                </w14:textFill>
              </w:rPr>
            </w:pPr>
          </w:p>
        </w:tc>
        <w:tc>
          <w:tcPr>
            <w:tcW w:w="59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方正黑体简体" w:cs="Times New Roman"/>
                <w:b w:val="0"/>
                <w:bCs/>
                <w:color w:val="000000" w:themeColor="text1"/>
                <w:sz w:val="21"/>
                <w:szCs w:val="21"/>
                <w14:textFill>
                  <w14:solidFill>
                    <w14:schemeClr w14:val="tx1"/>
                  </w14:solidFill>
                </w14:textFill>
              </w:rPr>
            </w:pPr>
            <w:r>
              <w:rPr>
                <w:rFonts w:hint="default" w:ascii="Times New Roman" w:hAnsi="Times New Roman" w:eastAsia="方正黑体简体" w:cs="Times New Roman"/>
                <w:b w:val="0"/>
                <w:bCs/>
                <w:color w:val="000000" w:themeColor="text1"/>
                <w:sz w:val="21"/>
                <w:szCs w:val="21"/>
                <w:lang w:bidi="ar"/>
                <w14:textFill>
                  <w14:solidFill>
                    <w14:schemeClr w14:val="tx1"/>
                  </w14:solidFill>
                </w14:textFill>
              </w:rPr>
              <w:t>商业</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方正黑体简体" w:cs="Times New Roman"/>
                <w:b w:val="0"/>
                <w:bCs/>
                <w:color w:val="000000" w:themeColor="text1"/>
                <w:sz w:val="21"/>
                <w:szCs w:val="21"/>
                <w14:textFill>
                  <w14:solidFill>
                    <w14:schemeClr w14:val="tx1"/>
                  </w14:solidFill>
                </w14:textFill>
              </w:rPr>
            </w:pPr>
            <w:r>
              <w:rPr>
                <w:rFonts w:hint="default" w:ascii="Times New Roman" w:hAnsi="Times New Roman" w:eastAsia="方正黑体简体" w:cs="Times New Roman"/>
                <w:b w:val="0"/>
                <w:bCs/>
                <w:color w:val="000000" w:themeColor="text1"/>
                <w:sz w:val="21"/>
                <w:szCs w:val="21"/>
                <w:lang w:bidi="ar"/>
                <w14:textFill>
                  <w14:solidFill>
                    <w14:schemeClr w14:val="tx1"/>
                  </w14:solidFill>
                </w14:textFill>
              </w:rPr>
              <w:t>企业</w:t>
            </w:r>
          </w:p>
        </w:tc>
        <w:tc>
          <w:tcPr>
            <w:tcW w:w="590"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方正黑体简体" w:cs="Times New Roman"/>
                <w:b w:val="0"/>
                <w:bCs/>
                <w:color w:val="000000" w:themeColor="text1"/>
                <w:sz w:val="21"/>
                <w:szCs w:val="21"/>
                <w14:textFill>
                  <w14:solidFill>
                    <w14:schemeClr w14:val="tx1"/>
                  </w14:solidFill>
                </w14:textFill>
              </w:rPr>
            </w:pPr>
            <w:r>
              <w:rPr>
                <w:rFonts w:hint="default" w:ascii="Times New Roman" w:hAnsi="Times New Roman" w:eastAsia="方正黑体简体" w:cs="Times New Roman"/>
                <w:b w:val="0"/>
                <w:bCs/>
                <w:color w:val="000000" w:themeColor="text1"/>
                <w:sz w:val="21"/>
                <w:szCs w:val="21"/>
                <w:lang w:bidi="ar"/>
                <w14:textFill>
                  <w14:solidFill>
                    <w14:schemeClr w14:val="tx1"/>
                  </w14:solidFill>
                </w14:textFill>
              </w:rPr>
              <w:t>科研</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方正黑体简体" w:cs="Times New Roman"/>
                <w:b w:val="0"/>
                <w:bCs/>
                <w:color w:val="000000" w:themeColor="text1"/>
                <w:sz w:val="21"/>
                <w:szCs w:val="21"/>
                <w14:textFill>
                  <w14:solidFill>
                    <w14:schemeClr w14:val="tx1"/>
                  </w14:solidFill>
                </w14:textFill>
              </w:rPr>
            </w:pPr>
            <w:r>
              <w:rPr>
                <w:rFonts w:hint="default" w:ascii="Times New Roman" w:hAnsi="Times New Roman" w:eastAsia="方正黑体简体" w:cs="Times New Roman"/>
                <w:b w:val="0"/>
                <w:bCs/>
                <w:color w:val="000000" w:themeColor="text1"/>
                <w:sz w:val="21"/>
                <w:szCs w:val="21"/>
                <w:lang w:bidi="ar"/>
                <w14:textFill>
                  <w14:solidFill>
                    <w14:schemeClr w14:val="tx1"/>
                  </w14:solidFill>
                </w14:textFill>
              </w:rPr>
              <w:t>机构</w:t>
            </w:r>
          </w:p>
        </w:tc>
        <w:tc>
          <w:tcPr>
            <w:tcW w:w="59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方正黑体简体" w:cs="Times New Roman"/>
                <w:b w:val="0"/>
                <w:bCs/>
                <w:color w:val="000000" w:themeColor="text1"/>
                <w:sz w:val="21"/>
                <w:szCs w:val="21"/>
                <w14:textFill>
                  <w14:solidFill>
                    <w14:schemeClr w14:val="tx1"/>
                  </w14:solidFill>
                </w14:textFill>
              </w:rPr>
            </w:pPr>
            <w:r>
              <w:rPr>
                <w:rFonts w:hint="default" w:ascii="Times New Roman" w:hAnsi="Times New Roman" w:eastAsia="方正黑体简体" w:cs="Times New Roman"/>
                <w:b w:val="0"/>
                <w:bCs/>
                <w:color w:val="000000" w:themeColor="text1"/>
                <w:sz w:val="21"/>
                <w:szCs w:val="21"/>
                <w:lang w:bidi="ar"/>
                <w14:textFill>
                  <w14:solidFill>
                    <w14:schemeClr w14:val="tx1"/>
                  </w14:solidFill>
                </w14:textFill>
              </w:rPr>
              <w:t>社会公益组织</w:t>
            </w:r>
          </w:p>
        </w:tc>
        <w:tc>
          <w:tcPr>
            <w:tcW w:w="571"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方正黑体简体" w:cs="Times New Roman"/>
                <w:b w:val="0"/>
                <w:bCs/>
                <w:color w:val="000000" w:themeColor="text1"/>
                <w:sz w:val="21"/>
                <w:szCs w:val="21"/>
                <w14:textFill>
                  <w14:solidFill>
                    <w14:schemeClr w14:val="tx1"/>
                  </w14:solidFill>
                </w14:textFill>
              </w:rPr>
            </w:pPr>
            <w:r>
              <w:rPr>
                <w:rFonts w:hint="default" w:ascii="Times New Roman" w:hAnsi="Times New Roman" w:eastAsia="方正黑体简体" w:cs="Times New Roman"/>
                <w:b w:val="0"/>
                <w:bCs/>
                <w:color w:val="000000" w:themeColor="text1"/>
                <w:sz w:val="21"/>
                <w:szCs w:val="21"/>
                <w:lang w:bidi="ar"/>
                <w14:textFill>
                  <w14:solidFill>
                    <w14:schemeClr w14:val="tx1"/>
                  </w14:solidFill>
                </w14:textFill>
              </w:rPr>
              <w:t>法律服务机构</w:t>
            </w:r>
          </w:p>
        </w:tc>
        <w:tc>
          <w:tcPr>
            <w:tcW w:w="55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方正黑体简体" w:cs="Times New Roman"/>
                <w:b w:val="0"/>
                <w:bCs/>
                <w:color w:val="000000" w:themeColor="text1"/>
                <w:sz w:val="21"/>
                <w:szCs w:val="21"/>
                <w14:textFill>
                  <w14:solidFill>
                    <w14:schemeClr w14:val="tx1"/>
                  </w14:solidFill>
                </w14:textFill>
              </w:rPr>
            </w:pPr>
            <w:r>
              <w:rPr>
                <w:rFonts w:hint="default" w:ascii="Times New Roman" w:hAnsi="Times New Roman" w:eastAsia="方正黑体简体" w:cs="Times New Roman"/>
                <w:b w:val="0"/>
                <w:bCs/>
                <w:color w:val="000000" w:themeColor="text1"/>
                <w:sz w:val="21"/>
                <w:szCs w:val="21"/>
                <w:lang w:bidi="ar"/>
                <w14:textFill>
                  <w14:solidFill>
                    <w14:schemeClr w14:val="tx1"/>
                  </w14:solidFill>
                </w14:textFill>
              </w:rPr>
              <w:t>其他</w:t>
            </w:r>
          </w:p>
        </w:tc>
        <w:tc>
          <w:tcPr>
            <w:tcW w:w="521" w:type="dxa"/>
            <w:vMerge w:val="continue"/>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方正仿宋简体" w:cs="Times New Roman"/>
                <w:b w:val="0"/>
                <w:bCs/>
                <w:color w:val="000000" w:themeColor="text1"/>
                <w:sz w:val="2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424" w:hRule="atLeast"/>
          <w:jc w:val="center"/>
        </w:trPr>
        <w:tc>
          <w:tcPr>
            <w:tcW w:w="5051" w:type="dxa"/>
            <w:gridSpan w:val="3"/>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一、本年新收政府信息公开申请数量</w:t>
            </w:r>
          </w:p>
        </w:tc>
        <w:tc>
          <w:tcPr>
            <w:tcW w:w="47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0"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71"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5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21"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396" w:hRule="atLeast"/>
          <w:jc w:val="center"/>
        </w:trPr>
        <w:tc>
          <w:tcPr>
            <w:tcW w:w="5051" w:type="dxa"/>
            <w:gridSpan w:val="3"/>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二、上年结转政府信息公开申请数量</w:t>
            </w:r>
          </w:p>
        </w:tc>
        <w:tc>
          <w:tcPr>
            <w:tcW w:w="47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0"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71"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5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21"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768" w:type="dxa"/>
            <w:vMerge w:val="restart"/>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三、本年度办理结果</w:t>
            </w:r>
          </w:p>
        </w:tc>
        <w:tc>
          <w:tcPr>
            <w:tcW w:w="4283" w:type="dxa"/>
            <w:gridSpan w:val="2"/>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（一）予以公开</w:t>
            </w:r>
          </w:p>
        </w:tc>
        <w:tc>
          <w:tcPr>
            <w:tcW w:w="47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0"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71"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5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21"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680" w:hRule="atLeast"/>
          <w:jc w:val="center"/>
        </w:trPr>
        <w:tc>
          <w:tcPr>
            <w:tcW w:w="768" w:type="dxa"/>
            <w:vMerge w:val="continue"/>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4283" w:type="dxa"/>
            <w:gridSpan w:val="2"/>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（二）部分公开（区分处理的，只计这一情形，不计其他情形）</w:t>
            </w:r>
          </w:p>
        </w:tc>
        <w:tc>
          <w:tcPr>
            <w:tcW w:w="47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0"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71"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5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21"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768" w:type="dxa"/>
            <w:vMerge w:val="continue"/>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725" w:type="dxa"/>
            <w:vMerge w:val="restart"/>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（三）不予公开</w:t>
            </w:r>
          </w:p>
        </w:tc>
        <w:tc>
          <w:tcPr>
            <w:tcW w:w="355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1.属于国家秘密</w:t>
            </w:r>
          </w:p>
        </w:tc>
        <w:tc>
          <w:tcPr>
            <w:tcW w:w="47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0"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71"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5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21"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768" w:type="dxa"/>
            <w:vMerge w:val="continue"/>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725" w:type="dxa"/>
            <w:vMerge w:val="continue"/>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355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2.其他法律行政法规禁止公开</w:t>
            </w:r>
          </w:p>
        </w:tc>
        <w:tc>
          <w:tcPr>
            <w:tcW w:w="47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0"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71"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5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21"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768" w:type="dxa"/>
            <w:vMerge w:val="continue"/>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725" w:type="dxa"/>
            <w:vMerge w:val="continue"/>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355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3.危及“三安全一稳定”</w:t>
            </w:r>
          </w:p>
        </w:tc>
        <w:tc>
          <w:tcPr>
            <w:tcW w:w="47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0"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71"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5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21"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768" w:type="dxa"/>
            <w:vMerge w:val="continue"/>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725" w:type="dxa"/>
            <w:vMerge w:val="continue"/>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355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4.保护第三方合法权益</w:t>
            </w:r>
          </w:p>
        </w:tc>
        <w:tc>
          <w:tcPr>
            <w:tcW w:w="47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0"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71"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5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21"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768" w:type="dxa"/>
            <w:vMerge w:val="continue"/>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725" w:type="dxa"/>
            <w:vMerge w:val="continue"/>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355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5.属于三类内部事务信息</w:t>
            </w:r>
          </w:p>
        </w:tc>
        <w:tc>
          <w:tcPr>
            <w:tcW w:w="47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0"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71"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5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21"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768" w:type="dxa"/>
            <w:vMerge w:val="continue"/>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725" w:type="dxa"/>
            <w:vMerge w:val="continue"/>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355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6.属于四类过程性信息</w:t>
            </w:r>
          </w:p>
        </w:tc>
        <w:tc>
          <w:tcPr>
            <w:tcW w:w="47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0"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71"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5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21"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768" w:type="dxa"/>
            <w:vMerge w:val="continue"/>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725" w:type="dxa"/>
            <w:vMerge w:val="continue"/>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355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7.属于行政执法案卷</w:t>
            </w:r>
          </w:p>
        </w:tc>
        <w:tc>
          <w:tcPr>
            <w:tcW w:w="47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0"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71"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5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21"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768" w:type="dxa"/>
            <w:vMerge w:val="continue"/>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725" w:type="dxa"/>
            <w:vMerge w:val="continue"/>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355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8.属于行政查询事项</w:t>
            </w:r>
          </w:p>
        </w:tc>
        <w:tc>
          <w:tcPr>
            <w:tcW w:w="47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0"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71"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5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21"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768" w:type="dxa"/>
            <w:vMerge w:val="continue"/>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725" w:type="dxa"/>
            <w:vMerge w:val="restart"/>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（四）无法提供</w:t>
            </w:r>
          </w:p>
        </w:tc>
        <w:tc>
          <w:tcPr>
            <w:tcW w:w="355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1.本机关不掌握相关政府信息</w:t>
            </w:r>
          </w:p>
        </w:tc>
        <w:tc>
          <w:tcPr>
            <w:tcW w:w="47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0"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71"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5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21"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768" w:type="dxa"/>
            <w:vMerge w:val="continue"/>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725" w:type="dxa"/>
            <w:vMerge w:val="continue"/>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355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2.没有现成信息需要另行制作</w:t>
            </w:r>
          </w:p>
        </w:tc>
        <w:tc>
          <w:tcPr>
            <w:tcW w:w="47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0"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71"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5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21"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768" w:type="dxa"/>
            <w:vMerge w:val="continue"/>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725" w:type="dxa"/>
            <w:vMerge w:val="continue"/>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355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3.补正后申请内容仍不明确</w:t>
            </w:r>
          </w:p>
        </w:tc>
        <w:tc>
          <w:tcPr>
            <w:tcW w:w="47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0"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71"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5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21"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768" w:type="dxa"/>
            <w:vMerge w:val="continue"/>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725" w:type="dxa"/>
            <w:vMerge w:val="restart"/>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（五）不予处理</w:t>
            </w:r>
          </w:p>
        </w:tc>
        <w:tc>
          <w:tcPr>
            <w:tcW w:w="355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1.信访举报投诉类申请</w:t>
            </w:r>
          </w:p>
        </w:tc>
        <w:tc>
          <w:tcPr>
            <w:tcW w:w="47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0"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71"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5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21"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768" w:type="dxa"/>
            <w:vMerge w:val="continue"/>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725" w:type="dxa"/>
            <w:vMerge w:val="continue"/>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355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2.重复申请</w:t>
            </w:r>
          </w:p>
        </w:tc>
        <w:tc>
          <w:tcPr>
            <w:tcW w:w="47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0"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71"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5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21"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768" w:type="dxa"/>
            <w:vMerge w:val="continue"/>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725" w:type="dxa"/>
            <w:vMerge w:val="continue"/>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355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3.要求提供公开出版物</w:t>
            </w:r>
          </w:p>
        </w:tc>
        <w:tc>
          <w:tcPr>
            <w:tcW w:w="47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0"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71"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5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21"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768" w:type="dxa"/>
            <w:vMerge w:val="continue"/>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725" w:type="dxa"/>
            <w:vMerge w:val="continue"/>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355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4.无正当理由大量反复申请</w:t>
            </w:r>
          </w:p>
        </w:tc>
        <w:tc>
          <w:tcPr>
            <w:tcW w:w="47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0"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71"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5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21"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768" w:type="dxa"/>
            <w:vMerge w:val="continue"/>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725" w:type="dxa"/>
            <w:vMerge w:val="continue"/>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355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5.要求行政机关确认或重新出具已获取信息</w:t>
            </w:r>
          </w:p>
        </w:tc>
        <w:tc>
          <w:tcPr>
            <w:tcW w:w="47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0"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71"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5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21"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768" w:type="dxa"/>
            <w:vMerge w:val="continue"/>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725" w:type="dxa"/>
            <w:vMerge w:val="restart"/>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（六）其他处理</w:t>
            </w:r>
          </w:p>
        </w:tc>
        <w:tc>
          <w:tcPr>
            <w:tcW w:w="355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1.申请人无正当理由逾期不补正、行政机关不再处理其政府信息公开申请</w:t>
            </w:r>
          </w:p>
        </w:tc>
        <w:tc>
          <w:tcPr>
            <w:tcW w:w="47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0"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71"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5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21"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768" w:type="dxa"/>
            <w:vMerge w:val="continue"/>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725" w:type="dxa"/>
            <w:vMerge w:val="continue"/>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355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2.申请人逾期未按收费通知要求缴纳费用、行政机关不再处理其政府信息公开申请</w:t>
            </w:r>
          </w:p>
        </w:tc>
        <w:tc>
          <w:tcPr>
            <w:tcW w:w="47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0"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71"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5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21"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768" w:type="dxa"/>
            <w:vMerge w:val="continue"/>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725" w:type="dxa"/>
            <w:vMerge w:val="continue"/>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355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3.其他</w:t>
            </w:r>
          </w:p>
        </w:tc>
        <w:tc>
          <w:tcPr>
            <w:tcW w:w="47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0"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71"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5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21"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768" w:type="dxa"/>
            <w:vMerge w:val="continue"/>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4283" w:type="dxa"/>
            <w:gridSpan w:val="2"/>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（七）总计</w:t>
            </w:r>
          </w:p>
        </w:tc>
        <w:tc>
          <w:tcPr>
            <w:tcW w:w="47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0"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71"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5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21"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bookmarkStart w:id="0" w:name="_GoBack"/>
            <w:bookmarkEnd w:id="0"/>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5051" w:type="dxa"/>
            <w:gridSpan w:val="3"/>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四、结转下年度继续办理</w:t>
            </w:r>
          </w:p>
        </w:tc>
        <w:tc>
          <w:tcPr>
            <w:tcW w:w="47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0"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71"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5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21"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r>
    </w:tbl>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方正黑体简体" w:cs="方正黑体简体"/>
          <w:b/>
          <w:bCs/>
          <w:color w:val="000000" w:themeColor="text1"/>
          <w:kern w:val="0"/>
          <w:sz w:val="32"/>
          <w:szCs w:val="32"/>
          <w14:textFill>
            <w14:solidFill>
              <w14:schemeClr w14:val="tx1"/>
            </w14:solidFill>
          </w14:textFill>
        </w:rPr>
      </w:pPr>
      <w:r>
        <w:rPr>
          <w:rFonts w:hint="eastAsia" w:ascii="Times New Roman" w:hAnsi="Times New Roman" w:eastAsia="方正黑体简体" w:cs="方正黑体简体"/>
          <w:b/>
          <w:bCs/>
          <w:color w:val="000000" w:themeColor="text1"/>
          <w:kern w:val="0"/>
          <w:sz w:val="32"/>
          <w:szCs w:val="32"/>
          <w14:textFill>
            <w14:solidFill>
              <w14:schemeClr w14:val="tx1"/>
            </w14:solidFill>
          </w14:textFill>
        </w:rPr>
        <w:t>四、政府信息公开行政复议、行政诉讼情况</w:t>
      </w:r>
    </w:p>
    <w:tbl>
      <w:tblPr>
        <w:tblStyle w:val="7"/>
        <w:tblW w:w="8810"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jc w:val="center"/>
        </w:trPr>
        <w:tc>
          <w:tcPr>
            <w:tcW w:w="2888" w:type="dxa"/>
            <w:gridSpan w:val="5"/>
            <w:tcBorders>
              <w:tl2br w:val="nil"/>
              <w:tr2bl w:val="nil"/>
            </w:tcBorders>
            <w:tcMar>
              <w:left w:w="108" w:type="dxa"/>
              <w:right w:w="108" w:type="dxa"/>
            </w:tcMar>
            <w:vAlign w:val="center"/>
          </w:tcPr>
          <w:p>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行政复议</w:t>
            </w:r>
          </w:p>
        </w:tc>
        <w:tc>
          <w:tcPr>
            <w:tcW w:w="5922" w:type="dxa"/>
            <w:gridSpan w:val="10"/>
            <w:tcBorders>
              <w:tl2br w:val="nil"/>
              <w:tr2bl w:val="nil"/>
            </w:tcBorders>
            <w:tcMar>
              <w:left w:w="108" w:type="dxa"/>
              <w:right w:w="108" w:type="dxa"/>
            </w:tcMar>
            <w:vAlign w:val="center"/>
          </w:tcPr>
          <w:p>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行政诉讼</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jc w:val="center"/>
        </w:trPr>
        <w:tc>
          <w:tcPr>
            <w:tcW w:w="615" w:type="dxa"/>
            <w:vMerge w:val="restart"/>
            <w:tcBorders>
              <w:tl2br w:val="nil"/>
              <w:tr2bl w:val="nil"/>
            </w:tcBorders>
            <w:tcMar>
              <w:left w:w="108" w:type="dxa"/>
              <w:right w:w="108" w:type="dxa"/>
            </w:tcMar>
            <w:vAlign w:val="center"/>
          </w:tcPr>
          <w:p>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结果维持</w:t>
            </w:r>
          </w:p>
        </w:tc>
        <w:tc>
          <w:tcPr>
            <w:tcW w:w="621" w:type="dxa"/>
            <w:vMerge w:val="restart"/>
            <w:tcBorders>
              <w:tl2br w:val="nil"/>
              <w:tr2bl w:val="nil"/>
            </w:tcBorders>
            <w:tcMar>
              <w:left w:w="108" w:type="dxa"/>
              <w:right w:w="108" w:type="dxa"/>
            </w:tcMar>
            <w:vAlign w:val="center"/>
          </w:tcPr>
          <w:p>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结果纠正</w:t>
            </w:r>
          </w:p>
        </w:tc>
        <w:tc>
          <w:tcPr>
            <w:tcW w:w="600" w:type="dxa"/>
            <w:vMerge w:val="restart"/>
            <w:tcBorders>
              <w:tl2br w:val="nil"/>
              <w:tr2bl w:val="nil"/>
            </w:tcBorders>
            <w:tcMar>
              <w:left w:w="108" w:type="dxa"/>
              <w:right w:w="108" w:type="dxa"/>
            </w:tcMar>
            <w:vAlign w:val="center"/>
          </w:tcPr>
          <w:p>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其他结果</w:t>
            </w:r>
          </w:p>
        </w:tc>
        <w:tc>
          <w:tcPr>
            <w:tcW w:w="591" w:type="dxa"/>
            <w:vMerge w:val="restart"/>
            <w:tcBorders>
              <w:tl2br w:val="nil"/>
              <w:tr2bl w:val="nil"/>
            </w:tcBorders>
            <w:tcMar>
              <w:left w:w="108" w:type="dxa"/>
              <w:right w:w="108" w:type="dxa"/>
            </w:tcMar>
            <w:vAlign w:val="center"/>
          </w:tcPr>
          <w:p>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尚未审结</w:t>
            </w:r>
          </w:p>
        </w:tc>
        <w:tc>
          <w:tcPr>
            <w:tcW w:w="461" w:type="dxa"/>
            <w:vMerge w:val="restart"/>
            <w:tcBorders>
              <w:tl2br w:val="nil"/>
              <w:tr2bl w:val="nil"/>
            </w:tcBorders>
            <w:tcMar>
              <w:left w:w="108" w:type="dxa"/>
              <w:right w:w="108" w:type="dxa"/>
            </w:tcMar>
            <w:vAlign w:val="center"/>
          </w:tcPr>
          <w:p>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总计</w:t>
            </w:r>
          </w:p>
        </w:tc>
        <w:tc>
          <w:tcPr>
            <w:tcW w:w="3010" w:type="dxa"/>
            <w:gridSpan w:val="5"/>
            <w:tcBorders>
              <w:tl2br w:val="nil"/>
              <w:tr2bl w:val="nil"/>
            </w:tcBorders>
            <w:tcMar>
              <w:left w:w="108" w:type="dxa"/>
              <w:right w:w="108" w:type="dxa"/>
            </w:tcMar>
            <w:vAlign w:val="center"/>
          </w:tcPr>
          <w:p>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未经复议直接起诉</w:t>
            </w:r>
          </w:p>
        </w:tc>
        <w:tc>
          <w:tcPr>
            <w:tcW w:w="2912" w:type="dxa"/>
            <w:gridSpan w:val="5"/>
            <w:tcBorders>
              <w:tl2br w:val="nil"/>
              <w:tr2bl w:val="nil"/>
            </w:tcBorders>
            <w:tcMar>
              <w:left w:w="108" w:type="dxa"/>
              <w:right w:w="108" w:type="dxa"/>
            </w:tcMar>
            <w:vAlign w:val="center"/>
          </w:tcPr>
          <w:p>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复议后起诉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1871" w:hRule="atLeast"/>
          <w:jc w:val="center"/>
        </w:trPr>
        <w:tc>
          <w:tcPr>
            <w:tcW w:w="615" w:type="dxa"/>
            <w:vMerge w:val="continue"/>
            <w:tcBorders>
              <w:tl2br w:val="nil"/>
              <w:tr2bl w:val="nil"/>
            </w:tcBorders>
            <w:tcMar>
              <w:left w:w="108" w:type="dxa"/>
              <w:right w:w="108" w:type="dxa"/>
            </w:tcMar>
            <w:vAlign w:val="center"/>
          </w:tcPr>
          <w:p>
            <w:pPr>
              <w:spacing w:line="340" w:lineRule="exact"/>
              <w:ind w:left="-42" w:leftChars="-20" w:right="-42" w:rightChars="-20"/>
              <w:rPr>
                <w:rFonts w:hint="eastAsia" w:ascii="Times New Roman" w:hAnsi="Times New Roman" w:eastAsia="方正黑体简体" w:cs="方正黑体简体"/>
                <w:b w:val="0"/>
                <w:bCs/>
                <w:color w:val="000000" w:themeColor="text1"/>
                <w:sz w:val="28"/>
                <w:szCs w:val="28"/>
                <w14:textFill>
                  <w14:solidFill>
                    <w14:schemeClr w14:val="tx1"/>
                  </w14:solidFill>
                </w14:textFill>
              </w:rPr>
            </w:pPr>
          </w:p>
        </w:tc>
        <w:tc>
          <w:tcPr>
            <w:tcW w:w="621" w:type="dxa"/>
            <w:vMerge w:val="continue"/>
            <w:tcBorders>
              <w:tl2br w:val="nil"/>
              <w:tr2bl w:val="nil"/>
            </w:tcBorders>
            <w:tcMar>
              <w:left w:w="108" w:type="dxa"/>
              <w:right w:w="108" w:type="dxa"/>
            </w:tcMar>
            <w:vAlign w:val="center"/>
          </w:tcPr>
          <w:p>
            <w:pPr>
              <w:spacing w:line="340" w:lineRule="exact"/>
              <w:ind w:left="-42" w:leftChars="-20" w:right="-42" w:rightChars="-20"/>
              <w:rPr>
                <w:rFonts w:hint="eastAsia" w:ascii="Times New Roman" w:hAnsi="Times New Roman" w:eastAsia="方正黑体简体" w:cs="方正黑体简体"/>
                <w:b w:val="0"/>
                <w:bCs/>
                <w:color w:val="000000" w:themeColor="text1"/>
                <w:sz w:val="28"/>
                <w:szCs w:val="28"/>
                <w14:textFill>
                  <w14:solidFill>
                    <w14:schemeClr w14:val="tx1"/>
                  </w14:solidFill>
                </w14:textFill>
              </w:rPr>
            </w:pPr>
          </w:p>
        </w:tc>
        <w:tc>
          <w:tcPr>
            <w:tcW w:w="600" w:type="dxa"/>
            <w:vMerge w:val="continue"/>
            <w:tcBorders>
              <w:tl2br w:val="nil"/>
              <w:tr2bl w:val="nil"/>
            </w:tcBorders>
            <w:tcMar>
              <w:left w:w="108" w:type="dxa"/>
              <w:right w:w="108" w:type="dxa"/>
            </w:tcMar>
            <w:vAlign w:val="center"/>
          </w:tcPr>
          <w:p>
            <w:pPr>
              <w:spacing w:line="340" w:lineRule="exact"/>
              <w:ind w:left="-42" w:leftChars="-20" w:right="-42" w:rightChars="-20"/>
              <w:rPr>
                <w:rFonts w:hint="eastAsia" w:ascii="Times New Roman" w:hAnsi="Times New Roman" w:eastAsia="方正黑体简体" w:cs="方正黑体简体"/>
                <w:b w:val="0"/>
                <w:bCs/>
                <w:color w:val="000000" w:themeColor="text1"/>
                <w:sz w:val="28"/>
                <w:szCs w:val="28"/>
                <w14:textFill>
                  <w14:solidFill>
                    <w14:schemeClr w14:val="tx1"/>
                  </w14:solidFill>
                </w14:textFill>
              </w:rPr>
            </w:pPr>
          </w:p>
        </w:tc>
        <w:tc>
          <w:tcPr>
            <w:tcW w:w="591" w:type="dxa"/>
            <w:vMerge w:val="continue"/>
            <w:tcBorders>
              <w:tl2br w:val="nil"/>
              <w:tr2bl w:val="nil"/>
            </w:tcBorders>
            <w:tcMar>
              <w:left w:w="108" w:type="dxa"/>
              <w:right w:w="108" w:type="dxa"/>
            </w:tcMar>
            <w:vAlign w:val="center"/>
          </w:tcPr>
          <w:p>
            <w:pPr>
              <w:spacing w:line="340" w:lineRule="exact"/>
              <w:ind w:left="-42" w:leftChars="-20" w:right="-42" w:rightChars="-20"/>
              <w:rPr>
                <w:rFonts w:hint="eastAsia" w:ascii="Times New Roman" w:hAnsi="Times New Roman" w:eastAsia="方正黑体简体" w:cs="方正黑体简体"/>
                <w:b w:val="0"/>
                <w:bCs/>
                <w:color w:val="000000" w:themeColor="text1"/>
                <w:sz w:val="28"/>
                <w:szCs w:val="28"/>
                <w14:textFill>
                  <w14:solidFill>
                    <w14:schemeClr w14:val="tx1"/>
                  </w14:solidFill>
                </w14:textFill>
              </w:rPr>
            </w:pPr>
          </w:p>
        </w:tc>
        <w:tc>
          <w:tcPr>
            <w:tcW w:w="461" w:type="dxa"/>
            <w:vMerge w:val="continue"/>
            <w:tcBorders>
              <w:tl2br w:val="nil"/>
              <w:tr2bl w:val="nil"/>
            </w:tcBorders>
            <w:tcMar>
              <w:left w:w="108" w:type="dxa"/>
              <w:right w:w="108" w:type="dxa"/>
            </w:tcMar>
            <w:vAlign w:val="center"/>
          </w:tcPr>
          <w:p>
            <w:pPr>
              <w:spacing w:line="340" w:lineRule="exact"/>
              <w:ind w:left="-42" w:leftChars="-20" w:right="-42" w:rightChars="-20"/>
              <w:rPr>
                <w:rFonts w:hint="eastAsia" w:ascii="Times New Roman" w:hAnsi="Times New Roman" w:eastAsia="方正黑体简体" w:cs="方正黑体简体"/>
                <w:b w:val="0"/>
                <w:bCs/>
                <w:color w:val="000000" w:themeColor="text1"/>
                <w:sz w:val="28"/>
                <w:szCs w:val="28"/>
                <w14:textFill>
                  <w14:solidFill>
                    <w14:schemeClr w14:val="tx1"/>
                  </w14:solidFill>
                </w14:textFill>
              </w:rPr>
            </w:pPr>
          </w:p>
        </w:tc>
        <w:tc>
          <w:tcPr>
            <w:tcW w:w="649" w:type="dxa"/>
            <w:tcBorders>
              <w:tl2br w:val="nil"/>
              <w:tr2bl w:val="nil"/>
            </w:tcBorders>
            <w:tcMar>
              <w:left w:w="108" w:type="dxa"/>
              <w:right w:w="108" w:type="dxa"/>
            </w:tcMar>
            <w:vAlign w:val="center"/>
          </w:tcPr>
          <w:p>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结果维持</w:t>
            </w:r>
          </w:p>
        </w:tc>
        <w:tc>
          <w:tcPr>
            <w:tcW w:w="649" w:type="dxa"/>
            <w:tcBorders>
              <w:tl2br w:val="nil"/>
              <w:tr2bl w:val="nil"/>
            </w:tcBorders>
            <w:tcMar>
              <w:left w:w="108" w:type="dxa"/>
              <w:right w:w="108" w:type="dxa"/>
            </w:tcMar>
            <w:vAlign w:val="center"/>
          </w:tcPr>
          <w:p>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结果纠正</w:t>
            </w:r>
          </w:p>
        </w:tc>
        <w:tc>
          <w:tcPr>
            <w:tcW w:w="650" w:type="dxa"/>
            <w:tcBorders>
              <w:tl2br w:val="nil"/>
              <w:tr2bl w:val="nil"/>
            </w:tcBorders>
            <w:tcMar>
              <w:left w:w="108" w:type="dxa"/>
              <w:right w:w="108" w:type="dxa"/>
            </w:tcMar>
            <w:vAlign w:val="center"/>
          </w:tcPr>
          <w:p>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其他结果</w:t>
            </w:r>
          </w:p>
        </w:tc>
        <w:tc>
          <w:tcPr>
            <w:tcW w:w="636" w:type="dxa"/>
            <w:tcBorders>
              <w:tl2br w:val="nil"/>
              <w:tr2bl w:val="nil"/>
            </w:tcBorders>
            <w:tcMar>
              <w:left w:w="108" w:type="dxa"/>
              <w:right w:w="108" w:type="dxa"/>
            </w:tcMar>
            <w:vAlign w:val="center"/>
          </w:tcPr>
          <w:p>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尚未审结</w:t>
            </w:r>
          </w:p>
        </w:tc>
        <w:tc>
          <w:tcPr>
            <w:tcW w:w="426" w:type="dxa"/>
            <w:tcBorders>
              <w:tl2br w:val="nil"/>
              <w:tr2bl w:val="nil"/>
            </w:tcBorders>
            <w:tcMar>
              <w:left w:w="108" w:type="dxa"/>
              <w:right w:w="108" w:type="dxa"/>
            </w:tcMar>
            <w:vAlign w:val="center"/>
          </w:tcPr>
          <w:p>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总计</w:t>
            </w:r>
          </w:p>
        </w:tc>
        <w:tc>
          <w:tcPr>
            <w:tcW w:w="650" w:type="dxa"/>
            <w:tcBorders>
              <w:tl2br w:val="nil"/>
              <w:tr2bl w:val="nil"/>
            </w:tcBorders>
            <w:tcMar>
              <w:left w:w="108" w:type="dxa"/>
              <w:right w:w="108" w:type="dxa"/>
            </w:tcMar>
            <w:vAlign w:val="center"/>
          </w:tcPr>
          <w:p>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结果维持</w:t>
            </w:r>
          </w:p>
        </w:tc>
        <w:tc>
          <w:tcPr>
            <w:tcW w:w="650" w:type="dxa"/>
            <w:tcBorders>
              <w:tl2br w:val="nil"/>
              <w:tr2bl w:val="nil"/>
            </w:tcBorders>
            <w:tcMar>
              <w:left w:w="108" w:type="dxa"/>
              <w:right w:w="108" w:type="dxa"/>
            </w:tcMar>
            <w:vAlign w:val="center"/>
          </w:tcPr>
          <w:p>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结果纠正</w:t>
            </w:r>
          </w:p>
        </w:tc>
        <w:tc>
          <w:tcPr>
            <w:tcW w:w="650" w:type="dxa"/>
            <w:tcBorders>
              <w:tl2br w:val="nil"/>
              <w:tr2bl w:val="nil"/>
            </w:tcBorders>
            <w:tcMar>
              <w:left w:w="108" w:type="dxa"/>
              <w:right w:w="108" w:type="dxa"/>
            </w:tcMar>
            <w:vAlign w:val="center"/>
          </w:tcPr>
          <w:p>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其他结果</w:t>
            </w:r>
          </w:p>
        </w:tc>
        <w:tc>
          <w:tcPr>
            <w:tcW w:w="555" w:type="dxa"/>
            <w:tcBorders>
              <w:tl2br w:val="nil"/>
              <w:tr2bl w:val="nil"/>
            </w:tcBorders>
            <w:tcMar>
              <w:left w:w="108" w:type="dxa"/>
              <w:right w:w="108" w:type="dxa"/>
            </w:tcMar>
            <w:vAlign w:val="center"/>
          </w:tcPr>
          <w:p>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尚未审结</w:t>
            </w:r>
          </w:p>
        </w:tc>
        <w:tc>
          <w:tcPr>
            <w:tcW w:w="407" w:type="dxa"/>
            <w:tcBorders>
              <w:tl2br w:val="nil"/>
              <w:tr2bl w:val="nil"/>
            </w:tcBorders>
            <w:tcMar>
              <w:left w:w="108" w:type="dxa"/>
              <w:right w:w="108" w:type="dxa"/>
            </w:tcMar>
            <w:vAlign w:val="center"/>
          </w:tcPr>
          <w:p>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总计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jc w:val="center"/>
        </w:trPr>
        <w:tc>
          <w:tcPr>
            <w:tcW w:w="615" w:type="dxa"/>
            <w:tcBorders>
              <w:tl2br w:val="nil"/>
              <w:tr2bl w:val="nil"/>
            </w:tcBorders>
            <w:tcMar>
              <w:left w:w="108" w:type="dxa"/>
              <w:right w:w="108" w:type="dxa"/>
            </w:tcMar>
            <w:vAlign w:val="center"/>
          </w:tcPr>
          <w:p>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val="en-US" w:eastAsia="zh-CN" w:bidi="ar"/>
                <w14:textFill>
                  <w14:solidFill>
                    <w14:schemeClr w14:val="tx1"/>
                  </w14:solidFill>
                </w14:textFill>
              </w:rPr>
              <w:t>0</w:t>
            </w:r>
          </w:p>
        </w:tc>
        <w:tc>
          <w:tcPr>
            <w:tcW w:w="621" w:type="dxa"/>
            <w:tcBorders>
              <w:tl2br w:val="nil"/>
              <w:tr2bl w:val="nil"/>
            </w:tcBorders>
            <w:tcMar>
              <w:left w:w="108" w:type="dxa"/>
              <w:right w:w="108" w:type="dxa"/>
            </w:tcMar>
            <w:vAlign w:val="center"/>
          </w:tcPr>
          <w:p>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val="en-US" w:eastAsia="zh-CN" w:bidi="ar"/>
                <w14:textFill>
                  <w14:solidFill>
                    <w14:schemeClr w14:val="tx1"/>
                  </w14:solidFill>
                </w14:textFill>
              </w:rPr>
              <w:t>0</w:t>
            </w:r>
          </w:p>
        </w:tc>
        <w:tc>
          <w:tcPr>
            <w:tcW w:w="600" w:type="dxa"/>
            <w:tcBorders>
              <w:tl2br w:val="nil"/>
              <w:tr2bl w:val="nil"/>
            </w:tcBorders>
            <w:tcMar>
              <w:left w:w="108" w:type="dxa"/>
              <w:right w:w="108" w:type="dxa"/>
            </w:tcMar>
            <w:vAlign w:val="center"/>
          </w:tcPr>
          <w:p>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val="en-US" w:eastAsia="zh-CN" w:bidi="ar"/>
                <w14:textFill>
                  <w14:solidFill>
                    <w14:schemeClr w14:val="tx1"/>
                  </w14:solidFill>
                </w14:textFill>
              </w:rPr>
              <w:t>0</w:t>
            </w:r>
          </w:p>
        </w:tc>
        <w:tc>
          <w:tcPr>
            <w:tcW w:w="591" w:type="dxa"/>
            <w:tcBorders>
              <w:tl2br w:val="nil"/>
              <w:tr2bl w:val="nil"/>
            </w:tcBorders>
            <w:tcMar>
              <w:left w:w="108" w:type="dxa"/>
              <w:right w:w="108" w:type="dxa"/>
            </w:tcMar>
            <w:vAlign w:val="center"/>
          </w:tcPr>
          <w:p>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val="en-US" w:eastAsia="zh-CN" w:bidi="ar"/>
                <w14:textFill>
                  <w14:solidFill>
                    <w14:schemeClr w14:val="tx1"/>
                  </w14:solidFill>
                </w14:textFill>
              </w:rPr>
              <w:t>0</w:t>
            </w:r>
          </w:p>
        </w:tc>
        <w:tc>
          <w:tcPr>
            <w:tcW w:w="461" w:type="dxa"/>
            <w:tcBorders>
              <w:tl2br w:val="nil"/>
              <w:tr2bl w:val="nil"/>
            </w:tcBorders>
            <w:tcMar>
              <w:left w:w="108" w:type="dxa"/>
              <w:right w:w="108" w:type="dxa"/>
            </w:tcMar>
            <w:vAlign w:val="center"/>
          </w:tcPr>
          <w:p>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val="en-US" w:eastAsia="zh-CN" w:bidi="ar"/>
                <w14:textFill>
                  <w14:solidFill>
                    <w14:schemeClr w14:val="tx1"/>
                  </w14:solidFill>
                </w14:textFill>
              </w:rPr>
              <w:t>0</w:t>
            </w:r>
          </w:p>
        </w:tc>
        <w:tc>
          <w:tcPr>
            <w:tcW w:w="649" w:type="dxa"/>
            <w:tcBorders>
              <w:tl2br w:val="nil"/>
              <w:tr2bl w:val="nil"/>
            </w:tcBorders>
            <w:tcMar>
              <w:left w:w="108" w:type="dxa"/>
              <w:right w:w="108" w:type="dxa"/>
            </w:tcMar>
            <w:vAlign w:val="center"/>
          </w:tcPr>
          <w:p>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val="en-US" w:eastAsia="zh-CN" w:bidi="ar"/>
                <w14:textFill>
                  <w14:solidFill>
                    <w14:schemeClr w14:val="tx1"/>
                  </w14:solidFill>
                </w14:textFill>
              </w:rPr>
              <w:t>0</w:t>
            </w:r>
          </w:p>
        </w:tc>
        <w:tc>
          <w:tcPr>
            <w:tcW w:w="649" w:type="dxa"/>
            <w:tcBorders>
              <w:tl2br w:val="nil"/>
              <w:tr2bl w:val="nil"/>
            </w:tcBorders>
            <w:tcMar>
              <w:left w:w="108" w:type="dxa"/>
              <w:right w:w="108" w:type="dxa"/>
            </w:tcMar>
            <w:vAlign w:val="center"/>
          </w:tcPr>
          <w:p>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val="en-US" w:eastAsia="zh-CN" w:bidi="ar"/>
                <w14:textFill>
                  <w14:solidFill>
                    <w14:schemeClr w14:val="tx1"/>
                  </w14:solidFill>
                </w14:textFill>
              </w:rPr>
              <w:t>0</w:t>
            </w:r>
          </w:p>
        </w:tc>
        <w:tc>
          <w:tcPr>
            <w:tcW w:w="650" w:type="dxa"/>
            <w:tcBorders>
              <w:tl2br w:val="nil"/>
              <w:tr2bl w:val="nil"/>
            </w:tcBorders>
            <w:tcMar>
              <w:left w:w="108" w:type="dxa"/>
              <w:right w:w="108" w:type="dxa"/>
            </w:tcMar>
            <w:vAlign w:val="center"/>
          </w:tcPr>
          <w:p>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val="en-US" w:eastAsia="zh-CN" w:bidi="ar"/>
                <w14:textFill>
                  <w14:solidFill>
                    <w14:schemeClr w14:val="tx1"/>
                  </w14:solidFill>
                </w14:textFill>
              </w:rPr>
              <w:t>0</w:t>
            </w:r>
          </w:p>
        </w:tc>
        <w:tc>
          <w:tcPr>
            <w:tcW w:w="636" w:type="dxa"/>
            <w:tcBorders>
              <w:tl2br w:val="nil"/>
              <w:tr2bl w:val="nil"/>
            </w:tcBorders>
            <w:tcMar>
              <w:left w:w="108" w:type="dxa"/>
              <w:right w:w="108" w:type="dxa"/>
            </w:tcMar>
            <w:vAlign w:val="center"/>
          </w:tcPr>
          <w:p>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val="en-US" w:eastAsia="zh-CN" w:bidi="ar"/>
                <w14:textFill>
                  <w14:solidFill>
                    <w14:schemeClr w14:val="tx1"/>
                  </w14:solidFill>
                </w14:textFill>
              </w:rPr>
              <w:t>0</w:t>
            </w:r>
          </w:p>
        </w:tc>
        <w:tc>
          <w:tcPr>
            <w:tcW w:w="426" w:type="dxa"/>
            <w:tcBorders>
              <w:tl2br w:val="nil"/>
              <w:tr2bl w:val="nil"/>
            </w:tcBorders>
            <w:tcMar>
              <w:left w:w="108" w:type="dxa"/>
              <w:right w:w="108" w:type="dxa"/>
            </w:tcMar>
            <w:vAlign w:val="center"/>
          </w:tcPr>
          <w:p>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val="en-US" w:eastAsia="zh-CN" w:bidi="ar"/>
                <w14:textFill>
                  <w14:solidFill>
                    <w14:schemeClr w14:val="tx1"/>
                  </w14:solidFill>
                </w14:textFill>
              </w:rPr>
              <w:t>0</w:t>
            </w:r>
          </w:p>
        </w:tc>
        <w:tc>
          <w:tcPr>
            <w:tcW w:w="650" w:type="dxa"/>
            <w:tcBorders>
              <w:tl2br w:val="nil"/>
              <w:tr2bl w:val="nil"/>
            </w:tcBorders>
            <w:tcMar>
              <w:left w:w="108" w:type="dxa"/>
              <w:right w:w="108" w:type="dxa"/>
            </w:tcMar>
            <w:vAlign w:val="center"/>
          </w:tcPr>
          <w:p>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val="en-US" w:eastAsia="zh-CN" w:bidi="ar"/>
                <w14:textFill>
                  <w14:solidFill>
                    <w14:schemeClr w14:val="tx1"/>
                  </w14:solidFill>
                </w14:textFill>
              </w:rPr>
              <w:t>0</w:t>
            </w:r>
          </w:p>
        </w:tc>
        <w:tc>
          <w:tcPr>
            <w:tcW w:w="650" w:type="dxa"/>
            <w:tcBorders>
              <w:tl2br w:val="nil"/>
              <w:tr2bl w:val="nil"/>
            </w:tcBorders>
            <w:tcMar>
              <w:left w:w="108" w:type="dxa"/>
              <w:right w:w="108" w:type="dxa"/>
            </w:tcMar>
            <w:vAlign w:val="center"/>
          </w:tcPr>
          <w:p>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val="en-US" w:eastAsia="zh-CN" w:bidi="ar"/>
                <w14:textFill>
                  <w14:solidFill>
                    <w14:schemeClr w14:val="tx1"/>
                  </w14:solidFill>
                </w14:textFill>
              </w:rPr>
              <w:t>0</w:t>
            </w:r>
          </w:p>
        </w:tc>
        <w:tc>
          <w:tcPr>
            <w:tcW w:w="650" w:type="dxa"/>
            <w:tcBorders>
              <w:tl2br w:val="nil"/>
              <w:tr2bl w:val="nil"/>
            </w:tcBorders>
            <w:tcMar>
              <w:left w:w="108" w:type="dxa"/>
              <w:right w:w="108" w:type="dxa"/>
            </w:tcMar>
            <w:vAlign w:val="center"/>
          </w:tcPr>
          <w:p>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val="en-US" w:eastAsia="zh-CN" w:bidi="ar"/>
                <w14:textFill>
                  <w14:solidFill>
                    <w14:schemeClr w14:val="tx1"/>
                  </w14:solidFill>
                </w14:textFill>
              </w:rPr>
              <w:t>0</w:t>
            </w:r>
          </w:p>
        </w:tc>
        <w:tc>
          <w:tcPr>
            <w:tcW w:w="555" w:type="dxa"/>
            <w:tcBorders>
              <w:tl2br w:val="nil"/>
              <w:tr2bl w:val="nil"/>
            </w:tcBorders>
            <w:tcMar>
              <w:left w:w="108" w:type="dxa"/>
              <w:right w:w="108" w:type="dxa"/>
            </w:tcMar>
            <w:vAlign w:val="center"/>
          </w:tcPr>
          <w:p>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val="en-US" w:eastAsia="zh-CN" w:bidi="ar"/>
                <w14:textFill>
                  <w14:solidFill>
                    <w14:schemeClr w14:val="tx1"/>
                  </w14:solidFill>
                </w14:textFill>
              </w:rPr>
              <w:t>0</w:t>
            </w:r>
          </w:p>
        </w:tc>
        <w:tc>
          <w:tcPr>
            <w:tcW w:w="407" w:type="dxa"/>
            <w:tcBorders>
              <w:tl2br w:val="nil"/>
              <w:tr2bl w:val="nil"/>
            </w:tcBorders>
            <w:tcMar>
              <w:left w:w="108" w:type="dxa"/>
              <w:right w:w="108" w:type="dxa"/>
            </w:tcMar>
            <w:vAlign w:val="center"/>
          </w:tcPr>
          <w:p>
            <w:pPr>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val="en-US" w:eastAsia="zh-CN"/>
                <w14:textFill>
                  <w14:solidFill>
                    <w14:schemeClr w14:val="tx1"/>
                  </w14:solidFill>
                </w14:textFill>
              </w:rPr>
              <w:t>0</w:t>
            </w:r>
          </w:p>
        </w:tc>
      </w:tr>
    </w:tbl>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方正黑体简体" w:cs="方正黑体简体"/>
          <w:b/>
          <w:bCs/>
          <w:color w:val="000000" w:themeColor="text1"/>
          <w:kern w:val="0"/>
          <w:sz w:val="32"/>
          <w:szCs w:val="32"/>
          <w14:textFill>
            <w14:solidFill>
              <w14:schemeClr w14:val="tx1"/>
            </w14:solidFill>
          </w14:textFill>
        </w:rPr>
      </w:pPr>
      <w:r>
        <w:rPr>
          <w:rFonts w:hint="eastAsia" w:ascii="Times New Roman" w:hAnsi="Times New Roman" w:eastAsia="方正黑体简体" w:cs="方正黑体简体"/>
          <w:b/>
          <w:bCs/>
          <w:color w:val="000000" w:themeColor="text1"/>
          <w:kern w:val="0"/>
          <w:sz w:val="32"/>
          <w:szCs w:val="32"/>
          <w14:textFill>
            <w14:solidFill>
              <w14:schemeClr w14:val="tx1"/>
            </w14:solidFill>
          </w14:textFill>
        </w:rPr>
        <w:t>五、存在的主要问题及改进情况</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方正楷体简体" w:cs="方正楷体简体"/>
          <w:b/>
          <w:bCs/>
          <w:color w:val="000000" w:themeColor="text1"/>
          <w:kern w:val="0"/>
          <w:sz w:val="32"/>
          <w:szCs w:val="32"/>
          <w:highlight w:val="none"/>
          <w14:textFill>
            <w14:solidFill>
              <w14:schemeClr w14:val="tx1"/>
            </w14:solidFill>
          </w14:textFill>
        </w:rPr>
      </w:pPr>
      <w:r>
        <w:rPr>
          <w:rFonts w:hint="eastAsia" w:ascii="Times New Roman" w:hAnsi="Times New Roman" w:eastAsia="方正楷体简体" w:cs="方正楷体简体"/>
          <w:b/>
          <w:bCs/>
          <w:color w:val="000000" w:themeColor="text1"/>
          <w:kern w:val="0"/>
          <w:sz w:val="32"/>
          <w:szCs w:val="32"/>
          <w:highlight w:val="none"/>
          <w14:textFill>
            <w14:solidFill>
              <w14:schemeClr w14:val="tx1"/>
            </w14:solidFill>
          </w14:textFill>
        </w:rPr>
        <w:t>（一）存在问题</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pPr>
      <w:r>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t>在目前政府信息公开工作开展过程中，我镇政府信息公开工作虽然取得了一定的成绩，</w:t>
      </w:r>
      <w:r>
        <w:rPr>
          <w:rFonts w:hint="eastAsia" w:ascii="Times New Roman" w:hAnsi="Times New Roman" w:eastAsia="方正仿宋简体" w:cs="方正仿宋简体"/>
          <w:b/>
          <w:bCs/>
          <w:color w:val="000000" w:themeColor="text1"/>
          <w:kern w:val="0"/>
          <w:sz w:val="32"/>
          <w:szCs w:val="32"/>
          <w:highlight w:val="none"/>
          <w:lang w:val="en-US" w:eastAsia="zh-CN"/>
          <w14:textFill>
            <w14:solidFill>
              <w14:schemeClr w14:val="tx1"/>
            </w14:solidFill>
          </w14:textFill>
        </w:rPr>
        <w:t>但</w:t>
      </w:r>
      <w:r>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t>我们也认识到工作中还存在一些问题，主要表现为：一是主动公开信息规范性、准确性和完整性的标准和要求有待进一步深化，二是信息公开的载体和形式还需要进一步丰富。</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方正楷体简体" w:cs="方正楷体简体"/>
          <w:b/>
          <w:bCs/>
          <w:color w:val="000000" w:themeColor="text1"/>
          <w:kern w:val="0"/>
          <w:sz w:val="32"/>
          <w:szCs w:val="32"/>
          <w:highlight w:val="none"/>
          <w14:textFill>
            <w14:solidFill>
              <w14:schemeClr w14:val="tx1"/>
            </w14:solidFill>
          </w14:textFill>
        </w:rPr>
      </w:pPr>
      <w:r>
        <w:rPr>
          <w:rFonts w:hint="eastAsia" w:ascii="Times New Roman" w:hAnsi="Times New Roman" w:eastAsia="方正楷体简体" w:cs="方正楷体简体"/>
          <w:b/>
          <w:bCs/>
          <w:color w:val="000000" w:themeColor="text1"/>
          <w:kern w:val="0"/>
          <w:sz w:val="32"/>
          <w:szCs w:val="32"/>
          <w:highlight w:val="none"/>
          <w14:textFill>
            <w14:solidFill>
              <w14:schemeClr w14:val="tx1"/>
            </w14:solidFill>
          </w14:textFill>
        </w:rPr>
        <w:t>（二）下步措施</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pPr>
      <w:r>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t>一是完善制度，规范政府网站内容发布。在202</w:t>
      </w:r>
      <w:r>
        <w:rPr>
          <w:rFonts w:hint="eastAsia" w:ascii="Times New Roman" w:hAnsi="Times New Roman" w:eastAsia="方正仿宋简体" w:cs="方正仿宋简体"/>
          <w:b/>
          <w:bCs/>
          <w:color w:val="000000" w:themeColor="text1"/>
          <w:kern w:val="0"/>
          <w:sz w:val="32"/>
          <w:szCs w:val="32"/>
          <w:highlight w:val="none"/>
          <w:lang w:val="en-US" w:eastAsia="zh-CN"/>
          <w14:textFill>
            <w14:solidFill>
              <w14:schemeClr w14:val="tx1"/>
            </w14:solidFill>
          </w14:textFill>
        </w:rPr>
        <w:t>5</w:t>
      </w:r>
      <w:r>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t>年，我镇将结合实际，完善工作制度，对政府信息公开工作的职责分工及任务进一步明确细化，不断加强基层政务公开“两化”建设工作，强化工作动态、通知公告等薄弱环节，逐步提升政务公开“两化”建设水平。</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pPr>
      <w:r>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t>二是注重成效，强化政府网站服务功能。根据我镇的实际，突出重点，创新形式，不断提高政务公开工作水平，不断提高政府信息公开质量，及时公开公众关注的经济社会发展中的热点信息，及时发布政策法规解读等信息，不断提升政务公开的影响力。</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pPr>
      <w:r>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t>三是强化监督，确保政府网站公开准确。下一步将政府信息公开纳入日常工作目标管理，严格落实检查考核制度，对公开信息的数量、内容、审查程序、时效性定期开展自查，整改发现的问题，压实责任，不断提高政府信息公开工作的质量和水平。</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方正黑体简体" w:cs="方正黑体简体"/>
          <w:b/>
          <w:bCs/>
          <w:color w:val="000000" w:themeColor="text1"/>
          <w:kern w:val="0"/>
          <w:sz w:val="32"/>
          <w:szCs w:val="32"/>
          <w14:textFill>
            <w14:solidFill>
              <w14:schemeClr w14:val="tx1"/>
            </w14:solidFill>
          </w14:textFill>
        </w:rPr>
      </w:pPr>
      <w:r>
        <w:rPr>
          <w:rFonts w:hint="eastAsia" w:ascii="Times New Roman" w:hAnsi="Times New Roman" w:eastAsia="方正黑体简体" w:cs="方正黑体简体"/>
          <w:b/>
          <w:bCs/>
          <w:color w:val="000000" w:themeColor="text1"/>
          <w:kern w:val="0"/>
          <w:sz w:val="32"/>
          <w:szCs w:val="32"/>
          <w14:textFill>
            <w14:solidFill>
              <w14:schemeClr w14:val="tx1"/>
            </w14:solidFill>
          </w14:textFill>
        </w:rPr>
        <w:t>六、其他需要报告的事项</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方正楷体简体" w:cs="方正楷体简体"/>
          <w:b/>
          <w:bCs/>
          <w:color w:val="000000" w:themeColor="text1"/>
          <w:kern w:val="0"/>
          <w:sz w:val="32"/>
          <w:szCs w:val="32"/>
          <w:highlight w:val="none"/>
          <w:lang w:eastAsia="zh-CN"/>
          <w14:textFill>
            <w14:solidFill>
              <w14:schemeClr w14:val="tx1"/>
            </w14:solidFill>
          </w14:textFill>
        </w:rPr>
      </w:pPr>
      <w:r>
        <w:rPr>
          <w:rFonts w:hint="eastAsia" w:ascii="Times New Roman" w:hAnsi="Times New Roman" w:eastAsia="方正楷体简体" w:cs="方正楷体简体"/>
          <w:b/>
          <w:bCs/>
          <w:color w:val="000000" w:themeColor="text1"/>
          <w:kern w:val="0"/>
          <w:sz w:val="32"/>
          <w:szCs w:val="32"/>
          <w:highlight w:val="none"/>
          <w14:textFill>
            <w14:solidFill>
              <w14:schemeClr w14:val="tx1"/>
            </w14:solidFill>
          </w14:textFill>
        </w:rPr>
        <w:t>（一）依据《政府信息公开信息处理费管理办法》收取信息处理费的情况</w:t>
      </w:r>
      <w:r>
        <w:rPr>
          <w:rFonts w:hint="eastAsia" w:ascii="Times New Roman" w:hAnsi="Times New Roman" w:eastAsia="方正楷体简体" w:cs="方正楷体简体"/>
          <w:b/>
          <w:bCs/>
          <w:color w:val="000000" w:themeColor="text1"/>
          <w:kern w:val="0"/>
          <w:sz w:val="32"/>
          <w:szCs w:val="32"/>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pPr>
      <w:r>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t>本年度</w:t>
      </w:r>
      <w:r>
        <w:rPr>
          <w:rFonts w:hint="eastAsia" w:ascii="Times New Roman" w:hAnsi="Times New Roman" w:eastAsia="方正仿宋简体" w:cs="方正仿宋简体"/>
          <w:b/>
          <w:bCs/>
          <w:color w:val="000000" w:themeColor="text1"/>
          <w:kern w:val="0"/>
          <w:sz w:val="32"/>
          <w:szCs w:val="32"/>
          <w:highlight w:val="none"/>
          <w:lang w:val="en-US" w:eastAsia="zh-CN"/>
          <w14:textFill>
            <w14:solidFill>
              <w14:schemeClr w14:val="tx1"/>
            </w14:solidFill>
          </w14:textFill>
        </w:rPr>
        <w:t>圣水峪镇</w:t>
      </w:r>
      <w:r>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t>无收取信息处理费的情况。</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方正楷体简体" w:cs="方正楷体简体"/>
          <w:b/>
          <w:bCs/>
          <w:color w:val="000000" w:themeColor="text1"/>
          <w:kern w:val="0"/>
          <w:sz w:val="32"/>
          <w:szCs w:val="32"/>
          <w:highlight w:val="none"/>
          <w14:textFill>
            <w14:solidFill>
              <w14:schemeClr w14:val="tx1"/>
            </w14:solidFill>
          </w14:textFill>
        </w:rPr>
      </w:pPr>
      <w:r>
        <w:rPr>
          <w:rFonts w:hint="eastAsia" w:ascii="Times New Roman" w:hAnsi="Times New Roman" w:eastAsia="方正楷体简体" w:cs="方正楷体简体"/>
          <w:b/>
          <w:bCs/>
          <w:color w:val="000000" w:themeColor="text1"/>
          <w:kern w:val="0"/>
          <w:sz w:val="32"/>
          <w:szCs w:val="32"/>
          <w:highlight w:val="none"/>
          <w14:textFill>
            <w14:solidFill>
              <w14:schemeClr w14:val="tx1"/>
            </w14:solidFill>
          </w14:textFill>
        </w:rPr>
        <w:t>（二）本行政机关落实上级年度政务公开工作要点情况</w:t>
      </w:r>
      <w:r>
        <w:rPr>
          <w:rFonts w:hint="eastAsia" w:ascii="Times New Roman" w:hAnsi="Times New Roman" w:eastAsia="方正楷体简体" w:cs="方正楷体简体"/>
          <w:b/>
          <w:bCs/>
          <w:color w:val="000000" w:themeColor="text1"/>
          <w:kern w:val="0"/>
          <w:sz w:val="32"/>
          <w:szCs w:val="32"/>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pPr>
      <w:r>
        <w:rPr>
          <w:rFonts w:hint="eastAsia" w:ascii="Times New Roman" w:hAnsi="Times New Roman" w:eastAsia="方正仿宋简体" w:cs="方正仿宋简体"/>
          <w:b/>
          <w:bCs/>
          <w:color w:val="000000" w:themeColor="text1"/>
          <w:kern w:val="0"/>
          <w:sz w:val="32"/>
          <w:szCs w:val="32"/>
          <w:highlight w:val="none"/>
          <w:lang w:val="en-US" w:eastAsia="zh-CN"/>
          <w14:textFill>
            <w14:solidFill>
              <w14:schemeClr w14:val="tx1"/>
            </w14:solidFill>
          </w14:textFill>
        </w:rPr>
        <w:t>圣水峪镇</w:t>
      </w:r>
      <w:r>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t>高度重视政府信息公开工作，严格落实本年度政务公开所有工作要点，紧紧围绕镇重点工作和群众关心关注的问题，进一步严格了责任分工，明确了措施要求，切实把政务公开工作当成一项重要任务来抓。</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方正楷体简体" w:cs="方正楷体简体"/>
          <w:b/>
          <w:bCs/>
          <w:color w:val="000000" w:themeColor="text1"/>
          <w:kern w:val="0"/>
          <w:sz w:val="32"/>
          <w:szCs w:val="32"/>
          <w:highlight w:val="none"/>
          <w14:textFill>
            <w14:solidFill>
              <w14:schemeClr w14:val="tx1"/>
            </w14:solidFill>
          </w14:textFill>
        </w:rPr>
      </w:pPr>
      <w:r>
        <w:rPr>
          <w:rFonts w:hint="eastAsia" w:ascii="Times New Roman" w:hAnsi="Times New Roman" w:eastAsia="方正楷体简体" w:cs="方正楷体简体"/>
          <w:b/>
          <w:bCs/>
          <w:color w:val="000000" w:themeColor="text1"/>
          <w:kern w:val="0"/>
          <w:sz w:val="32"/>
          <w:szCs w:val="32"/>
          <w:highlight w:val="none"/>
          <w14:textFill>
            <w14:solidFill>
              <w14:schemeClr w14:val="tx1"/>
            </w14:solidFill>
          </w14:textFill>
        </w:rPr>
        <w:t>（三）本行政机关人大代表建议和政协提案办理结果公开情况</w:t>
      </w:r>
      <w:r>
        <w:rPr>
          <w:rFonts w:hint="eastAsia" w:ascii="Times New Roman" w:hAnsi="Times New Roman" w:eastAsia="方正楷体简体" w:cs="方正楷体简体"/>
          <w:b/>
          <w:bCs/>
          <w:color w:val="000000" w:themeColor="text1"/>
          <w:kern w:val="0"/>
          <w:sz w:val="32"/>
          <w:szCs w:val="32"/>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pPr>
      <w:r>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t>202</w:t>
      </w:r>
      <w:r>
        <w:rPr>
          <w:rFonts w:hint="eastAsia" w:ascii="Times New Roman" w:hAnsi="Times New Roman" w:eastAsia="方正仿宋简体" w:cs="方正仿宋简体"/>
          <w:b/>
          <w:bCs/>
          <w:color w:val="000000" w:themeColor="text1"/>
          <w:kern w:val="0"/>
          <w:sz w:val="32"/>
          <w:szCs w:val="32"/>
          <w:highlight w:val="none"/>
          <w:lang w:val="en-US" w:eastAsia="zh-CN"/>
          <w14:textFill>
            <w14:solidFill>
              <w14:schemeClr w14:val="tx1"/>
            </w14:solidFill>
          </w14:textFill>
        </w:rPr>
        <w:t>4</w:t>
      </w:r>
      <w:r>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t>年，</w:t>
      </w:r>
      <w:r>
        <w:rPr>
          <w:rFonts w:hint="eastAsia" w:ascii="Times New Roman" w:hAnsi="Times New Roman" w:eastAsia="方正仿宋简体" w:cs="方正仿宋简体"/>
          <w:b/>
          <w:bCs/>
          <w:color w:val="000000" w:themeColor="text1"/>
          <w:kern w:val="0"/>
          <w:sz w:val="32"/>
          <w:szCs w:val="32"/>
          <w:highlight w:val="none"/>
          <w:lang w:val="en-US" w:eastAsia="zh-CN"/>
          <w14:textFill>
            <w14:solidFill>
              <w14:schemeClr w14:val="tx1"/>
            </w14:solidFill>
          </w14:textFill>
        </w:rPr>
        <w:t>圣水峪镇</w:t>
      </w:r>
      <w:r>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t>共承办</w:t>
      </w:r>
      <w:r>
        <w:rPr>
          <w:rFonts w:hint="eastAsia" w:ascii="Times New Roman" w:hAnsi="Times New Roman" w:eastAsia="方正仿宋简体" w:cs="方正仿宋简体"/>
          <w:b/>
          <w:bCs/>
          <w:color w:val="000000" w:themeColor="text1"/>
          <w:kern w:val="0"/>
          <w:sz w:val="32"/>
          <w:szCs w:val="32"/>
          <w:highlight w:val="none"/>
          <w:lang w:val="en-US" w:eastAsia="zh-CN"/>
          <w14:textFill>
            <w14:solidFill>
              <w14:schemeClr w14:val="tx1"/>
            </w14:solidFill>
          </w14:textFill>
        </w:rPr>
        <w:t>县</w:t>
      </w:r>
      <w:r>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t>级人大建议</w:t>
      </w:r>
      <w:r>
        <w:rPr>
          <w:rFonts w:hint="eastAsia" w:ascii="Times New Roman" w:hAnsi="Times New Roman" w:eastAsia="方正仿宋简体" w:cs="方正仿宋简体"/>
          <w:b/>
          <w:bCs/>
          <w:color w:val="000000" w:themeColor="text1"/>
          <w:kern w:val="0"/>
          <w:sz w:val="32"/>
          <w:szCs w:val="32"/>
          <w:highlight w:val="none"/>
          <w:lang w:val="en-US" w:eastAsia="zh-CN"/>
          <w14:textFill>
            <w14:solidFill>
              <w14:schemeClr w14:val="tx1"/>
            </w14:solidFill>
          </w14:textFill>
        </w:rPr>
        <w:t>4</w:t>
      </w:r>
      <w:r>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t>件，政协提案</w:t>
      </w:r>
      <w:r>
        <w:rPr>
          <w:rFonts w:hint="eastAsia" w:ascii="Times New Roman" w:hAnsi="Times New Roman" w:eastAsia="方正仿宋简体" w:cs="方正仿宋简体"/>
          <w:b/>
          <w:bCs/>
          <w:color w:val="000000" w:themeColor="text1"/>
          <w:kern w:val="0"/>
          <w:sz w:val="32"/>
          <w:szCs w:val="32"/>
          <w:highlight w:val="none"/>
          <w:lang w:val="en-US" w:eastAsia="zh-CN"/>
          <w14:textFill>
            <w14:solidFill>
              <w14:schemeClr w14:val="tx1"/>
            </w14:solidFill>
          </w14:textFill>
        </w:rPr>
        <w:t>12</w:t>
      </w:r>
      <w:r>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t>件。</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方正楷体简体" w:cs="方正楷体简体"/>
          <w:b/>
          <w:bCs/>
          <w:color w:val="000000" w:themeColor="text1"/>
          <w:kern w:val="0"/>
          <w:sz w:val="32"/>
          <w:szCs w:val="32"/>
          <w:highlight w:val="none"/>
          <w14:textFill>
            <w14:solidFill>
              <w14:schemeClr w14:val="tx1"/>
            </w14:solidFill>
          </w14:textFill>
        </w:rPr>
      </w:pPr>
      <w:r>
        <w:rPr>
          <w:rFonts w:hint="eastAsia" w:ascii="Times New Roman" w:hAnsi="Times New Roman" w:eastAsia="方正楷体简体" w:cs="方正楷体简体"/>
          <w:b/>
          <w:bCs/>
          <w:color w:val="000000" w:themeColor="text1"/>
          <w:kern w:val="0"/>
          <w:sz w:val="32"/>
          <w:szCs w:val="32"/>
          <w:highlight w:val="none"/>
          <w14:textFill>
            <w14:solidFill>
              <w14:schemeClr w14:val="tx1"/>
            </w14:solidFill>
          </w14:textFill>
        </w:rPr>
        <w:t>（四）本行政机关年度政务公开工作创新情况</w:t>
      </w:r>
      <w:r>
        <w:rPr>
          <w:rFonts w:hint="eastAsia" w:ascii="Times New Roman" w:hAnsi="Times New Roman" w:eastAsia="方正楷体简体" w:cs="方正楷体简体"/>
          <w:b/>
          <w:bCs/>
          <w:color w:val="000000" w:themeColor="text1"/>
          <w:kern w:val="0"/>
          <w:sz w:val="32"/>
          <w:szCs w:val="32"/>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pPr>
      <w:r>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t>坚持集中标准化公开。规划建设方便实用、节约高效的政务公开专区。按照“应公开尽公开”的原则，深化惠民政策、财务支出等重点领域信息的普及。加强政务服务事项标准化建设，提高办事效率，增强企业、群众的满意度和获得感。</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pPr>
      <w:r>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t>拓宽多渠道咨询互动。依托</w:t>
      </w:r>
      <w:r>
        <w:rPr>
          <w:rFonts w:hint="eastAsia" w:ascii="Times New Roman" w:hAnsi="Times New Roman" w:eastAsia="方正仿宋简体" w:cs="方正仿宋简体"/>
          <w:b/>
          <w:bCs/>
          <w:color w:val="000000" w:themeColor="text1"/>
          <w:kern w:val="0"/>
          <w:sz w:val="32"/>
          <w:szCs w:val="32"/>
          <w:highlight w:val="none"/>
          <w:lang w:eastAsia="zh-CN"/>
          <w14:textFill>
            <w14:solidFill>
              <w14:schemeClr w14:val="tx1"/>
            </w14:solidFill>
          </w14:textFill>
        </w:rPr>
        <w:t>圣水峪</w:t>
      </w:r>
      <w:r>
        <w:rPr>
          <w:rFonts w:hint="eastAsia" w:ascii="Times New Roman" w:hAnsi="Times New Roman" w:eastAsia="方正仿宋简体" w:cs="方正仿宋简体"/>
          <w:b/>
          <w:bCs/>
          <w:color w:val="000000" w:themeColor="text1"/>
          <w:kern w:val="0"/>
          <w:sz w:val="32"/>
          <w:szCs w:val="32"/>
          <w:highlight w:val="none"/>
          <w:lang w:val="en-US" w:eastAsia="zh-CN"/>
          <w14:textFill>
            <w14:solidFill>
              <w14:schemeClr w14:val="tx1"/>
            </w14:solidFill>
          </w14:textFill>
        </w:rPr>
        <w:t>镇为民服务中心</w:t>
      </w:r>
      <w:r>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t>政务公开专区、12345热线、微信群，向办事群众提供线上、线下咨询，增强回应群众关切的主动性和权威性。充分利用政务公开栏、政务公开平台、一封信、明白纸等形式进行多渠道公开，持续提升公开工作“时、度、效”。</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pPr>
      <w:r>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t>全面助力政策落地。坚持推进政务公开与政务服务融合，进一步改进工作作风、拓展服务能力、优化服务体验，协调解决办理过程中遇到的难点堵点，通过开展“政府开放日”活动，活用通俗易懂的语言做好政策普及，筑牢政民互动群众基础。</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方正楷体简体" w:cs="方正楷体简体"/>
          <w:b/>
          <w:bCs/>
          <w:color w:val="000000" w:themeColor="text1"/>
          <w:kern w:val="0"/>
          <w:sz w:val="32"/>
          <w:szCs w:val="32"/>
          <w:highlight w:val="none"/>
          <w14:textFill>
            <w14:solidFill>
              <w14:schemeClr w14:val="tx1"/>
            </w14:solidFill>
          </w14:textFill>
        </w:rPr>
      </w:pPr>
      <w:r>
        <w:rPr>
          <w:rFonts w:hint="eastAsia" w:ascii="Times New Roman" w:hAnsi="Times New Roman" w:eastAsia="方正楷体简体" w:cs="方正楷体简体"/>
          <w:b/>
          <w:bCs/>
          <w:color w:val="000000" w:themeColor="text1"/>
          <w:kern w:val="0"/>
          <w:sz w:val="32"/>
          <w:szCs w:val="32"/>
          <w:highlight w:val="none"/>
          <w14:textFill>
            <w14:solidFill>
              <w14:schemeClr w14:val="tx1"/>
            </w14:solidFill>
          </w14:textFill>
        </w:rPr>
        <w:t>（五）本行政机关政府信息公开工作年度报告数据统计需要说明的事项</w:t>
      </w:r>
      <w:r>
        <w:rPr>
          <w:rFonts w:hint="eastAsia" w:ascii="Times New Roman" w:hAnsi="Times New Roman" w:eastAsia="方正楷体简体" w:cs="方正楷体简体"/>
          <w:b/>
          <w:bCs/>
          <w:color w:val="000000" w:themeColor="text1"/>
          <w:kern w:val="0"/>
          <w:sz w:val="32"/>
          <w:szCs w:val="32"/>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pPr>
      <w:r>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t>无</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方正楷体简体" w:cs="方正楷体简体"/>
          <w:b/>
          <w:bCs/>
          <w:color w:val="000000" w:themeColor="text1"/>
          <w:kern w:val="0"/>
          <w:sz w:val="32"/>
          <w:szCs w:val="32"/>
          <w:highlight w:val="none"/>
          <w14:textFill>
            <w14:solidFill>
              <w14:schemeClr w14:val="tx1"/>
            </w14:solidFill>
          </w14:textFill>
        </w:rPr>
      </w:pPr>
      <w:r>
        <w:rPr>
          <w:rFonts w:hint="eastAsia" w:ascii="Times New Roman" w:hAnsi="Times New Roman" w:eastAsia="方正楷体简体" w:cs="方正楷体简体"/>
          <w:b/>
          <w:bCs/>
          <w:color w:val="000000" w:themeColor="text1"/>
          <w:kern w:val="0"/>
          <w:sz w:val="32"/>
          <w:szCs w:val="32"/>
          <w:highlight w:val="none"/>
          <w14:textFill>
            <w14:solidFill>
              <w14:schemeClr w14:val="tx1"/>
            </w14:solidFill>
          </w14:textFill>
        </w:rPr>
        <w:t>（六）本行政机关认为需要报告的其他事项</w:t>
      </w:r>
      <w:r>
        <w:rPr>
          <w:rFonts w:hint="eastAsia" w:ascii="Times New Roman" w:hAnsi="Times New Roman" w:eastAsia="方正楷体简体" w:cs="方正楷体简体"/>
          <w:b/>
          <w:bCs/>
          <w:color w:val="000000" w:themeColor="text1"/>
          <w:kern w:val="0"/>
          <w:sz w:val="32"/>
          <w:szCs w:val="32"/>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pPr>
      <w:r>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t>无</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方正楷体简体" w:cs="方正楷体简体"/>
          <w:b/>
          <w:bCs/>
          <w:color w:val="000000" w:themeColor="text1"/>
          <w:kern w:val="0"/>
          <w:sz w:val="32"/>
          <w:szCs w:val="32"/>
          <w:highlight w:val="none"/>
          <w:lang w:eastAsia="zh-CN"/>
          <w14:textFill>
            <w14:solidFill>
              <w14:schemeClr w14:val="tx1"/>
            </w14:solidFill>
          </w14:textFill>
        </w:rPr>
      </w:pPr>
      <w:r>
        <w:rPr>
          <w:rFonts w:hint="eastAsia" w:ascii="Times New Roman" w:hAnsi="Times New Roman" w:eastAsia="方正楷体简体" w:cs="方正楷体简体"/>
          <w:b/>
          <w:bCs/>
          <w:color w:val="000000" w:themeColor="text1"/>
          <w:kern w:val="0"/>
          <w:sz w:val="32"/>
          <w:szCs w:val="32"/>
          <w:highlight w:val="none"/>
          <w14:textFill>
            <w14:solidFill>
              <w14:schemeClr w14:val="tx1"/>
            </w14:solidFill>
          </w14:textFill>
        </w:rPr>
        <w:t>（七）其他有关文件专门要求通过政府信息公开工作年度报告予以报告的事项</w:t>
      </w:r>
      <w:r>
        <w:rPr>
          <w:rFonts w:hint="eastAsia" w:ascii="Times New Roman" w:hAnsi="Times New Roman" w:eastAsia="方正楷体简体" w:cs="方正楷体简体"/>
          <w:b/>
          <w:bCs/>
          <w:color w:val="000000" w:themeColor="text1"/>
          <w:kern w:val="0"/>
          <w:sz w:val="32"/>
          <w:szCs w:val="32"/>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pPr>
      <w:r>
        <w:rPr>
          <w:rFonts w:hint="eastAsia" w:ascii="Times New Roman" w:hAnsi="Times New Roman" w:eastAsia="方正仿宋简体" w:cs="方正仿宋简体"/>
          <w:b/>
          <w:bCs/>
          <w:color w:val="000000" w:themeColor="text1"/>
          <w:kern w:val="0"/>
          <w:sz w:val="32"/>
          <w:szCs w:val="32"/>
          <w:highlight w:val="none"/>
          <w14:textFill>
            <w14:solidFill>
              <w14:schemeClr w14:val="tx1"/>
            </w14:solidFill>
          </w14:textFill>
        </w:rPr>
        <w:t>无</w:t>
      </w:r>
    </w:p>
    <w:sectPr>
      <w:footerReference r:id="rId3" w:type="default"/>
      <w:pgSz w:w="11906" w:h="16838"/>
      <w:pgMar w:top="2098" w:right="1531" w:bottom="1531" w:left="1531" w:header="851" w:footer="1474"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1" w:fontKey="{A797A2BA-B1CC-4C02-BE52-C0FFD08A7B9F}"/>
  </w:font>
  <w:font w:name="等线">
    <w:altName w:val="微软雅黑"/>
    <w:panose1 w:val="02010600030101010101"/>
    <w:charset w:val="86"/>
    <w:family w:val="auto"/>
    <w:pitch w:val="default"/>
    <w:sig w:usb0="00000000" w:usb1="00000000" w:usb2="00000016" w:usb3="00000000" w:csb0="0004000F" w:csb1="00000000"/>
  </w:font>
  <w:font w:name="方正小标宋简体">
    <w:panose1 w:val="02010601030101010101"/>
    <w:charset w:val="86"/>
    <w:family w:val="script"/>
    <w:pitch w:val="default"/>
    <w:sig w:usb0="00000001" w:usb1="080E0000" w:usb2="00000000" w:usb3="00000000" w:csb0="00040000" w:csb1="00000000"/>
    <w:embedRegular r:id="rId2" w:fontKey="{9F080074-9451-48C9-A13D-FE76A16E20C9}"/>
  </w:font>
  <w:font w:name="方正仿宋简体">
    <w:panose1 w:val="02010601030101010101"/>
    <w:charset w:val="86"/>
    <w:family w:val="auto"/>
    <w:pitch w:val="default"/>
    <w:sig w:usb0="00000001" w:usb1="080E0000" w:usb2="00000000" w:usb3="00000000" w:csb0="00040000" w:csb1="00000000"/>
    <w:embedRegular r:id="rId3" w:fontKey="{4B798427-FF72-49B9-926F-19798A9319B3}"/>
  </w:font>
  <w:font w:name="方正黑体简体">
    <w:panose1 w:val="02010601030101010101"/>
    <w:charset w:val="86"/>
    <w:family w:val="auto"/>
    <w:pitch w:val="default"/>
    <w:sig w:usb0="00000001" w:usb1="080E0000" w:usb2="00000000" w:usb3="00000000" w:csb0="00040000" w:csb1="00000000"/>
    <w:embedRegular r:id="rId4" w:fontKey="{E09EE107-7240-4019-A48E-0600BAAC6A81}"/>
  </w:font>
  <w:font w:name="方正楷体简体">
    <w:panose1 w:val="03000509000000000000"/>
    <w:charset w:val="86"/>
    <w:family w:val="auto"/>
    <w:pitch w:val="default"/>
    <w:sig w:usb0="00000001" w:usb1="080E0000" w:usb2="00000000" w:usb3="00000000" w:csb0="00040000" w:csb1="00000000"/>
    <w:embedRegular r:id="rId5" w:fontKey="{1066099E-1A8A-46D0-9BC9-151F4100D937}"/>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 </w:t>
                          </w:r>
                          <w:r>
                            <w:rPr>
                              <w:rFonts w:hint="default" w:ascii="Times New Roman" w:hAnsi="Times New Roman" w:cs="Times New Roman"/>
                              <w:b/>
                              <w:bCs/>
                              <w:sz w:val="28"/>
                              <w:szCs w:val="28"/>
                            </w:rPr>
                            <w:fldChar w:fldCharType="begin"/>
                          </w:r>
                          <w:r>
                            <w:rPr>
                              <w:rFonts w:hint="default" w:ascii="Times New Roman" w:hAnsi="Times New Roman" w:cs="Times New Roman"/>
                              <w:b/>
                              <w:bCs/>
                              <w:sz w:val="28"/>
                              <w:szCs w:val="28"/>
                            </w:rPr>
                            <w:instrText xml:space="preserve"> PAGE  \* MERGEFORMAT </w:instrText>
                          </w:r>
                          <w:r>
                            <w:rPr>
                              <w:rFonts w:hint="default" w:ascii="Times New Roman" w:hAnsi="Times New Roman" w:cs="Times New Roman"/>
                              <w:b/>
                              <w:bCs/>
                              <w:sz w:val="28"/>
                              <w:szCs w:val="28"/>
                            </w:rPr>
                            <w:fldChar w:fldCharType="separate"/>
                          </w:r>
                          <w:r>
                            <w:rPr>
                              <w:rFonts w:hint="default" w:ascii="Times New Roman" w:hAnsi="Times New Roman" w:cs="Times New Roman"/>
                              <w:b/>
                              <w:bCs/>
                              <w:sz w:val="28"/>
                              <w:szCs w:val="28"/>
                            </w:rPr>
                            <w:t>1</w:t>
                          </w:r>
                          <w:r>
                            <w:rPr>
                              <w:rFonts w:hint="default" w:ascii="Times New Roman" w:hAnsi="Times New Roman" w:cs="Times New Roman"/>
                              <w:b/>
                              <w:bCs/>
                              <w:sz w:val="28"/>
                              <w:szCs w:val="28"/>
                            </w:rPr>
                            <w:fldChar w:fldCharType="end"/>
                          </w:r>
                          <w:r>
                            <w:rPr>
                              <w:rFonts w:hint="default" w:ascii="Times New Roman" w:hAnsi="Times New Roman" w:cs="Times New Roman"/>
                              <w:b/>
                              <w:bCs/>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 </w:t>
                    </w:r>
                    <w:r>
                      <w:rPr>
                        <w:rFonts w:hint="default" w:ascii="Times New Roman" w:hAnsi="Times New Roman" w:cs="Times New Roman"/>
                        <w:b/>
                        <w:bCs/>
                        <w:sz w:val="28"/>
                        <w:szCs w:val="28"/>
                      </w:rPr>
                      <w:fldChar w:fldCharType="begin"/>
                    </w:r>
                    <w:r>
                      <w:rPr>
                        <w:rFonts w:hint="default" w:ascii="Times New Roman" w:hAnsi="Times New Roman" w:cs="Times New Roman"/>
                        <w:b/>
                        <w:bCs/>
                        <w:sz w:val="28"/>
                        <w:szCs w:val="28"/>
                      </w:rPr>
                      <w:instrText xml:space="preserve"> PAGE  \* MERGEFORMAT </w:instrText>
                    </w:r>
                    <w:r>
                      <w:rPr>
                        <w:rFonts w:hint="default" w:ascii="Times New Roman" w:hAnsi="Times New Roman" w:cs="Times New Roman"/>
                        <w:b/>
                        <w:bCs/>
                        <w:sz w:val="28"/>
                        <w:szCs w:val="28"/>
                      </w:rPr>
                      <w:fldChar w:fldCharType="separate"/>
                    </w:r>
                    <w:r>
                      <w:rPr>
                        <w:rFonts w:hint="default" w:ascii="Times New Roman" w:hAnsi="Times New Roman" w:cs="Times New Roman"/>
                        <w:b/>
                        <w:bCs/>
                        <w:sz w:val="28"/>
                        <w:szCs w:val="28"/>
                      </w:rPr>
                      <w:t>1</w:t>
                    </w:r>
                    <w:r>
                      <w:rPr>
                        <w:rFonts w:hint="default" w:ascii="Times New Roman" w:hAnsi="Times New Roman" w:cs="Times New Roman"/>
                        <w:b/>
                        <w:bCs/>
                        <w:sz w:val="28"/>
                        <w:szCs w:val="28"/>
                      </w:rPr>
                      <w:fldChar w:fldCharType="end"/>
                    </w:r>
                    <w:r>
                      <w:rPr>
                        <w:rFonts w:hint="default" w:ascii="Times New Roman" w:hAnsi="Times New Roman" w:cs="Times New Roman"/>
                        <w:b/>
                        <w:bCs/>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EwNzE0MDhkMjUwNDdlNDVlY2FkM2UxMGQ3N2U3YTkifQ=="/>
    <w:docVar w:name="KSO_WPS_MARK_KEY" w:val="b784e2b4-6866-474e-b9c9-21b3d1e63e6d"/>
  </w:docVars>
  <w:rsids>
    <w:rsidRoot w:val="00822937"/>
    <w:rsid w:val="0000264F"/>
    <w:rsid w:val="00130BD2"/>
    <w:rsid w:val="00152259"/>
    <w:rsid w:val="001A6FCA"/>
    <w:rsid w:val="00301C92"/>
    <w:rsid w:val="003E39E2"/>
    <w:rsid w:val="004D12DF"/>
    <w:rsid w:val="006B0959"/>
    <w:rsid w:val="007549C2"/>
    <w:rsid w:val="00822937"/>
    <w:rsid w:val="008666BE"/>
    <w:rsid w:val="008869A9"/>
    <w:rsid w:val="00A2374A"/>
    <w:rsid w:val="00A270EE"/>
    <w:rsid w:val="00A745B9"/>
    <w:rsid w:val="00E0643A"/>
    <w:rsid w:val="00F44306"/>
    <w:rsid w:val="0B4A11AF"/>
    <w:rsid w:val="0E7106D6"/>
    <w:rsid w:val="14D56253"/>
    <w:rsid w:val="16BF4809"/>
    <w:rsid w:val="2AE03F75"/>
    <w:rsid w:val="2CF34F42"/>
    <w:rsid w:val="2E776A11"/>
    <w:rsid w:val="30153857"/>
    <w:rsid w:val="35520B05"/>
    <w:rsid w:val="3B245BEC"/>
    <w:rsid w:val="405905DD"/>
    <w:rsid w:val="411647D2"/>
    <w:rsid w:val="51137B9E"/>
    <w:rsid w:val="52581AE4"/>
    <w:rsid w:val="5B0B1E96"/>
    <w:rsid w:val="5CDF79EE"/>
    <w:rsid w:val="649E385E"/>
    <w:rsid w:val="6E845069"/>
    <w:rsid w:val="7D8A41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tabs>
        <w:tab w:val="center" w:pos="4153"/>
        <w:tab w:val="right" w:pos="8306"/>
      </w:tabs>
      <w:snapToGrid w:val="0"/>
      <w:jc w:val="center"/>
    </w:pPr>
    <w:rPr>
      <w:sz w:val="18"/>
      <w:szCs w:val="18"/>
    </w:rPr>
  </w:style>
  <w:style w:type="paragraph" w:styleId="4">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6">
    <w:name w:val="Strong"/>
    <w:basedOn w:val="5"/>
    <w:qFormat/>
    <w:uiPriority w:val="22"/>
    <w:rPr>
      <w:b/>
      <w:bCs/>
    </w:rPr>
  </w:style>
  <w:style w:type="character" w:customStyle="1" w:styleId="8">
    <w:name w:val="word"/>
    <w:basedOn w:val="5"/>
    <w:qFormat/>
    <w:uiPriority w:val="0"/>
  </w:style>
  <w:style w:type="character" w:customStyle="1" w:styleId="9">
    <w:name w:val="页眉 字符"/>
    <w:basedOn w:val="5"/>
    <w:link w:val="3"/>
    <w:qFormat/>
    <w:uiPriority w:val="99"/>
    <w:rPr>
      <w:sz w:val="18"/>
      <w:szCs w:val="18"/>
    </w:rPr>
  </w:style>
  <w:style w:type="character" w:customStyle="1" w:styleId="10">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68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主动公开情况</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14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工作动态</c:v>
                </c:pt>
                <c:pt idx="1">
                  <c:v>通知公告</c:v>
                </c:pt>
                <c:pt idx="2">
                  <c:v>机构职能</c:v>
                </c:pt>
                <c:pt idx="3">
                  <c:v>信息公开年报</c:v>
                </c:pt>
              </c:strCache>
            </c:strRef>
          </c:cat>
          <c:val>
            <c:numRef>
              <c:f>Sheet1!$B$2:$B$5</c:f>
              <c:numCache>
                <c:formatCode>General</c:formatCode>
                <c:ptCount val="4"/>
                <c:pt idx="0">
                  <c:v>31</c:v>
                </c:pt>
                <c:pt idx="1">
                  <c:v>4</c:v>
                </c:pt>
                <c:pt idx="2">
                  <c:v>1</c:v>
                </c:pt>
                <c:pt idx="3">
                  <c:v>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egendEntry>
        <c:idx val="0"/>
        <c:txPr>
          <a:bodyPr rot="0" spcFirstLastPara="0" vertOverflow="ellipsis" vert="horz" wrap="square" anchor="ctr" anchorCtr="1"/>
          <a:lstStyle/>
          <a:p>
            <a:pPr>
              <a:defRPr lang="zh-CN" sz="1400" b="0" i="0" u="none" strike="noStrike" kern="1200" baseline="0">
                <a:solidFill>
                  <a:schemeClr val="tx1">
                    <a:lumMod val="65000"/>
                    <a:lumOff val="35000"/>
                  </a:schemeClr>
                </a:solidFill>
                <a:latin typeface="+mn-lt"/>
                <a:ea typeface="+mn-ea"/>
                <a:cs typeface="+mn-cs"/>
              </a:defRPr>
            </a:pPr>
          </a:p>
        </c:txPr>
      </c:legendEntry>
      <c:legendEntry>
        <c:idx val="1"/>
        <c:txPr>
          <a:bodyPr rot="0" spcFirstLastPara="0" vertOverflow="ellipsis" vert="horz" wrap="square" anchor="ctr" anchorCtr="1"/>
          <a:lstStyle/>
          <a:p>
            <a:pPr>
              <a:defRPr lang="zh-CN" sz="1400" b="0" i="0" u="none" strike="noStrike" kern="1200" baseline="0">
                <a:solidFill>
                  <a:schemeClr val="tx1">
                    <a:lumMod val="65000"/>
                    <a:lumOff val="35000"/>
                  </a:schemeClr>
                </a:solidFill>
                <a:latin typeface="+mn-lt"/>
                <a:ea typeface="+mn-ea"/>
                <a:cs typeface="+mn-cs"/>
              </a:defRPr>
            </a:pPr>
          </a:p>
        </c:txPr>
      </c:legendEntry>
      <c:legendEntry>
        <c:idx val="2"/>
        <c:txPr>
          <a:bodyPr rot="0" spcFirstLastPara="0" vertOverflow="ellipsis" vert="horz" wrap="square" anchor="ctr" anchorCtr="1"/>
          <a:lstStyle/>
          <a:p>
            <a:pPr>
              <a:defRPr lang="zh-CN" sz="1400" b="0" i="0" u="none" strike="noStrike" kern="1200" baseline="0">
                <a:solidFill>
                  <a:schemeClr val="tx1">
                    <a:lumMod val="65000"/>
                    <a:lumOff val="35000"/>
                  </a:schemeClr>
                </a:solidFill>
                <a:latin typeface="+mn-lt"/>
                <a:ea typeface="+mn-ea"/>
                <a:cs typeface="+mn-cs"/>
              </a:defRPr>
            </a:pPr>
          </a:p>
        </c:txPr>
      </c:legendEntry>
      <c:legendEntry>
        <c:idx val="3"/>
        <c:txPr>
          <a:bodyPr rot="0" spcFirstLastPara="0" vertOverflow="ellipsis" vert="horz" wrap="square" anchor="ctr" anchorCtr="1"/>
          <a:lstStyle/>
          <a:p>
            <a:pPr>
              <a:defRPr lang="zh-CN" sz="1400" b="0" i="0" u="none" strike="noStrike" kern="1200" baseline="0">
                <a:solidFill>
                  <a:schemeClr val="tx1">
                    <a:lumMod val="65000"/>
                    <a:lumOff val="35000"/>
                  </a:schemeClr>
                </a:solidFill>
                <a:latin typeface="+mn-lt"/>
                <a:ea typeface="+mn-ea"/>
                <a:cs typeface="+mn-cs"/>
              </a:defRPr>
            </a:pPr>
          </a:p>
        </c:txPr>
      </c:legendEntry>
      <c:layout/>
      <c:overlay val="0"/>
      <c:spPr>
        <a:noFill/>
        <a:ln>
          <a:noFill/>
        </a:ln>
        <a:effectLst/>
      </c:spPr>
      <c:txPr>
        <a:bodyPr rot="0" spcFirstLastPara="0" vertOverflow="ellipsis" vert="horz" wrap="square" anchor="ctr" anchorCtr="1"/>
        <a:lstStyle/>
        <a:p>
          <a:pPr>
            <a:defRPr lang="zh-CN" sz="14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sz="1400"/>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2308</Words>
  <Characters>2375</Characters>
  <Lines>26</Lines>
  <Paragraphs>7</Paragraphs>
  <TotalTime>3</TotalTime>
  <ScaleCrop>false</ScaleCrop>
  <LinksUpToDate>false</LinksUpToDate>
  <CharactersWithSpaces>2375</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2023-01-18T14:42:00Z</dcterms:created>
  <dc:creator>james xz</dc:creator>
  <cp:lastModifiedBy>Administrator</cp:lastModifiedBy>
  <cp:lastPrinted>2023-02-05T13:17:00Z</cp:lastPrinted>
  <dcterms:modified xsi:type="dcterms:W3CDTF">2025-02-08T01:00:39Z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AC407760108B4E0394034437A6544B80_13</vt:lpwstr>
  </property>
  <property fmtid="{D5CDD505-2E9C-101B-9397-08002B2CF9AE}" pid="4" name="KSOTemplateDocerSaveRecord">
    <vt:lpwstr>eyJoZGlkIjoiNzczMjU0ZjA1NWIzMmY2MzYxZjAxZWRlMDdhMDhhNjkifQ==</vt:lpwstr>
  </property>
</Properties>
</file>