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仿宋" w:hAnsi="仿宋" w:eastAsia="仿宋" w:cs="仿宋"/>
          <w:b/>
          <w:kern w:val="0"/>
          <w:sz w:val="56"/>
          <w:szCs w:val="56"/>
          <w:highlight w:val="none"/>
          <w14:ligatures w14:val="none"/>
        </w:rPr>
      </w:pPr>
      <w:bookmarkStart w:id="0" w:name="_Toc7152"/>
      <w:r>
        <w:rPr>
          <w:rFonts w:hint="eastAsia" w:ascii="仿宋" w:hAnsi="仿宋" w:eastAsia="仿宋" w:cs="仿宋"/>
          <w:b/>
          <w:kern w:val="0"/>
          <w:sz w:val="56"/>
          <w:szCs w:val="56"/>
          <w:highlight w:val="none"/>
          <w14:ligatures w14:val="none"/>
        </w:rPr>
        <w:t>济宁市</w:t>
      </w:r>
      <w:bookmarkStart w:id="1" w:name="_Hlk136969038"/>
      <w:r>
        <w:rPr>
          <w:rFonts w:hint="eastAsia" w:ascii="仿宋" w:hAnsi="仿宋" w:eastAsia="仿宋" w:cs="仿宋"/>
          <w:b/>
          <w:kern w:val="0"/>
          <w:sz w:val="56"/>
          <w:szCs w:val="56"/>
          <w:highlight w:val="none"/>
          <w14:ligatures w14:val="none"/>
        </w:rPr>
        <w:t>泗水县省级生态文明建设示范区</w:t>
      </w:r>
      <w:bookmarkEnd w:id="1"/>
      <w:r>
        <w:rPr>
          <w:rFonts w:hint="eastAsia" w:ascii="仿宋" w:hAnsi="仿宋" w:eastAsia="仿宋" w:cs="仿宋"/>
          <w:b/>
          <w:kern w:val="0"/>
          <w:sz w:val="56"/>
          <w:szCs w:val="56"/>
          <w:highlight w:val="none"/>
          <w14:ligatures w14:val="none"/>
        </w:rPr>
        <w:t>规划（2023-2030年）</w:t>
      </w:r>
      <w:bookmarkEnd w:id="0"/>
    </w:p>
    <w:p>
      <w:pPr>
        <w:spacing w:line="360" w:lineRule="auto"/>
        <w:jc w:val="center"/>
        <w:outlineLvl w:val="0"/>
        <w:rPr>
          <w:rFonts w:hint="eastAsia" w:ascii="仿宋" w:hAnsi="仿宋" w:eastAsia="仿宋" w:cs="仿宋"/>
          <w:b/>
          <w:kern w:val="0"/>
          <w:sz w:val="56"/>
          <w:szCs w:val="56"/>
          <w:highlight w:val="none"/>
          <w:lang w:eastAsia="zh-CN"/>
          <w14:ligatures w14:val="none"/>
        </w:rPr>
      </w:pPr>
      <w:bookmarkStart w:id="2" w:name="_Toc15139"/>
      <w:r>
        <w:rPr>
          <w:rFonts w:hint="eastAsia" w:ascii="仿宋" w:hAnsi="仿宋" w:eastAsia="仿宋" w:cs="仿宋"/>
          <w:b/>
          <w:kern w:val="0"/>
          <w:sz w:val="56"/>
          <w:szCs w:val="56"/>
          <w:highlight w:val="none"/>
          <w14:ligatures w14:val="none"/>
        </w:rPr>
        <w:t>文本</w:t>
      </w:r>
      <w:bookmarkEnd w:id="2"/>
      <w:r>
        <w:rPr>
          <w:rFonts w:hint="eastAsia" w:ascii="仿宋" w:hAnsi="仿宋" w:eastAsia="仿宋" w:cs="仿宋"/>
          <w:b/>
          <w:kern w:val="0"/>
          <w:sz w:val="56"/>
          <w:szCs w:val="56"/>
          <w:highlight w:val="none"/>
          <w:lang w:eastAsia="zh-CN"/>
          <w14:ligatures w14:val="none"/>
        </w:rPr>
        <w:t>（</w:t>
      </w:r>
      <w:r>
        <w:rPr>
          <w:rFonts w:hint="eastAsia" w:ascii="仿宋" w:hAnsi="仿宋" w:eastAsia="仿宋" w:cs="仿宋"/>
          <w:b/>
          <w:kern w:val="0"/>
          <w:sz w:val="56"/>
          <w:szCs w:val="56"/>
          <w:highlight w:val="none"/>
          <w:lang w:val="en-US" w:eastAsia="zh-CN"/>
          <w14:ligatures w14:val="none"/>
        </w:rPr>
        <w:t>草案</w:t>
      </w:r>
      <w:bookmarkStart w:id="35" w:name="_GoBack"/>
      <w:bookmarkEnd w:id="35"/>
      <w:r>
        <w:rPr>
          <w:rFonts w:hint="eastAsia" w:ascii="仿宋" w:hAnsi="仿宋" w:eastAsia="仿宋" w:cs="仿宋"/>
          <w:b/>
          <w:kern w:val="0"/>
          <w:sz w:val="56"/>
          <w:szCs w:val="56"/>
          <w:highlight w:val="none"/>
          <w:lang w:eastAsia="zh-CN"/>
          <w14:ligatures w14:val="none"/>
        </w:rPr>
        <w:t>）</w:t>
      </w:r>
    </w:p>
    <w:p>
      <w:pPr>
        <w:jc w:val="both"/>
        <w:rPr>
          <w:bCs/>
          <w:sz w:val="40"/>
          <w:szCs w:val="40"/>
          <w:highlight w:val="none"/>
        </w:rPr>
      </w:pPr>
    </w:p>
    <w:p>
      <w:pPr>
        <w:pStyle w:val="10"/>
        <w:rPr>
          <w:highlight w:val="none"/>
        </w:rPr>
      </w:pPr>
    </w:p>
    <w:p>
      <w:pPr>
        <w:pStyle w:val="15"/>
        <w:rPr>
          <w:bCs/>
          <w:sz w:val="40"/>
          <w:szCs w:val="40"/>
          <w:highlight w:val="none"/>
        </w:rPr>
      </w:pPr>
    </w:p>
    <w:p>
      <w:pPr>
        <w:spacing w:before="156" w:beforeLines="50" w:after="156" w:afterLines="50"/>
        <w:jc w:val="center"/>
        <w:rPr>
          <w:rFonts w:ascii="Times New Roman" w:hAnsi="Times New Roman"/>
          <w:bCs/>
          <w:sz w:val="36"/>
          <w:szCs w:val="36"/>
          <w:highlight w:val="none"/>
        </w:rPr>
        <w:sectPr>
          <w:headerReference r:id="rId6" w:type="first"/>
          <w:footerReference r:id="rId9" w:type="first"/>
          <w:headerReference r:id="rId4" w:type="default"/>
          <w:footerReference r:id="rId7" w:type="default"/>
          <w:headerReference r:id="rId5" w:type="even"/>
          <w:footerReference r:id="rId8" w:type="even"/>
          <w:pgSz w:w="11906" w:h="16838"/>
          <w:pgMar w:top="1270" w:right="1463" w:bottom="1270" w:left="1519" w:header="851" w:footer="992" w:gutter="0"/>
          <w:cols w:space="720" w:num="1"/>
          <w:docGrid w:type="lines" w:linePitch="312" w:charSpace="0"/>
        </w:sectPr>
      </w:pPr>
    </w:p>
    <w:p>
      <w:pPr>
        <w:jc w:val="center"/>
        <w:outlineLvl w:val="0"/>
        <w:rPr>
          <w:rFonts w:ascii="黑体" w:hAnsi="黑体" w:eastAsia="黑体" w:cs="黑体"/>
          <w:bCs/>
          <w:sz w:val="40"/>
          <w:szCs w:val="40"/>
          <w:highlight w:val="none"/>
        </w:rPr>
      </w:pPr>
      <w:bookmarkStart w:id="3" w:name="_Toc18849"/>
      <w:r>
        <w:rPr>
          <w:rFonts w:hint="eastAsia" w:ascii="黑体" w:hAnsi="黑体" w:eastAsia="黑体" w:cs="黑体"/>
          <w:bCs/>
          <w:sz w:val="40"/>
          <w:szCs w:val="40"/>
          <w:highlight w:val="none"/>
        </w:rPr>
        <w:t>前言</w:t>
      </w:r>
      <w:bookmarkEnd w:id="3"/>
    </w:p>
    <w:p>
      <w:pPr>
        <w:spacing w:after="0" w:line="360" w:lineRule="auto"/>
        <w:ind w:firstLine="616" w:firstLineChars="200"/>
        <w:jc w:val="both"/>
        <w:rPr>
          <w:rFonts w:ascii="仿宋" w:hAnsi="仿宋" w:eastAsia="仿宋" w:cs="Times New Roman"/>
          <w:spacing w:val="-6"/>
          <w:kern w:val="0"/>
          <w:sz w:val="32"/>
          <w:szCs w:val="32"/>
          <w:highlight w:val="none"/>
          <w14:ligatures w14:val="none"/>
        </w:rPr>
      </w:pPr>
      <w:r>
        <w:rPr>
          <w:rFonts w:hint="eastAsia" w:ascii="仿宋" w:hAnsi="仿宋" w:eastAsia="仿宋" w:cs="仿宋"/>
          <w:spacing w:val="-6"/>
          <w:kern w:val="0"/>
          <w:sz w:val="32"/>
          <w:szCs w:val="32"/>
          <w:highlight w:val="none"/>
          <w14:ligatures w14:val="none"/>
        </w:rPr>
        <w:t>生态文明建设是中国特色社会主义事业的重要内容，关系人民福祉，关乎民族未来，事关“两个一百年”奋斗目标和中华民族伟大复兴中国梦的实现。党的十八大将生态文明建设纳入中国特色社会主义事业“五位一体”总体布局，“美丽中国”成为生态文明建设的远景目标。党的十九大提出，建设生态文明是中华民族永续发展的千年大计，功在当代、利在千秋。</w:t>
      </w:r>
      <w:r>
        <w:rPr>
          <w:rFonts w:hint="eastAsia" w:ascii="仿宋" w:hAnsi="仿宋" w:eastAsia="仿宋" w:cs="Times New Roman"/>
          <w:spacing w:val="-6"/>
          <w:kern w:val="0"/>
          <w:sz w:val="32"/>
          <w:szCs w:val="32"/>
          <w:highlight w:val="none"/>
          <w14:ligatures w14:val="none"/>
        </w:rPr>
        <w:t>党的二十大报告提出“推动绿色发展，促进人与自然和谐共生”，对生态文明建设进行顶层设计，为实现人与自然和谐共生的现代化提供了根本遵循。在生态文明建设上，必须牢固树立和践行绿水青山就是金山银山的理念，站在人与自然和谐共生的高度谋划发展，推进美丽中国建设，加快发展方式绿色转型，深入推进环境污染防治，提升生态系统多样性、稳定性、持续性，积极稳妥推进碳达峰碳中和，促进人与自然和谐共生，一系列重大部署，宣示了以习近平同志为核心的党中央推进生态文明建设的坚定决心。</w:t>
      </w:r>
    </w:p>
    <w:p>
      <w:pPr>
        <w:spacing w:after="0" w:line="360" w:lineRule="auto"/>
        <w:ind w:firstLine="616" w:firstLineChars="200"/>
        <w:jc w:val="both"/>
        <w:rPr>
          <w:highlight w:val="none"/>
        </w:rPr>
      </w:pPr>
      <w:r>
        <w:rPr>
          <w:rFonts w:hint="eastAsia" w:ascii="仿宋" w:hAnsi="仿宋" w:eastAsia="仿宋" w:cs="Times New Roman"/>
          <w:spacing w:val="-6"/>
          <w:kern w:val="0"/>
          <w:sz w:val="32"/>
          <w:szCs w:val="32"/>
          <w:highlight w:val="none"/>
          <w14:ligatures w14:val="none"/>
        </w:rPr>
        <w:t>“十四五”时期，我国生态文明建设进入以降碳为重点战略方向、推动减污降碳协同增效、促进经济社会发展全面绿色转型、实现生态环境质量改善由量变到质变的关键时期，也是山东省奋力实现“走在前列、全面开创”的关键时期。为深入践行习近平生态文明思想，贯彻落实党中央、国务院关于生态文明建设决策部署和全国生态环境保护大会有关要求，持续加强生态文明建设，加快建成“生态泗水、活力泗水、文化泗水、幸福泗水”，编制《济宁市泗水县省级生态文明建设示范区规划（2023-2030年）》。</w:t>
      </w:r>
    </w:p>
    <w:p>
      <w:pPr>
        <w:spacing w:after="0" w:line="360" w:lineRule="auto"/>
        <w:ind w:firstLine="616" w:firstLineChars="200"/>
        <w:jc w:val="both"/>
        <w:rPr>
          <w:rFonts w:ascii="仿宋" w:hAnsi="仿宋" w:eastAsia="仿宋" w:cs="仿宋"/>
          <w:spacing w:val="-6"/>
          <w:kern w:val="0"/>
          <w:sz w:val="32"/>
          <w:szCs w:val="32"/>
          <w:highlight w:val="none"/>
          <w14:ligatures w14:val="none"/>
        </w:rPr>
      </w:pPr>
      <w:r>
        <w:rPr>
          <w:rFonts w:hint="eastAsia" w:ascii="仿宋" w:hAnsi="仿宋" w:eastAsia="仿宋" w:cs="仿宋"/>
          <w:spacing w:val="-6"/>
          <w:kern w:val="0"/>
          <w:sz w:val="32"/>
          <w:szCs w:val="32"/>
          <w:highlight w:val="none"/>
          <w14:ligatures w14:val="none"/>
        </w:rPr>
        <w:t>规划是推进泗水县生态文明建设的顶层设计和总体谋划，指引全县生态文明建设。规划聚焦完善生态制度体系、提升生态安全水平、优化生态空间、发展生态经济、推广生态生活方式、繁荣生态文化等重点领域，确保党中央、国务院、山东省和济宁市关于生态文明建设的各项部署精准落地，不断厚植高质量发展的绿色底色，提升生态文明建设水平，推进美丽泗水建设，打造省级生态文明建设示范区。</w:t>
      </w:r>
    </w:p>
    <w:p>
      <w:pPr>
        <w:spacing w:after="0" w:line="360" w:lineRule="auto"/>
        <w:ind w:firstLine="616" w:firstLineChars="200"/>
        <w:jc w:val="both"/>
        <w:rPr>
          <w:rFonts w:ascii="仿宋" w:hAnsi="仿宋" w:eastAsia="仿宋" w:cs="仿宋"/>
          <w:spacing w:val="-6"/>
          <w:kern w:val="0"/>
          <w:sz w:val="32"/>
          <w:szCs w:val="32"/>
          <w:highlight w:val="none"/>
          <w14:ligatures w14:val="none"/>
        </w:rPr>
      </w:pPr>
      <w:r>
        <w:rPr>
          <w:rFonts w:hint="eastAsia" w:ascii="仿宋" w:hAnsi="仿宋" w:eastAsia="仿宋" w:cs="仿宋"/>
          <w:spacing w:val="-6"/>
          <w:kern w:val="0"/>
          <w:sz w:val="32"/>
          <w:szCs w:val="32"/>
          <w:highlight w:val="none"/>
          <w14:ligatures w14:val="none"/>
        </w:rPr>
        <w:t>本次规划范围为泗水县全域范围，总面积1118.12平方公里，包括2个街道、11个镇。规划期限为202</w:t>
      </w:r>
      <w:r>
        <w:rPr>
          <w:rFonts w:ascii="仿宋" w:hAnsi="仿宋" w:eastAsia="仿宋" w:cs="仿宋"/>
          <w:spacing w:val="-6"/>
          <w:kern w:val="0"/>
          <w:sz w:val="32"/>
          <w:szCs w:val="32"/>
          <w:highlight w:val="none"/>
          <w14:ligatures w14:val="none"/>
        </w:rPr>
        <w:t>3</w:t>
      </w:r>
      <w:r>
        <w:rPr>
          <w:rFonts w:hint="eastAsia" w:ascii="仿宋" w:hAnsi="仿宋" w:eastAsia="仿宋" w:cs="仿宋"/>
          <w:spacing w:val="-6"/>
          <w:kern w:val="0"/>
          <w:sz w:val="32"/>
          <w:szCs w:val="32"/>
          <w:highlight w:val="none"/>
          <w14:ligatures w14:val="none"/>
        </w:rPr>
        <w:t>年-2030年，基准年为2022年，规划分2个阶段：稳定达标期（2023年-2025年）和巩固提升期（2026年-2030年）。</w:t>
      </w:r>
    </w:p>
    <w:p>
      <w:pPr>
        <w:pStyle w:val="10"/>
        <w:ind w:firstLine="616"/>
        <w:rPr>
          <w:rFonts w:ascii="仿宋" w:hAnsi="仿宋" w:eastAsia="仿宋" w:cs="仿宋"/>
          <w:spacing w:val="-6"/>
          <w:sz w:val="32"/>
          <w:szCs w:val="32"/>
          <w:highlight w:val="none"/>
        </w:rPr>
        <w:sectPr>
          <w:pgSz w:w="11906" w:h="16838"/>
          <w:pgMar w:top="2098" w:right="1800" w:bottom="1814" w:left="1800" w:header="851" w:footer="992" w:gutter="0"/>
          <w:cols w:space="425" w:num="1"/>
          <w:docGrid w:type="lines" w:linePitch="312" w:charSpace="0"/>
        </w:sectPr>
      </w:pPr>
    </w:p>
    <w:sdt>
      <w:sdtPr>
        <w:rPr>
          <w:rFonts w:ascii="宋体" w:hAnsi="宋体" w:eastAsia="宋体"/>
          <w:i/>
          <w:iCs/>
          <w:sz w:val="22"/>
          <w:szCs w:val="22"/>
          <w:highlight w:val="none"/>
        </w:rPr>
        <w:id w:val="147480207"/>
        <w15:color w:val="DBDBDB"/>
        <w:docPartObj>
          <w:docPartGallery w:val="Table of Contents"/>
          <w:docPartUnique/>
        </w:docPartObj>
      </w:sdtPr>
      <w:sdtEndPr>
        <w:rPr>
          <w:rFonts w:ascii="Times New Roman" w:hAnsi="Times New Roman" w:eastAsia="宋体" w:cs="Times New Roman"/>
          <w:b/>
          <w:i/>
          <w:iCs/>
          <w:sz w:val="24"/>
          <w:szCs w:val="20"/>
          <w:highlight w:val="none"/>
          <w:lang w:bidi="th-TH"/>
        </w:rPr>
      </w:sdtEndPr>
      <w:sdtContent>
        <w:p>
          <w:pPr>
            <w:spacing w:after="0"/>
            <w:jc w:val="center"/>
            <w:rPr>
              <w:b/>
              <w:highlight w:val="none"/>
            </w:rPr>
          </w:pPr>
          <w:r>
            <w:rPr>
              <w:rFonts w:hint="eastAsia" w:ascii="仿宋" w:hAnsi="仿宋" w:eastAsia="仿宋" w:cs="仿宋"/>
              <w:b/>
              <w:bCs/>
              <w:sz w:val="32"/>
              <w:szCs w:val="32"/>
              <w:highlight w:val="none"/>
            </w:rPr>
            <w:t>目录</w:t>
          </w:r>
          <w:r>
            <w:rPr>
              <w:highlight w:val="none"/>
            </w:rPr>
            <w:fldChar w:fldCharType="begin"/>
          </w:r>
          <w:r>
            <w:rPr>
              <w:highlight w:val="none"/>
            </w:rPr>
            <w:instrText xml:space="preserve">TOC \o "1-2" \h \u </w:instrText>
          </w:r>
          <w:r>
            <w:rPr>
              <w:highlight w:val="none"/>
            </w:rPr>
            <w:fldChar w:fldCharType="separate"/>
          </w:r>
        </w:p>
        <w:p>
          <w:pPr>
            <w:pStyle w:val="36"/>
            <w:tabs>
              <w:tab w:val="right" w:leader="dot" w:pos="8306"/>
            </w:tabs>
            <w:spacing w:line="360" w:lineRule="auto"/>
            <w:rPr>
              <w:rFonts w:ascii="仿宋" w:hAnsi="仿宋" w:eastAsia="仿宋" w:cs="仿宋"/>
              <w:b/>
              <w:sz w:val="28"/>
              <w:szCs w:val="28"/>
              <w:highlight w:val="none"/>
            </w:rPr>
          </w:pPr>
          <w:r>
            <w:rPr>
              <w:highlight w:val="none"/>
            </w:rPr>
            <w:fldChar w:fldCharType="begin"/>
          </w:r>
          <w:r>
            <w:rPr>
              <w:highlight w:val="none"/>
            </w:rPr>
            <w:instrText xml:space="preserve"> HYPERLINK \l "_Toc19587" </w:instrText>
          </w:r>
          <w:r>
            <w:rPr>
              <w:highlight w:val="none"/>
            </w:rPr>
            <w:fldChar w:fldCharType="separate"/>
          </w:r>
          <w:r>
            <w:rPr>
              <w:rFonts w:hint="eastAsia" w:ascii="仿宋" w:hAnsi="仿宋" w:eastAsia="仿宋" w:cs="仿宋"/>
              <w:b/>
              <w:sz w:val="28"/>
              <w:szCs w:val="28"/>
              <w:highlight w:val="none"/>
            </w:rPr>
            <w:t>一、建设基础</w:t>
          </w:r>
          <w:r>
            <w:rPr>
              <w:rFonts w:hint="eastAsia" w:ascii="仿宋" w:hAnsi="仿宋" w:eastAsia="仿宋" w:cs="仿宋"/>
              <w:b/>
              <w:sz w:val="28"/>
              <w:szCs w:val="28"/>
              <w:highlight w:val="none"/>
            </w:rPr>
            <w:tab/>
          </w:r>
          <w:r>
            <w:rPr>
              <w:rFonts w:hint="eastAsia" w:ascii="仿宋" w:hAnsi="仿宋" w:eastAsia="仿宋" w:cs="仿宋"/>
              <w:b/>
              <w:sz w:val="28"/>
              <w:szCs w:val="28"/>
              <w:highlight w:val="none"/>
            </w:rPr>
            <w:fldChar w:fldCharType="begin"/>
          </w:r>
          <w:r>
            <w:rPr>
              <w:rFonts w:hint="eastAsia" w:ascii="仿宋" w:hAnsi="仿宋" w:eastAsia="仿宋" w:cs="仿宋"/>
              <w:b/>
              <w:sz w:val="28"/>
              <w:szCs w:val="28"/>
              <w:highlight w:val="none"/>
            </w:rPr>
            <w:instrText xml:space="preserve"> PAGEREF _Toc19587 \h </w:instrText>
          </w:r>
          <w:r>
            <w:rPr>
              <w:rFonts w:hint="eastAsia" w:ascii="仿宋" w:hAnsi="仿宋" w:eastAsia="仿宋" w:cs="仿宋"/>
              <w:b/>
              <w:sz w:val="28"/>
              <w:szCs w:val="28"/>
              <w:highlight w:val="none"/>
            </w:rPr>
            <w:fldChar w:fldCharType="separate"/>
          </w:r>
          <w:r>
            <w:rPr>
              <w:rFonts w:hint="eastAsia" w:ascii="仿宋" w:hAnsi="仿宋" w:eastAsia="仿宋" w:cs="仿宋"/>
              <w:b/>
              <w:sz w:val="28"/>
              <w:szCs w:val="28"/>
              <w:highlight w:val="none"/>
            </w:rPr>
            <w:t>1</w:t>
          </w:r>
          <w:r>
            <w:rPr>
              <w:rFonts w:hint="eastAsia" w:ascii="仿宋" w:hAnsi="仿宋" w:eastAsia="仿宋" w:cs="仿宋"/>
              <w:b/>
              <w:sz w:val="28"/>
              <w:szCs w:val="28"/>
              <w:highlight w:val="none"/>
            </w:rPr>
            <w:fldChar w:fldCharType="end"/>
          </w:r>
          <w:r>
            <w:rPr>
              <w:rFonts w:hint="eastAsia" w:ascii="仿宋" w:hAnsi="仿宋" w:eastAsia="仿宋" w:cs="仿宋"/>
              <w:b/>
              <w:sz w:val="28"/>
              <w:szCs w:val="28"/>
              <w:highlight w:val="none"/>
            </w:rPr>
            <w:fldChar w:fldCharType="end"/>
          </w:r>
        </w:p>
        <w:p>
          <w:pPr>
            <w:pStyle w:val="37"/>
            <w:tabs>
              <w:tab w:val="right" w:leader="dot" w:pos="8306"/>
            </w:tabs>
            <w:spacing w:line="360" w:lineRule="auto"/>
            <w:ind w:left="420"/>
            <w:rPr>
              <w:rFonts w:ascii="仿宋" w:hAnsi="仿宋" w:eastAsia="仿宋" w:cs="仿宋"/>
              <w:sz w:val="28"/>
              <w:szCs w:val="28"/>
              <w:highlight w:val="none"/>
            </w:rPr>
          </w:pPr>
          <w:r>
            <w:rPr>
              <w:highlight w:val="none"/>
            </w:rPr>
            <w:fldChar w:fldCharType="begin"/>
          </w:r>
          <w:r>
            <w:rPr>
              <w:highlight w:val="none"/>
            </w:rPr>
            <w:instrText xml:space="preserve"> HYPERLINK \l "_Toc20397" </w:instrText>
          </w:r>
          <w:r>
            <w:rPr>
              <w:highlight w:val="none"/>
            </w:rPr>
            <w:fldChar w:fldCharType="separate"/>
          </w:r>
          <w:r>
            <w:rPr>
              <w:rFonts w:hint="eastAsia" w:ascii="仿宋" w:hAnsi="仿宋" w:eastAsia="仿宋" w:cs="仿宋"/>
              <w:kern w:val="2"/>
              <w:sz w:val="28"/>
              <w:szCs w:val="28"/>
              <w:highlight w:val="none"/>
            </w:rPr>
            <w:t>（一）创建优势</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_Toc20397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37"/>
            <w:tabs>
              <w:tab w:val="right" w:leader="dot" w:pos="8306"/>
            </w:tabs>
            <w:spacing w:line="360" w:lineRule="auto"/>
            <w:ind w:left="420"/>
            <w:rPr>
              <w:rFonts w:ascii="仿宋" w:hAnsi="仿宋" w:eastAsia="仿宋" w:cs="仿宋"/>
              <w:sz w:val="28"/>
              <w:szCs w:val="28"/>
              <w:highlight w:val="none"/>
            </w:rPr>
          </w:pPr>
          <w:r>
            <w:rPr>
              <w:highlight w:val="none"/>
            </w:rPr>
            <w:fldChar w:fldCharType="begin"/>
          </w:r>
          <w:r>
            <w:rPr>
              <w:highlight w:val="none"/>
            </w:rPr>
            <w:instrText xml:space="preserve"> HYPERLINK \l "_Toc17261" </w:instrText>
          </w:r>
          <w:r>
            <w:rPr>
              <w:highlight w:val="none"/>
            </w:rPr>
            <w:fldChar w:fldCharType="separate"/>
          </w:r>
          <w:r>
            <w:rPr>
              <w:rFonts w:hint="eastAsia" w:ascii="仿宋" w:hAnsi="仿宋" w:eastAsia="仿宋" w:cs="仿宋"/>
              <w:kern w:val="2"/>
              <w:sz w:val="28"/>
              <w:szCs w:val="28"/>
              <w:highlight w:val="none"/>
            </w:rPr>
            <w:t>（二）工作基础</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_Toc17261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4</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36"/>
            <w:tabs>
              <w:tab w:val="right" w:leader="dot" w:pos="8306"/>
            </w:tabs>
            <w:spacing w:line="360" w:lineRule="auto"/>
            <w:rPr>
              <w:rFonts w:ascii="仿宋" w:hAnsi="仿宋" w:eastAsia="仿宋" w:cs="仿宋"/>
              <w:b/>
              <w:sz w:val="28"/>
              <w:szCs w:val="28"/>
              <w:highlight w:val="none"/>
            </w:rPr>
          </w:pPr>
          <w:r>
            <w:rPr>
              <w:highlight w:val="none"/>
            </w:rPr>
            <w:fldChar w:fldCharType="begin"/>
          </w:r>
          <w:r>
            <w:rPr>
              <w:highlight w:val="none"/>
            </w:rPr>
            <w:instrText xml:space="preserve"> HYPERLINK \l "_Toc20066" </w:instrText>
          </w:r>
          <w:r>
            <w:rPr>
              <w:highlight w:val="none"/>
            </w:rPr>
            <w:fldChar w:fldCharType="separate"/>
          </w:r>
          <w:r>
            <w:rPr>
              <w:rFonts w:hint="eastAsia" w:ascii="仿宋" w:hAnsi="仿宋" w:eastAsia="仿宋" w:cs="仿宋"/>
              <w:b/>
              <w:sz w:val="28"/>
              <w:szCs w:val="28"/>
              <w:highlight w:val="none"/>
            </w:rPr>
            <w:t>二、形势分析</w:t>
          </w:r>
          <w:r>
            <w:rPr>
              <w:rFonts w:hint="eastAsia" w:ascii="仿宋" w:hAnsi="仿宋" w:eastAsia="仿宋" w:cs="仿宋"/>
              <w:b/>
              <w:sz w:val="28"/>
              <w:szCs w:val="28"/>
              <w:highlight w:val="none"/>
            </w:rPr>
            <w:tab/>
          </w:r>
          <w:r>
            <w:rPr>
              <w:rFonts w:hint="eastAsia" w:ascii="仿宋" w:hAnsi="仿宋" w:eastAsia="仿宋" w:cs="仿宋"/>
              <w:b/>
              <w:sz w:val="28"/>
              <w:szCs w:val="28"/>
              <w:highlight w:val="none"/>
            </w:rPr>
            <w:fldChar w:fldCharType="begin"/>
          </w:r>
          <w:r>
            <w:rPr>
              <w:rFonts w:hint="eastAsia" w:ascii="仿宋" w:hAnsi="仿宋" w:eastAsia="仿宋" w:cs="仿宋"/>
              <w:b/>
              <w:sz w:val="28"/>
              <w:szCs w:val="28"/>
              <w:highlight w:val="none"/>
            </w:rPr>
            <w:instrText xml:space="preserve"> PAGEREF _Toc20066 \h </w:instrText>
          </w:r>
          <w:r>
            <w:rPr>
              <w:rFonts w:hint="eastAsia" w:ascii="仿宋" w:hAnsi="仿宋" w:eastAsia="仿宋" w:cs="仿宋"/>
              <w:b/>
              <w:sz w:val="28"/>
              <w:szCs w:val="28"/>
              <w:highlight w:val="none"/>
            </w:rPr>
            <w:fldChar w:fldCharType="separate"/>
          </w:r>
          <w:r>
            <w:rPr>
              <w:rFonts w:hint="eastAsia" w:ascii="仿宋" w:hAnsi="仿宋" w:eastAsia="仿宋" w:cs="仿宋"/>
              <w:b/>
              <w:sz w:val="28"/>
              <w:szCs w:val="28"/>
              <w:highlight w:val="none"/>
            </w:rPr>
            <w:t>10</w:t>
          </w:r>
          <w:r>
            <w:rPr>
              <w:rFonts w:hint="eastAsia" w:ascii="仿宋" w:hAnsi="仿宋" w:eastAsia="仿宋" w:cs="仿宋"/>
              <w:b/>
              <w:sz w:val="28"/>
              <w:szCs w:val="28"/>
              <w:highlight w:val="none"/>
            </w:rPr>
            <w:fldChar w:fldCharType="end"/>
          </w:r>
          <w:r>
            <w:rPr>
              <w:rFonts w:hint="eastAsia" w:ascii="仿宋" w:hAnsi="仿宋" w:eastAsia="仿宋" w:cs="仿宋"/>
              <w:b/>
              <w:sz w:val="28"/>
              <w:szCs w:val="28"/>
              <w:highlight w:val="none"/>
            </w:rPr>
            <w:fldChar w:fldCharType="end"/>
          </w:r>
        </w:p>
        <w:p>
          <w:pPr>
            <w:pStyle w:val="37"/>
            <w:tabs>
              <w:tab w:val="right" w:leader="dot" w:pos="8306"/>
            </w:tabs>
            <w:spacing w:line="360" w:lineRule="auto"/>
            <w:ind w:left="420"/>
            <w:rPr>
              <w:rFonts w:ascii="仿宋" w:hAnsi="仿宋" w:eastAsia="仿宋" w:cs="仿宋"/>
              <w:sz w:val="28"/>
              <w:szCs w:val="28"/>
              <w:highlight w:val="none"/>
            </w:rPr>
          </w:pPr>
          <w:r>
            <w:rPr>
              <w:highlight w:val="none"/>
            </w:rPr>
            <w:fldChar w:fldCharType="begin"/>
          </w:r>
          <w:r>
            <w:rPr>
              <w:highlight w:val="none"/>
            </w:rPr>
            <w:instrText xml:space="preserve"> HYPERLINK \l "_Toc8471" </w:instrText>
          </w:r>
          <w:r>
            <w:rPr>
              <w:highlight w:val="none"/>
            </w:rPr>
            <w:fldChar w:fldCharType="separate"/>
          </w:r>
          <w:r>
            <w:rPr>
              <w:rFonts w:hint="eastAsia" w:ascii="仿宋" w:hAnsi="仿宋" w:eastAsia="仿宋" w:cs="仿宋"/>
              <w:kern w:val="2"/>
              <w:sz w:val="28"/>
              <w:szCs w:val="28"/>
              <w:highlight w:val="none"/>
            </w:rPr>
            <w:t>（一）存在问题</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_Toc8471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10</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37"/>
            <w:tabs>
              <w:tab w:val="right" w:leader="dot" w:pos="8306"/>
            </w:tabs>
            <w:spacing w:line="360" w:lineRule="auto"/>
            <w:ind w:left="420"/>
            <w:rPr>
              <w:rFonts w:ascii="仿宋" w:hAnsi="仿宋" w:eastAsia="仿宋" w:cs="仿宋"/>
              <w:sz w:val="28"/>
              <w:szCs w:val="28"/>
              <w:highlight w:val="none"/>
            </w:rPr>
          </w:pPr>
          <w:r>
            <w:rPr>
              <w:highlight w:val="none"/>
            </w:rPr>
            <w:fldChar w:fldCharType="begin"/>
          </w:r>
          <w:r>
            <w:rPr>
              <w:highlight w:val="none"/>
            </w:rPr>
            <w:instrText xml:space="preserve"> HYPERLINK \l "_Toc7083" </w:instrText>
          </w:r>
          <w:r>
            <w:rPr>
              <w:highlight w:val="none"/>
            </w:rPr>
            <w:fldChar w:fldCharType="separate"/>
          </w:r>
          <w:r>
            <w:rPr>
              <w:rFonts w:hint="eastAsia" w:ascii="仿宋" w:hAnsi="仿宋" w:eastAsia="仿宋" w:cs="仿宋"/>
              <w:kern w:val="2"/>
              <w:sz w:val="28"/>
              <w:szCs w:val="28"/>
              <w:highlight w:val="none"/>
            </w:rPr>
            <w:t>（二） 面临机遇与压力挑战</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_Toc7083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13</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36"/>
            <w:tabs>
              <w:tab w:val="right" w:leader="dot" w:pos="8306"/>
            </w:tabs>
            <w:spacing w:line="360" w:lineRule="auto"/>
            <w:rPr>
              <w:rFonts w:ascii="仿宋" w:hAnsi="仿宋" w:eastAsia="仿宋" w:cs="仿宋"/>
              <w:b/>
              <w:sz w:val="28"/>
              <w:szCs w:val="28"/>
              <w:highlight w:val="none"/>
            </w:rPr>
          </w:pPr>
          <w:r>
            <w:rPr>
              <w:highlight w:val="none"/>
            </w:rPr>
            <w:fldChar w:fldCharType="begin"/>
          </w:r>
          <w:r>
            <w:rPr>
              <w:highlight w:val="none"/>
            </w:rPr>
            <w:instrText xml:space="preserve"> HYPERLINK \l "_Toc11145" </w:instrText>
          </w:r>
          <w:r>
            <w:rPr>
              <w:highlight w:val="none"/>
            </w:rPr>
            <w:fldChar w:fldCharType="separate"/>
          </w:r>
          <w:r>
            <w:rPr>
              <w:rFonts w:hint="eastAsia" w:ascii="仿宋" w:hAnsi="仿宋" w:eastAsia="仿宋" w:cs="仿宋"/>
              <w:b/>
              <w:sz w:val="28"/>
              <w:szCs w:val="28"/>
              <w:highlight w:val="none"/>
            </w:rPr>
            <w:t>三、规划总则</w:t>
          </w:r>
          <w:r>
            <w:rPr>
              <w:rFonts w:hint="eastAsia" w:ascii="仿宋" w:hAnsi="仿宋" w:eastAsia="仿宋" w:cs="仿宋"/>
              <w:b/>
              <w:sz w:val="28"/>
              <w:szCs w:val="28"/>
              <w:highlight w:val="none"/>
            </w:rPr>
            <w:tab/>
          </w:r>
          <w:r>
            <w:rPr>
              <w:rFonts w:hint="eastAsia" w:ascii="仿宋" w:hAnsi="仿宋" w:eastAsia="仿宋" w:cs="仿宋"/>
              <w:b/>
              <w:sz w:val="28"/>
              <w:szCs w:val="28"/>
              <w:highlight w:val="none"/>
            </w:rPr>
            <w:fldChar w:fldCharType="begin"/>
          </w:r>
          <w:r>
            <w:rPr>
              <w:rFonts w:hint="eastAsia" w:ascii="仿宋" w:hAnsi="仿宋" w:eastAsia="仿宋" w:cs="仿宋"/>
              <w:b/>
              <w:sz w:val="28"/>
              <w:szCs w:val="28"/>
              <w:highlight w:val="none"/>
            </w:rPr>
            <w:instrText xml:space="preserve"> PAGEREF _Toc11145 \h </w:instrText>
          </w:r>
          <w:r>
            <w:rPr>
              <w:rFonts w:hint="eastAsia" w:ascii="仿宋" w:hAnsi="仿宋" w:eastAsia="仿宋" w:cs="仿宋"/>
              <w:b/>
              <w:sz w:val="28"/>
              <w:szCs w:val="28"/>
              <w:highlight w:val="none"/>
            </w:rPr>
            <w:fldChar w:fldCharType="separate"/>
          </w:r>
          <w:r>
            <w:rPr>
              <w:rFonts w:hint="eastAsia" w:ascii="仿宋" w:hAnsi="仿宋" w:eastAsia="仿宋" w:cs="仿宋"/>
              <w:b/>
              <w:sz w:val="28"/>
              <w:szCs w:val="28"/>
              <w:highlight w:val="none"/>
            </w:rPr>
            <w:t>15</w:t>
          </w:r>
          <w:r>
            <w:rPr>
              <w:rFonts w:hint="eastAsia" w:ascii="仿宋" w:hAnsi="仿宋" w:eastAsia="仿宋" w:cs="仿宋"/>
              <w:b/>
              <w:sz w:val="28"/>
              <w:szCs w:val="28"/>
              <w:highlight w:val="none"/>
            </w:rPr>
            <w:fldChar w:fldCharType="end"/>
          </w:r>
          <w:r>
            <w:rPr>
              <w:rFonts w:hint="eastAsia" w:ascii="仿宋" w:hAnsi="仿宋" w:eastAsia="仿宋" w:cs="仿宋"/>
              <w:b/>
              <w:sz w:val="28"/>
              <w:szCs w:val="28"/>
              <w:highlight w:val="none"/>
            </w:rPr>
            <w:fldChar w:fldCharType="end"/>
          </w:r>
        </w:p>
        <w:p>
          <w:pPr>
            <w:pStyle w:val="37"/>
            <w:tabs>
              <w:tab w:val="right" w:leader="dot" w:pos="8306"/>
            </w:tabs>
            <w:spacing w:line="360" w:lineRule="auto"/>
            <w:ind w:left="420"/>
            <w:rPr>
              <w:rFonts w:ascii="仿宋" w:hAnsi="仿宋" w:eastAsia="仿宋" w:cs="仿宋"/>
              <w:sz w:val="28"/>
              <w:szCs w:val="28"/>
              <w:highlight w:val="none"/>
            </w:rPr>
          </w:pPr>
          <w:r>
            <w:rPr>
              <w:highlight w:val="none"/>
            </w:rPr>
            <w:fldChar w:fldCharType="begin"/>
          </w:r>
          <w:r>
            <w:rPr>
              <w:highlight w:val="none"/>
            </w:rPr>
            <w:instrText xml:space="preserve"> HYPERLINK \l "_Toc13842" </w:instrText>
          </w:r>
          <w:r>
            <w:rPr>
              <w:highlight w:val="none"/>
            </w:rPr>
            <w:fldChar w:fldCharType="separate"/>
          </w:r>
          <w:r>
            <w:rPr>
              <w:rFonts w:hint="eastAsia" w:ascii="仿宋" w:hAnsi="仿宋" w:eastAsia="仿宋" w:cs="仿宋"/>
              <w:kern w:val="2"/>
              <w:sz w:val="28"/>
              <w:szCs w:val="28"/>
              <w:highlight w:val="none"/>
            </w:rPr>
            <w:t>（一）指导思想</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_Toc13842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15</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37"/>
            <w:tabs>
              <w:tab w:val="right" w:leader="dot" w:pos="8306"/>
            </w:tabs>
            <w:spacing w:line="360" w:lineRule="auto"/>
            <w:ind w:left="420"/>
            <w:rPr>
              <w:rFonts w:ascii="仿宋" w:hAnsi="仿宋" w:eastAsia="仿宋" w:cs="仿宋"/>
              <w:sz w:val="28"/>
              <w:szCs w:val="28"/>
              <w:highlight w:val="none"/>
            </w:rPr>
          </w:pPr>
          <w:r>
            <w:rPr>
              <w:highlight w:val="none"/>
            </w:rPr>
            <w:fldChar w:fldCharType="begin"/>
          </w:r>
          <w:r>
            <w:rPr>
              <w:highlight w:val="none"/>
            </w:rPr>
            <w:instrText xml:space="preserve"> HYPERLINK \l "_Toc32061" </w:instrText>
          </w:r>
          <w:r>
            <w:rPr>
              <w:highlight w:val="none"/>
            </w:rPr>
            <w:fldChar w:fldCharType="separate"/>
          </w:r>
          <w:r>
            <w:rPr>
              <w:rFonts w:hint="eastAsia" w:ascii="仿宋" w:hAnsi="仿宋" w:eastAsia="仿宋" w:cs="仿宋"/>
              <w:kern w:val="2"/>
              <w:sz w:val="28"/>
              <w:szCs w:val="28"/>
              <w:highlight w:val="none"/>
            </w:rPr>
            <w:t>（二）规划原则</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_Toc32061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16</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37"/>
            <w:tabs>
              <w:tab w:val="right" w:leader="dot" w:pos="8306"/>
            </w:tabs>
            <w:spacing w:line="360" w:lineRule="auto"/>
            <w:ind w:left="420"/>
            <w:rPr>
              <w:rFonts w:ascii="仿宋" w:hAnsi="仿宋" w:eastAsia="仿宋" w:cs="仿宋"/>
              <w:sz w:val="28"/>
              <w:szCs w:val="28"/>
              <w:highlight w:val="none"/>
            </w:rPr>
          </w:pPr>
          <w:r>
            <w:rPr>
              <w:highlight w:val="none"/>
            </w:rPr>
            <w:fldChar w:fldCharType="begin"/>
          </w:r>
          <w:r>
            <w:rPr>
              <w:highlight w:val="none"/>
            </w:rPr>
            <w:instrText xml:space="preserve"> HYPERLINK \l "_Toc29660" </w:instrText>
          </w:r>
          <w:r>
            <w:rPr>
              <w:highlight w:val="none"/>
            </w:rPr>
            <w:fldChar w:fldCharType="separate"/>
          </w:r>
          <w:r>
            <w:rPr>
              <w:rFonts w:hint="eastAsia" w:ascii="仿宋" w:hAnsi="仿宋" w:eastAsia="仿宋" w:cs="仿宋"/>
              <w:kern w:val="2"/>
              <w:sz w:val="28"/>
              <w:szCs w:val="28"/>
              <w:highlight w:val="none"/>
            </w:rPr>
            <w:t>（三）编制依据</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_Toc29660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17</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37"/>
            <w:tabs>
              <w:tab w:val="right" w:leader="dot" w:pos="8306"/>
            </w:tabs>
            <w:spacing w:line="360" w:lineRule="auto"/>
            <w:ind w:left="420"/>
            <w:rPr>
              <w:rFonts w:ascii="仿宋" w:hAnsi="仿宋" w:eastAsia="仿宋" w:cs="仿宋"/>
              <w:sz w:val="28"/>
              <w:szCs w:val="28"/>
              <w:highlight w:val="none"/>
            </w:rPr>
          </w:pPr>
          <w:r>
            <w:rPr>
              <w:highlight w:val="none"/>
            </w:rPr>
            <w:fldChar w:fldCharType="begin"/>
          </w:r>
          <w:r>
            <w:rPr>
              <w:highlight w:val="none"/>
            </w:rPr>
            <w:instrText xml:space="preserve"> HYPERLINK \l "_Toc27214" </w:instrText>
          </w:r>
          <w:r>
            <w:rPr>
              <w:highlight w:val="none"/>
            </w:rPr>
            <w:fldChar w:fldCharType="separate"/>
          </w:r>
          <w:r>
            <w:rPr>
              <w:rFonts w:hint="eastAsia" w:ascii="仿宋" w:hAnsi="仿宋" w:eastAsia="仿宋" w:cs="仿宋"/>
              <w:kern w:val="2"/>
              <w:sz w:val="28"/>
              <w:szCs w:val="28"/>
              <w:highlight w:val="none"/>
            </w:rPr>
            <w:t>（四）规划范围</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_Toc27214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24</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37"/>
            <w:tabs>
              <w:tab w:val="right" w:leader="dot" w:pos="8306"/>
            </w:tabs>
            <w:spacing w:line="360" w:lineRule="auto"/>
            <w:ind w:left="420"/>
            <w:rPr>
              <w:rFonts w:ascii="仿宋" w:hAnsi="仿宋" w:eastAsia="仿宋" w:cs="仿宋"/>
              <w:sz w:val="28"/>
              <w:szCs w:val="28"/>
              <w:highlight w:val="none"/>
            </w:rPr>
          </w:pPr>
          <w:r>
            <w:rPr>
              <w:highlight w:val="none"/>
            </w:rPr>
            <w:fldChar w:fldCharType="begin"/>
          </w:r>
          <w:r>
            <w:rPr>
              <w:highlight w:val="none"/>
            </w:rPr>
            <w:instrText xml:space="preserve"> HYPERLINK \l "_Toc31736" </w:instrText>
          </w:r>
          <w:r>
            <w:rPr>
              <w:highlight w:val="none"/>
            </w:rPr>
            <w:fldChar w:fldCharType="separate"/>
          </w:r>
          <w:r>
            <w:rPr>
              <w:rFonts w:hint="eastAsia" w:ascii="仿宋" w:hAnsi="仿宋" w:eastAsia="仿宋" w:cs="仿宋"/>
              <w:kern w:val="2"/>
              <w:sz w:val="28"/>
              <w:szCs w:val="28"/>
              <w:highlight w:val="none"/>
            </w:rPr>
            <w:t>（五）规划期限</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_Toc31736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24</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37"/>
            <w:tabs>
              <w:tab w:val="right" w:leader="dot" w:pos="8306"/>
            </w:tabs>
            <w:spacing w:line="360" w:lineRule="auto"/>
            <w:ind w:left="420"/>
            <w:rPr>
              <w:rFonts w:ascii="仿宋" w:hAnsi="仿宋" w:eastAsia="仿宋" w:cs="仿宋"/>
              <w:sz w:val="28"/>
              <w:szCs w:val="28"/>
              <w:highlight w:val="none"/>
            </w:rPr>
          </w:pPr>
          <w:r>
            <w:rPr>
              <w:highlight w:val="none"/>
            </w:rPr>
            <w:fldChar w:fldCharType="begin"/>
          </w:r>
          <w:r>
            <w:rPr>
              <w:highlight w:val="none"/>
            </w:rPr>
            <w:instrText xml:space="preserve"> HYPERLINK \l "_Toc7212" </w:instrText>
          </w:r>
          <w:r>
            <w:rPr>
              <w:highlight w:val="none"/>
            </w:rPr>
            <w:fldChar w:fldCharType="separate"/>
          </w:r>
          <w:r>
            <w:rPr>
              <w:rFonts w:hint="eastAsia" w:ascii="仿宋" w:hAnsi="仿宋" w:eastAsia="仿宋" w:cs="仿宋"/>
              <w:kern w:val="2"/>
              <w:sz w:val="28"/>
              <w:szCs w:val="28"/>
              <w:highlight w:val="none"/>
            </w:rPr>
            <w:t>（六）战略定位</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_Toc7212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25</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37"/>
            <w:tabs>
              <w:tab w:val="right" w:leader="dot" w:pos="8306"/>
            </w:tabs>
            <w:spacing w:line="360" w:lineRule="auto"/>
            <w:ind w:left="420"/>
            <w:rPr>
              <w:rFonts w:ascii="仿宋" w:hAnsi="仿宋" w:eastAsia="仿宋" w:cs="仿宋"/>
              <w:sz w:val="28"/>
              <w:szCs w:val="28"/>
              <w:highlight w:val="none"/>
            </w:rPr>
          </w:pPr>
          <w:r>
            <w:rPr>
              <w:highlight w:val="none"/>
            </w:rPr>
            <w:fldChar w:fldCharType="begin"/>
          </w:r>
          <w:r>
            <w:rPr>
              <w:highlight w:val="none"/>
            </w:rPr>
            <w:instrText xml:space="preserve"> HYPERLINK \l "_Toc24426" </w:instrText>
          </w:r>
          <w:r>
            <w:rPr>
              <w:highlight w:val="none"/>
            </w:rPr>
            <w:fldChar w:fldCharType="separate"/>
          </w:r>
          <w:r>
            <w:rPr>
              <w:rFonts w:hint="eastAsia" w:ascii="仿宋" w:hAnsi="仿宋" w:eastAsia="仿宋" w:cs="仿宋"/>
              <w:kern w:val="2"/>
              <w:sz w:val="28"/>
              <w:szCs w:val="28"/>
              <w:highlight w:val="none"/>
            </w:rPr>
            <w:t>（七）规划目标</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_Toc24426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26</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36"/>
            <w:tabs>
              <w:tab w:val="right" w:leader="dot" w:pos="8306"/>
            </w:tabs>
            <w:spacing w:line="360" w:lineRule="auto"/>
            <w:rPr>
              <w:rFonts w:ascii="仿宋" w:hAnsi="仿宋" w:eastAsia="仿宋" w:cs="仿宋"/>
              <w:b/>
              <w:sz w:val="28"/>
              <w:szCs w:val="28"/>
              <w:highlight w:val="none"/>
            </w:rPr>
          </w:pPr>
          <w:r>
            <w:rPr>
              <w:highlight w:val="none"/>
            </w:rPr>
            <w:fldChar w:fldCharType="begin"/>
          </w:r>
          <w:r>
            <w:rPr>
              <w:highlight w:val="none"/>
            </w:rPr>
            <w:instrText xml:space="preserve"> HYPERLINK \l "_Toc32723" </w:instrText>
          </w:r>
          <w:r>
            <w:rPr>
              <w:highlight w:val="none"/>
            </w:rPr>
            <w:fldChar w:fldCharType="separate"/>
          </w:r>
          <w:r>
            <w:rPr>
              <w:rFonts w:hint="eastAsia" w:ascii="仿宋" w:hAnsi="仿宋" w:eastAsia="仿宋" w:cs="仿宋"/>
              <w:b/>
              <w:sz w:val="28"/>
              <w:szCs w:val="28"/>
              <w:highlight w:val="none"/>
            </w:rPr>
            <w:t>四、规划任务与措施</w:t>
          </w:r>
          <w:r>
            <w:rPr>
              <w:rFonts w:hint="eastAsia" w:ascii="仿宋" w:hAnsi="仿宋" w:eastAsia="仿宋" w:cs="仿宋"/>
              <w:b/>
              <w:sz w:val="28"/>
              <w:szCs w:val="28"/>
              <w:highlight w:val="none"/>
            </w:rPr>
            <w:tab/>
          </w:r>
          <w:r>
            <w:rPr>
              <w:rFonts w:hint="eastAsia" w:ascii="仿宋" w:hAnsi="仿宋" w:eastAsia="仿宋" w:cs="仿宋"/>
              <w:b/>
              <w:sz w:val="28"/>
              <w:szCs w:val="28"/>
              <w:highlight w:val="none"/>
            </w:rPr>
            <w:fldChar w:fldCharType="begin"/>
          </w:r>
          <w:r>
            <w:rPr>
              <w:rFonts w:hint="eastAsia" w:ascii="仿宋" w:hAnsi="仿宋" w:eastAsia="仿宋" w:cs="仿宋"/>
              <w:b/>
              <w:sz w:val="28"/>
              <w:szCs w:val="28"/>
              <w:highlight w:val="none"/>
            </w:rPr>
            <w:instrText xml:space="preserve"> PAGEREF _Toc32723 \h </w:instrText>
          </w:r>
          <w:r>
            <w:rPr>
              <w:rFonts w:hint="eastAsia" w:ascii="仿宋" w:hAnsi="仿宋" w:eastAsia="仿宋" w:cs="仿宋"/>
              <w:b/>
              <w:sz w:val="28"/>
              <w:szCs w:val="28"/>
              <w:highlight w:val="none"/>
            </w:rPr>
            <w:fldChar w:fldCharType="separate"/>
          </w:r>
          <w:r>
            <w:rPr>
              <w:rFonts w:hint="eastAsia" w:ascii="仿宋" w:hAnsi="仿宋" w:eastAsia="仿宋" w:cs="仿宋"/>
              <w:b/>
              <w:sz w:val="28"/>
              <w:szCs w:val="28"/>
              <w:highlight w:val="none"/>
            </w:rPr>
            <w:t>33</w:t>
          </w:r>
          <w:r>
            <w:rPr>
              <w:rFonts w:hint="eastAsia" w:ascii="仿宋" w:hAnsi="仿宋" w:eastAsia="仿宋" w:cs="仿宋"/>
              <w:b/>
              <w:sz w:val="28"/>
              <w:szCs w:val="28"/>
              <w:highlight w:val="none"/>
            </w:rPr>
            <w:fldChar w:fldCharType="end"/>
          </w:r>
          <w:r>
            <w:rPr>
              <w:rFonts w:hint="eastAsia" w:ascii="仿宋" w:hAnsi="仿宋" w:eastAsia="仿宋" w:cs="仿宋"/>
              <w:b/>
              <w:sz w:val="28"/>
              <w:szCs w:val="28"/>
              <w:highlight w:val="none"/>
            </w:rPr>
            <w:fldChar w:fldCharType="end"/>
          </w:r>
        </w:p>
        <w:p>
          <w:pPr>
            <w:pStyle w:val="37"/>
            <w:tabs>
              <w:tab w:val="right" w:leader="dot" w:pos="8306"/>
            </w:tabs>
            <w:spacing w:line="360" w:lineRule="auto"/>
            <w:ind w:left="420"/>
            <w:rPr>
              <w:rFonts w:ascii="仿宋" w:hAnsi="仿宋" w:eastAsia="仿宋" w:cs="仿宋"/>
              <w:sz w:val="28"/>
              <w:szCs w:val="28"/>
              <w:highlight w:val="none"/>
            </w:rPr>
          </w:pPr>
          <w:r>
            <w:rPr>
              <w:highlight w:val="none"/>
            </w:rPr>
            <w:fldChar w:fldCharType="begin"/>
          </w:r>
          <w:r>
            <w:rPr>
              <w:highlight w:val="none"/>
            </w:rPr>
            <w:instrText xml:space="preserve"> HYPERLINK \l "_Toc7966" </w:instrText>
          </w:r>
          <w:r>
            <w:rPr>
              <w:highlight w:val="none"/>
            </w:rPr>
            <w:fldChar w:fldCharType="separate"/>
          </w:r>
          <w:r>
            <w:rPr>
              <w:rFonts w:hint="eastAsia" w:ascii="仿宋" w:hAnsi="仿宋" w:eastAsia="仿宋" w:cs="仿宋"/>
              <w:kern w:val="2"/>
              <w:sz w:val="28"/>
              <w:szCs w:val="28"/>
              <w:highlight w:val="none"/>
            </w:rPr>
            <w:t>（一）完善生态制度体系，夯实制度建设基石</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_Toc7966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33</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37"/>
            <w:tabs>
              <w:tab w:val="right" w:leader="dot" w:pos="8306"/>
            </w:tabs>
            <w:spacing w:line="360" w:lineRule="auto"/>
            <w:ind w:left="420"/>
            <w:rPr>
              <w:rFonts w:ascii="仿宋" w:hAnsi="仿宋" w:eastAsia="仿宋" w:cs="仿宋"/>
              <w:sz w:val="28"/>
              <w:szCs w:val="28"/>
              <w:highlight w:val="none"/>
            </w:rPr>
          </w:pPr>
          <w:r>
            <w:rPr>
              <w:highlight w:val="none"/>
            </w:rPr>
            <w:fldChar w:fldCharType="begin"/>
          </w:r>
          <w:r>
            <w:rPr>
              <w:highlight w:val="none"/>
            </w:rPr>
            <w:instrText xml:space="preserve"> HYPERLINK \l "_Toc17113" </w:instrText>
          </w:r>
          <w:r>
            <w:rPr>
              <w:highlight w:val="none"/>
            </w:rPr>
            <w:fldChar w:fldCharType="separate"/>
          </w:r>
          <w:r>
            <w:rPr>
              <w:rFonts w:hint="eastAsia" w:ascii="仿宋" w:hAnsi="仿宋" w:eastAsia="仿宋" w:cs="仿宋"/>
              <w:kern w:val="2"/>
              <w:sz w:val="28"/>
              <w:szCs w:val="28"/>
              <w:highlight w:val="none"/>
            </w:rPr>
            <w:t>（二）建设生态安全体系，建设生态美丽泗水</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_Toc17113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40</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37"/>
            <w:tabs>
              <w:tab w:val="right" w:leader="dot" w:pos="8306"/>
            </w:tabs>
            <w:spacing w:line="360" w:lineRule="auto"/>
            <w:ind w:left="420"/>
            <w:rPr>
              <w:rFonts w:ascii="仿宋" w:hAnsi="仿宋" w:eastAsia="仿宋" w:cs="仿宋"/>
              <w:sz w:val="28"/>
              <w:szCs w:val="28"/>
              <w:highlight w:val="none"/>
            </w:rPr>
          </w:pPr>
          <w:r>
            <w:rPr>
              <w:highlight w:val="none"/>
            </w:rPr>
            <w:fldChar w:fldCharType="begin"/>
          </w:r>
          <w:r>
            <w:rPr>
              <w:highlight w:val="none"/>
            </w:rPr>
            <w:instrText xml:space="preserve"> HYPERLINK \l "_Toc2375" </w:instrText>
          </w:r>
          <w:r>
            <w:rPr>
              <w:highlight w:val="none"/>
            </w:rPr>
            <w:fldChar w:fldCharType="separate"/>
          </w:r>
          <w:r>
            <w:rPr>
              <w:rFonts w:hint="eastAsia" w:ascii="仿宋" w:hAnsi="仿宋" w:eastAsia="仿宋" w:cs="仿宋"/>
              <w:bCs/>
              <w:kern w:val="2"/>
              <w:sz w:val="28"/>
              <w:szCs w:val="28"/>
              <w:highlight w:val="none"/>
            </w:rPr>
            <w:t>（三）</w:t>
          </w:r>
          <w:r>
            <w:rPr>
              <w:rFonts w:hint="eastAsia" w:ascii="仿宋" w:hAnsi="仿宋" w:eastAsia="仿宋" w:cs="仿宋"/>
              <w:kern w:val="2"/>
              <w:sz w:val="28"/>
              <w:szCs w:val="28"/>
              <w:highlight w:val="none"/>
            </w:rPr>
            <w:t>优化国土空间开发，筑牢生态安全屏障</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_Toc2375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51</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37"/>
            <w:tabs>
              <w:tab w:val="right" w:leader="dot" w:pos="8306"/>
            </w:tabs>
            <w:spacing w:line="360" w:lineRule="auto"/>
            <w:ind w:left="420"/>
            <w:rPr>
              <w:rFonts w:ascii="仿宋" w:hAnsi="仿宋" w:eastAsia="仿宋" w:cs="仿宋"/>
              <w:sz w:val="28"/>
              <w:szCs w:val="28"/>
              <w:highlight w:val="none"/>
            </w:rPr>
          </w:pPr>
          <w:r>
            <w:rPr>
              <w:highlight w:val="none"/>
            </w:rPr>
            <w:fldChar w:fldCharType="begin"/>
          </w:r>
          <w:r>
            <w:rPr>
              <w:highlight w:val="none"/>
            </w:rPr>
            <w:instrText xml:space="preserve"> HYPERLINK \l "_Toc15823" </w:instrText>
          </w:r>
          <w:r>
            <w:rPr>
              <w:highlight w:val="none"/>
            </w:rPr>
            <w:fldChar w:fldCharType="separate"/>
          </w:r>
          <w:r>
            <w:rPr>
              <w:rFonts w:hint="eastAsia" w:ascii="仿宋" w:hAnsi="仿宋" w:eastAsia="仿宋" w:cs="仿宋"/>
              <w:kern w:val="2"/>
              <w:sz w:val="28"/>
              <w:szCs w:val="28"/>
              <w:highlight w:val="none"/>
            </w:rPr>
            <w:t>（四）构建生态经济体系，促进经济绿色转型</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_Toc15823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56</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37"/>
            <w:tabs>
              <w:tab w:val="right" w:leader="dot" w:pos="8306"/>
            </w:tabs>
            <w:spacing w:line="360" w:lineRule="auto"/>
            <w:ind w:left="420"/>
            <w:rPr>
              <w:rFonts w:ascii="仿宋" w:hAnsi="仿宋" w:eastAsia="仿宋" w:cs="仿宋"/>
              <w:sz w:val="28"/>
              <w:szCs w:val="28"/>
              <w:highlight w:val="none"/>
            </w:rPr>
          </w:pPr>
          <w:r>
            <w:rPr>
              <w:highlight w:val="none"/>
            </w:rPr>
            <w:fldChar w:fldCharType="begin"/>
          </w:r>
          <w:r>
            <w:rPr>
              <w:highlight w:val="none"/>
            </w:rPr>
            <w:instrText xml:space="preserve"> HYPERLINK \l "_Toc29362" </w:instrText>
          </w:r>
          <w:r>
            <w:rPr>
              <w:highlight w:val="none"/>
            </w:rPr>
            <w:fldChar w:fldCharType="separate"/>
          </w:r>
          <w:r>
            <w:rPr>
              <w:rFonts w:hint="eastAsia" w:ascii="仿宋" w:hAnsi="仿宋" w:eastAsia="仿宋" w:cs="仿宋"/>
              <w:kern w:val="2"/>
              <w:sz w:val="28"/>
              <w:szCs w:val="28"/>
              <w:highlight w:val="none"/>
            </w:rPr>
            <w:t>（五）完善生态生活体系，打造生态宜居画卷</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_Toc29362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60</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37"/>
            <w:tabs>
              <w:tab w:val="right" w:leader="dot" w:pos="8306"/>
            </w:tabs>
            <w:spacing w:line="360" w:lineRule="auto"/>
            <w:ind w:left="420"/>
            <w:rPr>
              <w:rFonts w:ascii="仿宋" w:hAnsi="仿宋" w:eastAsia="仿宋" w:cs="仿宋"/>
              <w:sz w:val="28"/>
              <w:szCs w:val="28"/>
              <w:highlight w:val="none"/>
            </w:rPr>
          </w:pPr>
          <w:r>
            <w:rPr>
              <w:highlight w:val="none"/>
            </w:rPr>
            <w:fldChar w:fldCharType="begin"/>
          </w:r>
          <w:r>
            <w:rPr>
              <w:highlight w:val="none"/>
            </w:rPr>
            <w:instrText xml:space="preserve"> HYPERLINK \l "_Toc24264" </w:instrText>
          </w:r>
          <w:r>
            <w:rPr>
              <w:highlight w:val="none"/>
            </w:rPr>
            <w:fldChar w:fldCharType="separate"/>
          </w:r>
          <w:r>
            <w:rPr>
              <w:rFonts w:hint="eastAsia" w:ascii="仿宋" w:hAnsi="仿宋" w:eastAsia="仿宋" w:cs="仿宋"/>
              <w:kern w:val="2"/>
              <w:sz w:val="28"/>
              <w:szCs w:val="28"/>
              <w:highlight w:val="none"/>
            </w:rPr>
            <w:t>（六）厚植生态文明理念，擦亮文旅创新名片</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_Toc24264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65</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36"/>
            <w:tabs>
              <w:tab w:val="right" w:leader="dot" w:pos="8306"/>
            </w:tabs>
            <w:spacing w:line="360" w:lineRule="auto"/>
            <w:rPr>
              <w:rFonts w:ascii="仿宋" w:hAnsi="仿宋" w:eastAsia="仿宋" w:cs="仿宋"/>
              <w:b/>
              <w:sz w:val="28"/>
              <w:szCs w:val="28"/>
              <w:highlight w:val="none"/>
            </w:rPr>
          </w:pPr>
          <w:r>
            <w:rPr>
              <w:highlight w:val="none"/>
            </w:rPr>
            <w:fldChar w:fldCharType="begin"/>
          </w:r>
          <w:r>
            <w:rPr>
              <w:highlight w:val="none"/>
            </w:rPr>
            <w:instrText xml:space="preserve"> HYPERLINK \l "_Toc13238" </w:instrText>
          </w:r>
          <w:r>
            <w:rPr>
              <w:highlight w:val="none"/>
            </w:rPr>
            <w:fldChar w:fldCharType="separate"/>
          </w:r>
          <w:r>
            <w:rPr>
              <w:rFonts w:hint="eastAsia" w:ascii="仿宋" w:hAnsi="仿宋" w:eastAsia="仿宋" w:cs="仿宋"/>
              <w:b/>
              <w:sz w:val="28"/>
              <w:szCs w:val="28"/>
              <w:highlight w:val="none"/>
            </w:rPr>
            <w:t>五、重点工程与效益分析</w:t>
          </w:r>
          <w:r>
            <w:rPr>
              <w:rFonts w:hint="eastAsia" w:ascii="仿宋" w:hAnsi="仿宋" w:eastAsia="仿宋" w:cs="仿宋"/>
              <w:b/>
              <w:sz w:val="28"/>
              <w:szCs w:val="28"/>
              <w:highlight w:val="none"/>
            </w:rPr>
            <w:tab/>
          </w:r>
          <w:r>
            <w:rPr>
              <w:rFonts w:hint="eastAsia" w:ascii="仿宋" w:hAnsi="仿宋" w:eastAsia="仿宋" w:cs="仿宋"/>
              <w:b/>
              <w:sz w:val="28"/>
              <w:szCs w:val="28"/>
              <w:highlight w:val="none"/>
            </w:rPr>
            <w:fldChar w:fldCharType="begin"/>
          </w:r>
          <w:r>
            <w:rPr>
              <w:rFonts w:hint="eastAsia" w:ascii="仿宋" w:hAnsi="仿宋" w:eastAsia="仿宋" w:cs="仿宋"/>
              <w:b/>
              <w:sz w:val="28"/>
              <w:szCs w:val="28"/>
              <w:highlight w:val="none"/>
            </w:rPr>
            <w:instrText xml:space="preserve"> PAGEREF _Toc13238 \h </w:instrText>
          </w:r>
          <w:r>
            <w:rPr>
              <w:rFonts w:hint="eastAsia" w:ascii="仿宋" w:hAnsi="仿宋" w:eastAsia="仿宋" w:cs="仿宋"/>
              <w:b/>
              <w:sz w:val="28"/>
              <w:szCs w:val="28"/>
              <w:highlight w:val="none"/>
            </w:rPr>
            <w:fldChar w:fldCharType="separate"/>
          </w:r>
          <w:r>
            <w:rPr>
              <w:rFonts w:hint="eastAsia" w:ascii="仿宋" w:hAnsi="仿宋" w:eastAsia="仿宋" w:cs="仿宋"/>
              <w:b/>
              <w:sz w:val="28"/>
              <w:szCs w:val="28"/>
              <w:highlight w:val="none"/>
            </w:rPr>
            <w:t>68</w:t>
          </w:r>
          <w:r>
            <w:rPr>
              <w:rFonts w:hint="eastAsia" w:ascii="仿宋" w:hAnsi="仿宋" w:eastAsia="仿宋" w:cs="仿宋"/>
              <w:b/>
              <w:sz w:val="28"/>
              <w:szCs w:val="28"/>
              <w:highlight w:val="none"/>
            </w:rPr>
            <w:fldChar w:fldCharType="end"/>
          </w:r>
          <w:r>
            <w:rPr>
              <w:rFonts w:hint="eastAsia" w:ascii="仿宋" w:hAnsi="仿宋" w:eastAsia="仿宋" w:cs="仿宋"/>
              <w:b/>
              <w:sz w:val="28"/>
              <w:szCs w:val="28"/>
              <w:highlight w:val="none"/>
            </w:rPr>
            <w:fldChar w:fldCharType="end"/>
          </w:r>
        </w:p>
        <w:p>
          <w:pPr>
            <w:pStyle w:val="37"/>
            <w:tabs>
              <w:tab w:val="right" w:leader="dot" w:pos="8306"/>
            </w:tabs>
            <w:spacing w:line="360" w:lineRule="auto"/>
            <w:ind w:left="420"/>
            <w:rPr>
              <w:rFonts w:ascii="仿宋" w:hAnsi="仿宋" w:eastAsia="仿宋" w:cs="仿宋"/>
              <w:sz w:val="28"/>
              <w:szCs w:val="28"/>
              <w:highlight w:val="none"/>
            </w:rPr>
          </w:pPr>
          <w:r>
            <w:rPr>
              <w:highlight w:val="none"/>
            </w:rPr>
            <w:fldChar w:fldCharType="begin"/>
          </w:r>
          <w:r>
            <w:rPr>
              <w:highlight w:val="none"/>
            </w:rPr>
            <w:instrText xml:space="preserve"> HYPERLINK \l "_Toc32009" </w:instrText>
          </w:r>
          <w:r>
            <w:rPr>
              <w:highlight w:val="none"/>
            </w:rPr>
            <w:fldChar w:fldCharType="separate"/>
          </w:r>
          <w:r>
            <w:rPr>
              <w:rFonts w:hint="eastAsia" w:ascii="仿宋" w:hAnsi="仿宋" w:eastAsia="仿宋" w:cs="仿宋"/>
              <w:kern w:val="2"/>
              <w:sz w:val="28"/>
              <w:szCs w:val="28"/>
              <w:highlight w:val="none"/>
            </w:rPr>
            <w:t>（一）重点工程</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_Toc32009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68</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37"/>
            <w:tabs>
              <w:tab w:val="right" w:leader="dot" w:pos="8306"/>
            </w:tabs>
            <w:spacing w:line="360" w:lineRule="auto"/>
            <w:ind w:left="420"/>
            <w:rPr>
              <w:rFonts w:ascii="仿宋" w:hAnsi="仿宋" w:eastAsia="仿宋" w:cs="仿宋"/>
              <w:sz w:val="28"/>
              <w:szCs w:val="28"/>
              <w:highlight w:val="none"/>
            </w:rPr>
          </w:pPr>
          <w:r>
            <w:rPr>
              <w:highlight w:val="none"/>
            </w:rPr>
            <w:fldChar w:fldCharType="begin"/>
          </w:r>
          <w:r>
            <w:rPr>
              <w:highlight w:val="none"/>
            </w:rPr>
            <w:instrText xml:space="preserve"> HYPERLINK \l "_Toc19884" </w:instrText>
          </w:r>
          <w:r>
            <w:rPr>
              <w:highlight w:val="none"/>
            </w:rPr>
            <w:fldChar w:fldCharType="separate"/>
          </w:r>
          <w:r>
            <w:rPr>
              <w:rFonts w:hint="eastAsia" w:ascii="仿宋" w:hAnsi="仿宋" w:eastAsia="仿宋" w:cs="仿宋"/>
              <w:bCs/>
              <w:kern w:val="2"/>
              <w:sz w:val="28"/>
              <w:szCs w:val="28"/>
              <w:highlight w:val="none"/>
            </w:rPr>
            <w:t>（二）</w:t>
          </w:r>
          <w:r>
            <w:rPr>
              <w:rFonts w:hint="eastAsia" w:ascii="仿宋" w:hAnsi="仿宋" w:eastAsia="仿宋" w:cs="仿宋"/>
              <w:kern w:val="2"/>
              <w:sz w:val="28"/>
              <w:szCs w:val="28"/>
              <w:highlight w:val="none"/>
            </w:rPr>
            <w:t>效益分析</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_Toc19884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68</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36"/>
            <w:tabs>
              <w:tab w:val="right" w:leader="dot" w:pos="8306"/>
            </w:tabs>
            <w:spacing w:line="360" w:lineRule="auto"/>
            <w:rPr>
              <w:rFonts w:ascii="仿宋" w:hAnsi="仿宋" w:eastAsia="仿宋" w:cs="仿宋"/>
              <w:b/>
              <w:sz w:val="28"/>
              <w:szCs w:val="28"/>
              <w:highlight w:val="none"/>
            </w:rPr>
          </w:pPr>
          <w:r>
            <w:rPr>
              <w:highlight w:val="none"/>
            </w:rPr>
            <w:fldChar w:fldCharType="begin"/>
          </w:r>
          <w:r>
            <w:rPr>
              <w:highlight w:val="none"/>
            </w:rPr>
            <w:instrText xml:space="preserve"> HYPERLINK \l "_Toc1826" </w:instrText>
          </w:r>
          <w:r>
            <w:rPr>
              <w:highlight w:val="none"/>
            </w:rPr>
            <w:fldChar w:fldCharType="separate"/>
          </w:r>
          <w:r>
            <w:rPr>
              <w:rFonts w:hint="eastAsia" w:ascii="仿宋" w:hAnsi="仿宋" w:eastAsia="仿宋" w:cs="仿宋"/>
              <w:b/>
              <w:sz w:val="28"/>
              <w:szCs w:val="28"/>
              <w:highlight w:val="none"/>
            </w:rPr>
            <w:t>六、保障措施</w:t>
          </w:r>
          <w:r>
            <w:rPr>
              <w:rFonts w:hint="eastAsia" w:ascii="仿宋" w:hAnsi="仿宋" w:eastAsia="仿宋" w:cs="仿宋"/>
              <w:b/>
              <w:sz w:val="28"/>
              <w:szCs w:val="28"/>
              <w:highlight w:val="none"/>
            </w:rPr>
            <w:tab/>
          </w:r>
          <w:r>
            <w:rPr>
              <w:rFonts w:hint="eastAsia" w:ascii="仿宋" w:hAnsi="仿宋" w:eastAsia="仿宋" w:cs="仿宋"/>
              <w:b/>
              <w:sz w:val="28"/>
              <w:szCs w:val="28"/>
              <w:highlight w:val="none"/>
            </w:rPr>
            <w:fldChar w:fldCharType="begin"/>
          </w:r>
          <w:r>
            <w:rPr>
              <w:rFonts w:hint="eastAsia" w:ascii="仿宋" w:hAnsi="仿宋" w:eastAsia="仿宋" w:cs="仿宋"/>
              <w:b/>
              <w:sz w:val="28"/>
              <w:szCs w:val="28"/>
              <w:highlight w:val="none"/>
            </w:rPr>
            <w:instrText xml:space="preserve"> PAGEREF _Toc1826 \h </w:instrText>
          </w:r>
          <w:r>
            <w:rPr>
              <w:rFonts w:hint="eastAsia" w:ascii="仿宋" w:hAnsi="仿宋" w:eastAsia="仿宋" w:cs="仿宋"/>
              <w:b/>
              <w:sz w:val="28"/>
              <w:szCs w:val="28"/>
              <w:highlight w:val="none"/>
            </w:rPr>
            <w:fldChar w:fldCharType="separate"/>
          </w:r>
          <w:r>
            <w:rPr>
              <w:rFonts w:hint="eastAsia" w:ascii="仿宋" w:hAnsi="仿宋" w:eastAsia="仿宋" w:cs="仿宋"/>
              <w:b/>
              <w:sz w:val="28"/>
              <w:szCs w:val="28"/>
              <w:highlight w:val="none"/>
            </w:rPr>
            <w:t>69</w:t>
          </w:r>
          <w:r>
            <w:rPr>
              <w:rFonts w:hint="eastAsia" w:ascii="仿宋" w:hAnsi="仿宋" w:eastAsia="仿宋" w:cs="仿宋"/>
              <w:b/>
              <w:sz w:val="28"/>
              <w:szCs w:val="28"/>
              <w:highlight w:val="none"/>
            </w:rPr>
            <w:fldChar w:fldCharType="end"/>
          </w:r>
          <w:r>
            <w:rPr>
              <w:rFonts w:hint="eastAsia" w:ascii="仿宋" w:hAnsi="仿宋" w:eastAsia="仿宋" w:cs="仿宋"/>
              <w:b/>
              <w:sz w:val="28"/>
              <w:szCs w:val="28"/>
              <w:highlight w:val="none"/>
            </w:rPr>
            <w:fldChar w:fldCharType="end"/>
          </w:r>
        </w:p>
        <w:p>
          <w:pPr>
            <w:pStyle w:val="37"/>
            <w:tabs>
              <w:tab w:val="right" w:leader="dot" w:pos="8306"/>
            </w:tabs>
            <w:spacing w:line="360" w:lineRule="auto"/>
            <w:ind w:left="420"/>
            <w:rPr>
              <w:rFonts w:ascii="仿宋" w:hAnsi="仿宋" w:eastAsia="仿宋" w:cs="仿宋"/>
              <w:sz w:val="28"/>
              <w:szCs w:val="28"/>
              <w:highlight w:val="none"/>
            </w:rPr>
          </w:pPr>
          <w:r>
            <w:rPr>
              <w:highlight w:val="none"/>
            </w:rPr>
            <w:fldChar w:fldCharType="begin"/>
          </w:r>
          <w:r>
            <w:rPr>
              <w:highlight w:val="none"/>
            </w:rPr>
            <w:instrText xml:space="preserve"> HYPERLINK \l "_Toc1294" </w:instrText>
          </w:r>
          <w:r>
            <w:rPr>
              <w:highlight w:val="none"/>
            </w:rPr>
            <w:fldChar w:fldCharType="separate"/>
          </w:r>
          <w:r>
            <w:rPr>
              <w:rFonts w:hint="eastAsia" w:ascii="仿宋" w:hAnsi="仿宋" w:eastAsia="仿宋" w:cs="仿宋"/>
              <w:kern w:val="2"/>
              <w:sz w:val="28"/>
              <w:szCs w:val="28"/>
              <w:highlight w:val="none"/>
            </w:rPr>
            <w:t>（一）加强组织领导</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_Toc1294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69</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37"/>
            <w:tabs>
              <w:tab w:val="right" w:leader="dot" w:pos="8306"/>
            </w:tabs>
            <w:spacing w:line="360" w:lineRule="auto"/>
            <w:ind w:left="420"/>
            <w:rPr>
              <w:rFonts w:ascii="仿宋" w:hAnsi="仿宋" w:eastAsia="仿宋" w:cs="仿宋"/>
              <w:sz w:val="28"/>
              <w:szCs w:val="28"/>
              <w:highlight w:val="none"/>
            </w:rPr>
          </w:pPr>
          <w:r>
            <w:rPr>
              <w:highlight w:val="none"/>
            </w:rPr>
            <w:fldChar w:fldCharType="begin"/>
          </w:r>
          <w:r>
            <w:rPr>
              <w:highlight w:val="none"/>
            </w:rPr>
            <w:instrText xml:space="preserve"> HYPERLINK \l "_Toc18191" </w:instrText>
          </w:r>
          <w:r>
            <w:rPr>
              <w:highlight w:val="none"/>
            </w:rPr>
            <w:fldChar w:fldCharType="separate"/>
          </w:r>
          <w:r>
            <w:rPr>
              <w:rFonts w:hint="eastAsia" w:ascii="仿宋" w:hAnsi="仿宋" w:eastAsia="仿宋" w:cs="仿宋"/>
              <w:kern w:val="2"/>
              <w:sz w:val="28"/>
              <w:szCs w:val="28"/>
              <w:highlight w:val="none"/>
            </w:rPr>
            <w:t>（二）加强评估考核</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_Toc18191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70</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37"/>
            <w:tabs>
              <w:tab w:val="right" w:leader="dot" w:pos="8306"/>
            </w:tabs>
            <w:spacing w:line="360" w:lineRule="auto"/>
            <w:ind w:left="420"/>
            <w:rPr>
              <w:rFonts w:ascii="仿宋" w:hAnsi="仿宋" w:eastAsia="仿宋" w:cs="仿宋"/>
              <w:sz w:val="28"/>
              <w:szCs w:val="28"/>
              <w:highlight w:val="none"/>
            </w:rPr>
          </w:pPr>
          <w:r>
            <w:rPr>
              <w:highlight w:val="none"/>
            </w:rPr>
            <w:fldChar w:fldCharType="begin"/>
          </w:r>
          <w:r>
            <w:rPr>
              <w:highlight w:val="none"/>
            </w:rPr>
            <w:instrText xml:space="preserve"> HYPERLINK \l "_Toc23985" </w:instrText>
          </w:r>
          <w:r>
            <w:rPr>
              <w:highlight w:val="none"/>
            </w:rPr>
            <w:fldChar w:fldCharType="separate"/>
          </w:r>
          <w:r>
            <w:rPr>
              <w:rFonts w:hint="eastAsia" w:ascii="仿宋" w:hAnsi="仿宋" w:eastAsia="仿宋" w:cs="仿宋"/>
              <w:kern w:val="2"/>
              <w:sz w:val="28"/>
              <w:szCs w:val="28"/>
              <w:highlight w:val="none"/>
            </w:rPr>
            <w:t>（三）做好资金保障</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_Toc23985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70</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37"/>
            <w:tabs>
              <w:tab w:val="right" w:leader="dot" w:pos="8306"/>
            </w:tabs>
            <w:spacing w:line="360" w:lineRule="auto"/>
            <w:ind w:left="420"/>
            <w:rPr>
              <w:rFonts w:ascii="仿宋" w:hAnsi="仿宋" w:eastAsia="仿宋" w:cs="仿宋"/>
              <w:sz w:val="28"/>
              <w:szCs w:val="28"/>
              <w:highlight w:val="none"/>
            </w:rPr>
          </w:pPr>
          <w:r>
            <w:rPr>
              <w:highlight w:val="none"/>
            </w:rPr>
            <w:fldChar w:fldCharType="begin"/>
          </w:r>
          <w:r>
            <w:rPr>
              <w:highlight w:val="none"/>
            </w:rPr>
            <w:instrText xml:space="preserve"> HYPERLINK \l "_Toc5129" </w:instrText>
          </w:r>
          <w:r>
            <w:rPr>
              <w:highlight w:val="none"/>
            </w:rPr>
            <w:fldChar w:fldCharType="separate"/>
          </w:r>
          <w:r>
            <w:rPr>
              <w:rFonts w:hint="eastAsia" w:ascii="仿宋" w:hAnsi="仿宋" w:eastAsia="仿宋" w:cs="仿宋"/>
              <w:kern w:val="2"/>
              <w:sz w:val="28"/>
              <w:szCs w:val="28"/>
              <w:highlight w:val="none"/>
            </w:rPr>
            <w:t>（四）推进科技创新</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_Toc5129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71</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37"/>
            <w:tabs>
              <w:tab w:val="right" w:leader="dot" w:pos="8306"/>
            </w:tabs>
            <w:spacing w:line="360" w:lineRule="auto"/>
            <w:ind w:left="420"/>
            <w:rPr>
              <w:rFonts w:ascii="仿宋" w:hAnsi="仿宋" w:eastAsia="仿宋" w:cs="仿宋"/>
              <w:sz w:val="28"/>
              <w:szCs w:val="28"/>
              <w:highlight w:val="none"/>
            </w:rPr>
          </w:pPr>
          <w:r>
            <w:rPr>
              <w:highlight w:val="none"/>
            </w:rPr>
            <w:fldChar w:fldCharType="begin"/>
          </w:r>
          <w:r>
            <w:rPr>
              <w:highlight w:val="none"/>
            </w:rPr>
            <w:instrText xml:space="preserve"> HYPERLINK \l "_Toc4538" </w:instrText>
          </w:r>
          <w:r>
            <w:rPr>
              <w:highlight w:val="none"/>
            </w:rPr>
            <w:fldChar w:fldCharType="separate"/>
          </w:r>
          <w:r>
            <w:rPr>
              <w:rFonts w:hint="eastAsia" w:ascii="仿宋" w:hAnsi="仿宋" w:eastAsia="仿宋" w:cs="仿宋"/>
              <w:kern w:val="2"/>
              <w:sz w:val="28"/>
              <w:szCs w:val="28"/>
              <w:highlight w:val="none"/>
            </w:rPr>
            <w:t>（五）推动全民参与</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_Toc4538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71</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36"/>
            <w:tabs>
              <w:tab w:val="right" w:leader="dot" w:pos="8306"/>
            </w:tabs>
            <w:spacing w:line="360" w:lineRule="auto"/>
            <w:rPr>
              <w:b/>
              <w:highlight w:val="none"/>
            </w:rPr>
          </w:pPr>
          <w:r>
            <w:rPr>
              <w:highlight w:val="none"/>
            </w:rPr>
            <w:fldChar w:fldCharType="begin"/>
          </w:r>
          <w:r>
            <w:rPr>
              <w:highlight w:val="none"/>
            </w:rPr>
            <w:instrText xml:space="preserve"> HYPERLINK \l "_Toc18475" </w:instrText>
          </w:r>
          <w:r>
            <w:rPr>
              <w:highlight w:val="none"/>
            </w:rPr>
            <w:fldChar w:fldCharType="separate"/>
          </w:r>
          <w:r>
            <w:rPr>
              <w:rFonts w:hint="eastAsia" w:ascii="仿宋" w:hAnsi="仿宋" w:eastAsia="仿宋" w:cs="仿宋"/>
              <w:b/>
              <w:sz w:val="28"/>
              <w:szCs w:val="28"/>
              <w:highlight w:val="none"/>
            </w:rPr>
            <w:t>附表：泗水县省级生态文明建设示范区重点工程一览表</w:t>
          </w:r>
          <w:r>
            <w:rPr>
              <w:rFonts w:hint="eastAsia" w:ascii="仿宋" w:hAnsi="仿宋" w:eastAsia="仿宋" w:cs="仿宋"/>
              <w:b/>
              <w:sz w:val="28"/>
              <w:szCs w:val="28"/>
              <w:highlight w:val="none"/>
            </w:rPr>
            <w:tab/>
          </w:r>
          <w:r>
            <w:rPr>
              <w:rFonts w:hint="eastAsia" w:ascii="仿宋" w:hAnsi="仿宋" w:eastAsia="仿宋" w:cs="仿宋"/>
              <w:b/>
              <w:sz w:val="28"/>
              <w:szCs w:val="28"/>
              <w:highlight w:val="none"/>
            </w:rPr>
            <w:fldChar w:fldCharType="begin"/>
          </w:r>
          <w:r>
            <w:rPr>
              <w:rFonts w:hint="eastAsia" w:ascii="仿宋" w:hAnsi="仿宋" w:eastAsia="仿宋" w:cs="仿宋"/>
              <w:b/>
              <w:sz w:val="28"/>
              <w:szCs w:val="28"/>
              <w:highlight w:val="none"/>
            </w:rPr>
            <w:instrText xml:space="preserve"> PAGEREF _Toc18475 \h </w:instrText>
          </w:r>
          <w:r>
            <w:rPr>
              <w:rFonts w:hint="eastAsia" w:ascii="仿宋" w:hAnsi="仿宋" w:eastAsia="仿宋" w:cs="仿宋"/>
              <w:b/>
              <w:sz w:val="28"/>
              <w:szCs w:val="28"/>
              <w:highlight w:val="none"/>
            </w:rPr>
            <w:fldChar w:fldCharType="separate"/>
          </w:r>
          <w:r>
            <w:rPr>
              <w:rFonts w:hint="eastAsia" w:ascii="仿宋" w:hAnsi="仿宋" w:eastAsia="仿宋" w:cs="仿宋"/>
              <w:b/>
              <w:sz w:val="28"/>
              <w:szCs w:val="28"/>
              <w:highlight w:val="none"/>
            </w:rPr>
            <w:t>72</w:t>
          </w:r>
          <w:r>
            <w:rPr>
              <w:rFonts w:hint="eastAsia" w:ascii="仿宋" w:hAnsi="仿宋" w:eastAsia="仿宋" w:cs="仿宋"/>
              <w:b/>
              <w:sz w:val="28"/>
              <w:szCs w:val="28"/>
              <w:highlight w:val="none"/>
            </w:rPr>
            <w:fldChar w:fldCharType="end"/>
          </w:r>
          <w:r>
            <w:rPr>
              <w:rFonts w:hint="eastAsia" w:ascii="仿宋" w:hAnsi="仿宋" w:eastAsia="仿宋" w:cs="仿宋"/>
              <w:b/>
              <w:sz w:val="28"/>
              <w:szCs w:val="28"/>
              <w:highlight w:val="none"/>
            </w:rPr>
            <w:fldChar w:fldCharType="end"/>
          </w:r>
        </w:p>
        <w:p>
          <w:pPr>
            <w:pStyle w:val="11"/>
            <w:ind w:firstLine="525"/>
            <w:rPr>
              <w:highlight w:val="none"/>
            </w:rPr>
            <w:sectPr>
              <w:pgSz w:w="11906" w:h="16838"/>
              <w:pgMar w:top="1440" w:right="1800" w:bottom="1440" w:left="1800" w:header="851" w:footer="992" w:gutter="0"/>
              <w:cols w:space="425" w:num="1"/>
              <w:docGrid w:type="lines" w:linePitch="312" w:charSpace="0"/>
            </w:sectPr>
          </w:pPr>
          <w:r>
            <w:rPr>
              <w:b/>
              <w:highlight w:val="none"/>
            </w:rPr>
            <w:fldChar w:fldCharType="end"/>
          </w:r>
        </w:p>
      </w:sdtContent>
    </w:sdt>
    <w:p>
      <w:pPr>
        <w:pStyle w:val="2"/>
        <w:widowControl w:val="0"/>
        <w:ind w:firstLine="643"/>
        <w:jc w:val="both"/>
        <w:rPr>
          <w:highlight w:val="none"/>
        </w:rPr>
      </w:pPr>
      <w:bookmarkStart w:id="4" w:name="_Toc19587"/>
      <w:r>
        <w:rPr>
          <w:rFonts w:hint="eastAsia"/>
          <w:highlight w:val="none"/>
        </w:rPr>
        <w:t>一、建设基础</w:t>
      </w:r>
      <w:bookmarkEnd w:id="4"/>
    </w:p>
    <w:p>
      <w:pPr>
        <w:pStyle w:val="3"/>
        <w:widowControl w:val="0"/>
        <w:spacing w:line="240" w:lineRule="auto"/>
        <w:ind w:firstLine="643"/>
        <w:rPr>
          <w:rFonts w:ascii="楷体" w:hAnsi="楷体" w:eastAsia="楷体" w:cs="楷体"/>
          <w:kern w:val="2"/>
          <w:highlight w:val="none"/>
        </w:rPr>
      </w:pPr>
      <w:bookmarkStart w:id="5" w:name="_Toc20397"/>
      <w:r>
        <w:rPr>
          <w:rFonts w:hint="eastAsia" w:ascii="楷体" w:hAnsi="楷体" w:eastAsia="楷体" w:cs="楷体"/>
          <w:kern w:val="2"/>
          <w:highlight w:val="none"/>
        </w:rPr>
        <w:t>（一）创建优势</w:t>
      </w:r>
      <w:bookmarkEnd w:id="5"/>
    </w:p>
    <w:p>
      <w:pPr>
        <w:spacing w:after="0" w:line="360" w:lineRule="auto"/>
        <w:ind w:firstLine="619" w:firstLineChars="200"/>
        <w:rPr>
          <w:rFonts w:ascii="仿宋" w:hAnsi="仿宋" w:eastAsia="仿宋" w:cs="Times New Roman"/>
          <w:b/>
          <w:bCs/>
          <w:spacing w:val="-6"/>
          <w:kern w:val="0"/>
          <w:sz w:val="32"/>
          <w:szCs w:val="32"/>
          <w:highlight w:val="none"/>
          <w14:ligatures w14:val="none"/>
        </w:rPr>
      </w:pPr>
      <w:r>
        <w:rPr>
          <w:rFonts w:hint="eastAsia" w:ascii="仿宋" w:hAnsi="仿宋" w:eastAsia="仿宋" w:cs="Times New Roman"/>
          <w:b/>
          <w:bCs/>
          <w:spacing w:val="-6"/>
          <w:kern w:val="0"/>
          <w:sz w:val="32"/>
          <w:szCs w:val="32"/>
          <w:highlight w:val="none"/>
          <w14:ligatures w14:val="none"/>
        </w:rPr>
        <w:t>（1）区位优越，交通便捷</w:t>
      </w:r>
    </w:p>
    <w:p>
      <w:pPr>
        <w:spacing w:after="0" w:line="360" w:lineRule="auto"/>
        <w:ind w:firstLine="616" w:firstLineChars="200"/>
        <w:jc w:val="both"/>
        <w:rPr>
          <w:rFonts w:ascii="仿宋" w:hAnsi="仿宋" w:eastAsia="仿宋" w:cs="仿宋"/>
          <w:spacing w:val="-6"/>
          <w:kern w:val="0"/>
          <w:sz w:val="32"/>
          <w:szCs w:val="32"/>
          <w:highlight w:val="none"/>
          <w14:ligatures w14:val="none"/>
        </w:rPr>
      </w:pPr>
      <w:r>
        <w:rPr>
          <w:rFonts w:hint="eastAsia" w:ascii="仿宋" w:hAnsi="仿宋" w:eastAsia="仿宋" w:cs="仿宋"/>
          <w:spacing w:val="-6"/>
          <w:kern w:val="0"/>
          <w:sz w:val="32"/>
          <w:szCs w:val="32"/>
          <w:highlight w:val="none"/>
          <w14:ligatures w14:val="none"/>
        </w:rPr>
        <w:t>泗水县位于山东省中南部，泰沂山区南麓，地处济宁、临沂、泰安三市交界处，是山东省“一群两心三圈”的城镇空间格局的重要节点，鲁南经济圈的中心节点，区位优势明显。境内兖石铁路、327国道、日兰高速、董梁高速、日兰高铁横贯东西并设有泗水南站，103省道、512省道纵穿南北，西接京台高速、京沪高铁、济宁新机场，北临济南机场，东接日照海港、临沂机场，交通网络四通八达。</w:t>
      </w:r>
    </w:p>
    <w:p>
      <w:pPr>
        <w:spacing w:after="0" w:line="360" w:lineRule="auto"/>
        <w:ind w:firstLine="619" w:firstLineChars="200"/>
        <w:rPr>
          <w:rFonts w:ascii="仿宋" w:hAnsi="仿宋" w:eastAsia="仿宋" w:cs="Times New Roman"/>
          <w:b/>
          <w:bCs/>
          <w:spacing w:val="-6"/>
          <w:kern w:val="0"/>
          <w:sz w:val="32"/>
          <w:szCs w:val="32"/>
          <w:highlight w:val="none"/>
          <w14:ligatures w14:val="none"/>
        </w:rPr>
      </w:pPr>
      <w:r>
        <w:rPr>
          <w:rFonts w:hint="eastAsia" w:ascii="仿宋" w:hAnsi="仿宋" w:eastAsia="仿宋" w:cs="Times New Roman"/>
          <w:b/>
          <w:bCs/>
          <w:spacing w:val="-6"/>
          <w:kern w:val="0"/>
          <w:sz w:val="32"/>
          <w:szCs w:val="32"/>
          <w:highlight w:val="none"/>
          <w14:ligatures w14:val="none"/>
        </w:rPr>
        <w:t>（2）灵山秀水</w:t>
      </w:r>
      <w:r>
        <w:rPr>
          <w:rFonts w:hint="eastAsia" w:ascii="仿宋" w:hAnsi="仿宋" w:eastAsia="仿宋" w:cs="Times New Roman"/>
          <w:b/>
          <w:bCs/>
          <w:spacing w:val="-6"/>
          <w:kern w:val="0"/>
          <w:sz w:val="32"/>
          <w:szCs w:val="32"/>
          <w:highlight w:val="none"/>
          <w:lang w:eastAsia="zh-CN"/>
          <w14:ligatures w14:val="none"/>
        </w:rPr>
        <w:t>，</w:t>
      </w:r>
      <w:r>
        <w:rPr>
          <w:rFonts w:hint="eastAsia" w:ascii="仿宋" w:hAnsi="仿宋" w:eastAsia="仿宋" w:cs="Times New Roman"/>
          <w:b/>
          <w:bCs/>
          <w:spacing w:val="-6"/>
          <w:kern w:val="0"/>
          <w:sz w:val="32"/>
          <w:szCs w:val="32"/>
          <w:highlight w:val="none"/>
          <w14:ligatures w14:val="none"/>
        </w:rPr>
        <w:t>本底优良</w:t>
      </w:r>
    </w:p>
    <w:p>
      <w:pPr>
        <w:spacing w:after="0" w:line="360" w:lineRule="auto"/>
        <w:ind w:firstLine="616" w:firstLineChars="200"/>
        <w:jc w:val="both"/>
        <w:rPr>
          <w:rFonts w:ascii="仿宋" w:hAnsi="仿宋" w:eastAsia="仿宋" w:cs="仿宋"/>
          <w:spacing w:val="-6"/>
          <w:kern w:val="0"/>
          <w:sz w:val="32"/>
          <w:szCs w:val="32"/>
          <w:highlight w:val="none"/>
          <w14:ligatures w14:val="none"/>
        </w:rPr>
      </w:pPr>
      <w:r>
        <w:rPr>
          <w:rFonts w:hint="eastAsia" w:ascii="仿宋" w:hAnsi="仿宋" w:eastAsia="仿宋" w:cs="仿宋"/>
          <w:spacing w:val="-6"/>
          <w:kern w:val="0"/>
          <w:sz w:val="32"/>
          <w:szCs w:val="32"/>
          <w:highlight w:val="none"/>
          <w14:ligatures w14:val="none"/>
        </w:rPr>
        <w:t>泗水因泗河发源于境内而得名，历来有“中国泉乡”“海岱明川”之美誉。山脉众多，风景秀美，大小山561座，海拔500来以上的11座，海拔400米以上的71座，其余为400米以下的低山丘陵。河流众多,泗河是境内唯一大河，发源于泉林镇陪尾山，山下泉水涌出，汇集成流，即泗河源头，泗河自东向西横贯全境，境内长52公里，干支流32条，总长360.4公里，流经9个镇街。名泉荟萃，特别是东部泉林一带，泉多如林，主要有红石泉、珍珠泉、响水泉、双睛泉等。</w:t>
      </w:r>
    </w:p>
    <w:p>
      <w:pPr>
        <w:spacing w:after="0" w:line="360" w:lineRule="auto"/>
        <w:ind w:firstLine="619" w:firstLineChars="200"/>
        <w:rPr>
          <w:rFonts w:ascii="仿宋" w:hAnsi="仿宋" w:eastAsia="仿宋" w:cs="Times New Roman"/>
          <w:b/>
          <w:bCs/>
          <w:spacing w:val="-6"/>
          <w:kern w:val="0"/>
          <w:sz w:val="32"/>
          <w:szCs w:val="32"/>
          <w:highlight w:val="none"/>
          <w14:ligatures w14:val="none"/>
        </w:rPr>
      </w:pPr>
      <w:r>
        <w:rPr>
          <w:rFonts w:hint="eastAsia" w:ascii="仿宋" w:hAnsi="仿宋" w:eastAsia="仿宋" w:cs="Times New Roman"/>
          <w:b/>
          <w:bCs/>
          <w:spacing w:val="-6"/>
          <w:kern w:val="0"/>
          <w:sz w:val="32"/>
          <w:szCs w:val="32"/>
          <w:highlight w:val="none"/>
          <w14:ligatures w14:val="none"/>
        </w:rPr>
        <w:t>（3）农产丰富</w:t>
      </w:r>
      <w:r>
        <w:rPr>
          <w:rFonts w:hint="eastAsia" w:ascii="仿宋" w:hAnsi="仿宋" w:eastAsia="仿宋" w:cs="Times New Roman"/>
          <w:b/>
          <w:bCs/>
          <w:spacing w:val="-6"/>
          <w:kern w:val="0"/>
          <w:sz w:val="32"/>
          <w:szCs w:val="32"/>
          <w:highlight w:val="none"/>
          <w:lang w:eastAsia="zh-CN"/>
          <w14:ligatures w14:val="none"/>
        </w:rPr>
        <w:t>，</w:t>
      </w:r>
      <w:r>
        <w:rPr>
          <w:rFonts w:hint="eastAsia" w:ascii="仿宋" w:hAnsi="仿宋" w:eastAsia="仿宋" w:cs="Times New Roman"/>
          <w:b/>
          <w:bCs/>
          <w:spacing w:val="-6"/>
          <w:kern w:val="0"/>
          <w:sz w:val="32"/>
          <w:szCs w:val="32"/>
          <w:highlight w:val="none"/>
          <w14:ligatures w14:val="none"/>
        </w:rPr>
        <w:t>特色明显</w:t>
      </w:r>
    </w:p>
    <w:p>
      <w:pPr>
        <w:spacing w:after="0" w:line="360" w:lineRule="auto"/>
        <w:ind w:firstLine="616" w:firstLineChars="200"/>
        <w:jc w:val="both"/>
        <w:rPr>
          <w:rFonts w:ascii="仿宋" w:hAnsi="仿宋" w:eastAsia="仿宋" w:cs="仿宋"/>
          <w:color w:val="000000"/>
          <w:kern w:val="0"/>
          <w:sz w:val="32"/>
          <w:szCs w:val="32"/>
          <w:highlight w:val="none"/>
          <w:lang w:bidi="ar"/>
        </w:rPr>
      </w:pPr>
      <w:r>
        <w:rPr>
          <w:rFonts w:hint="eastAsia" w:ascii="仿宋" w:hAnsi="仿宋" w:eastAsia="仿宋" w:cs="仿宋"/>
          <w:spacing w:val="-6"/>
          <w:kern w:val="0"/>
          <w:sz w:val="32"/>
          <w:szCs w:val="32"/>
          <w:highlight w:val="none"/>
          <w14:ligatures w14:val="none"/>
        </w:rPr>
        <w:t>农业资源丰富，享有“川上粮仓”之美誉。目前，拥有60余万亩标准化生产基地，是“中国优质林果之乡”、“中国优质花生之乡”、</w:t>
      </w:r>
      <w:r>
        <w:rPr>
          <w:rFonts w:ascii="仿宋" w:hAnsi="仿宋" w:eastAsia="仿宋" w:cs="仿宋"/>
          <w:spacing w:val="-6"/>
          <w:kern w:val="0"/>
          <w:sz w:val="32"/>
          <w:szCs w:val="32"/>
          <w:highlight w:val="none"/>
          <w14:ligatures w14:val="none"/>
        </w:rPr>
        <w:t>”</w:t>
      </w:r>
      <w:r>
        <w:rPr>
          <w:rFonts w:hint="eastAsia" w:ascii="仿宋" w:hAnsi="仿宋" w:eastAsia="仿宋" w:cs="仿宋"/>
          <w:spacing w:val="-6"/>
          <w:kern w:val="0"/>
          <w:sz w:val="32"/>
          <w:szCs w:val="32"/>
          <w:highlight w:val="none"/>
          <w14:ligatures w14:val="none"/>
        </w:rPr>
        <w:t>中国优质西瓜之乡</w:t>
      </w:r>
      <w:r>
        <w:rPr>
          <w:rFonts w:ascii="仿宋" w:hAnsi="仿宋" w:eastAsia="仿宋" w:cs="仿宋"/>
          <w:spacing w:val="-6"/>
          <w:kern w:val="0"/>
          <w:sz w:val="32"/>
          <w:szCs w:val="32"/>
          <w:highlight w:val="none"/>
          <w14:ligatures w14:val="none"/>
        </w:rPr>
        <w:t>”</w:t>
      </w:r>
      <w:r>
        <w:rPr>
          <w:rFonts w:hint="eastAsia" w:ascii="仿宋" w:hAnsi="仿宋" w:eastAsia="仿宋" w:cs="仿宋"/>
          <w:spacing w:val="-6"/>
          <w:kern w:val="0"/>
          <w:sz w:val="32"/>
          <w:szCs w:val="32"/>
          <w:highlight w:val="none"/>
          <w14:ligatures w14:val="none"/>
        </w:rPr>
        <w:t>、“中国优质地瓜原产地”、“中国核桃之乡”和 “中国元宝枫之乡”。目前，地瓜、花生、西瓜三大农产品入</w:t>
      </w:r>
      <w:r>
        <w:rPr>
          <w:rFonts w:ascii="仿宋" w:hAnsi="仿宋" w:eastAsia="仿宋" w:cs="仿宋"/>
          <w:spacing w:val="-6"/>
          <w:kern w:val="0"/>
          <w:sz w:val="32"/>
          <w:szCs w:val="32"/>
          <w:highlight w:val="none"/>
          <w14:ligatures w14:val="none"/>
        </w:rPr>
        <w:t>选国家“名特优新”名录</w:t>
      </w:r>
      <w:r>
        <w:rPr>
          <w:rFonts w:hint="eastAsia" w:ascii="仿宋" w:hAnsi="仿宋" w:eastAsia="仿宋" w:cs="仿宋"/>
          <w:spacing w:val="-6"/>
          <w:kern w:val="0"/>
          <w:sz w:val="32"/>
          <w:szCs w:val="32"/>
          <w:highlight w:val="none"/>
          <w14:ligatures w14:val="none"/>
        </w:rPr>
        <w:t>。2022年，新增“三品一标”农产品9个，“三品一标”农产品累计162个。</w:t>
      </w:r>
    </w:p>
    <w:p>
      <w:pPr>
        <w:spacing w:after="0" w:line="360" w:lineRule="auto"/>
        <w:ind w:firstLine="619" w:firstLineChars="200"/>
        <w:rPr>
          <w:rFonts w:ascii="仿宋" w:hAnsi="仿宋" w:eastAsia="仿宋" w:cs="Times New Roman"/>
          <w:b/>
          <w:bCs/>
          <w:spacing w:val="-6"/>
          <w:kern w:val="0"/>
          <w:sz w:val="32"/>
          <w:szCs w:val="32"/>
          <w:highlight w:val="none"/>
          <w14:ligatures w14:val="none"/>
        </w:rPr>
      </w:pPr>
      <w:r>
        <w:rPr>
          <w:rFonts w:hint="eastAsia" w:ascii="仿宋" w:hAnsi="仿宋" w:eastAsia="仿宋" w:cs="Times New Roman"/>
          <w:b/>
          <w:bCs/>
          <w:spacing w:val="-6"/>
          <w:kern w:val="0"/>
          <w:sz w:val="32"/>
          <w:szCs w:val="32"/>
          <w:highlight w:val="none"/>
          <w14:ligatures w14:val="none"/>
        </w:rPr>
        <w:t>（4）食品加工，产业集群</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bidi="ar"/>
        </w:rPr>
        <w:t>泗水县厚植农产品质优量大的传统优势，深耕食品领域产业集群，着力打造带动县域高质量发展的强力引擎。积极开展招商引资，吸引康师傅、娃哈哈、盼盼、亲亲等多个知名品牌企业落户。坚持外来食品企业、本土食品企业齐帮共促和齐头并进战略，产能规模和竞争层次快速提升，已形成甘薯加工、肉禽加工、烘焙休闲食品、果蔬饮料四大产业链条。全力打造“一县一业”甘薯产业，持续做强“泗水地瓜”特色品牌，推动泗水现代农业（甘薯）产业园成功入选国家现代农业产业园创建名单。泗水县科学擘画食品产业发展“新蓝图”，连续三届评为“中国食品工业强县”。</w:t>
      </w:r>
    </w:p>
    <w:p>
      <w:pPr>
        <w:spacing w:after="0" w:line="360" w:lineRule="auto"/>
        <w:ind w:firstLine="619" w:firstLineChars="200"/>
        <w:rPr>
          <w:rFonts w:ascii="仿宋" w:hAnsi="仿宋" w:eastAsia="仿宋" w:cs="Times New Roman"/>
          <w:b/>
          <w:bCs/>
          <w:spacing w:val="-6"/>
          <w:kern w:val="0"/>
          <w:sz w:val="32"/>
          <w:szCs w:val="32"/>
          <w:highlight w:val="none"/>
          <w14:ligatures w14:val="none"/>
        </w:rPr>
      </w:pPr>
      <w:r>
        <w:rPr>
          <w:rFonts w:hint="eastAsia" w:ascii="仿宋" w:hAnsi="仿宋" w:eastAsia="仿宋" w:cs="Times New Roman"/>
          <w:b/>
          <w:bCs/>
          <w:spacing w:val="-6"/>
          <w:kern w:val="0"/>
          <w:sz w:val="32"/>
          <w:szCs w:val="32"/>
          <w:highlight w:val="none"/>
          <w14:ligatures w14:val="none"/>
        </w:rPr>
        <w:t>（5）乡村振兴</w:t>
      </w:r>
      <w:r>
        <w:rPr>
          <w:rFonts w:hint="eastAsia" w:ascii="仿宋" w:hAnsi="仿宋" w:eastAsia="仿宋" w:cs="Times New Roman"/>
          <w:b/>
          <w:bCs/>
          <w:spacing w:val="-6"/>
          <w:kern w:val="0"/>
          <w:sz w:val="32"/>
          <w:szCs w:val="32"/>
          <w:highlight w:val="none"/>
          <w:lang w:eastAsia="zh-CN"/>
          <w14:ligatures w14:val="none"/>
        </w:rPr>
        <w:t>，</w:t>
      </w:r>
      <w:r>
        <w:rPr>
          <w:rFonts w:hint="eastAsia" w:ascii="仿宋" w:hAnsi="仿宋" w:eastAsia="仿宋" w:cs="Times New Roman"/>
          <w:b/>
          <w:bCs/>
          <w:spacing w:val="-6"/>
          <w:kern w:val="0"/>
          <w:sz w:val="32"/>
          <w:szCs w:val="32"/>
          <w:highlight w:val="none"/>
          <w14:ligatures w14:val="none"/>
        </w:rPr>
        <w:t>成效显著</w:t>
      </w:r>
    </w:p>
    <w:p>
      <w:pPr>
        <w:spacing w:after="0" w:line="360" w:lineRule="auto"/>
        <w:ind w:firstLine="640" w:firstLineChars="200"/>
        <w:jc w:val="both"/>
        <w:rPr>
          <w:highlight w:val="none"/>
        </w:rPr>
      </w:pPr>
      <w:r>
        <w:rPr>
          <w:rFonts w:hint="eastAsia" w:ascii="仿宋" w:hAnsi="仿宋" w:eastAsia="仿宋" w:cs="仿宋"/>
          <w:color w:val="000000"/>
          <w:kern w:val="0"/>
          <w:sz w:val="32"/>
          <w:szCs w:val="32"/>
          <w:highlight w:val="none"/>
          <w:lang w:bidi="ar"/>
        </w:rPr>
        <w:t>龙湾湖乡村振兴示范区认定为首批山东省乡村振兴齐鲁样板省级示范区。《山东泗水发挥政策集成效应激发乡村振兴新动能》典型案例在国家乡村振兴局发文推广。2022年，新增山东省农业产业强镇2个、山东省乡土产业名品村9个。鸿润公司入选山东省首届农业产业化“头部企业”,利丰公司入选山东省农业特色产业“单项冠军”企业；实施新型农业经营主体培育行动，新增国家级示范主体1家、省级13家、市级22家、县级39家，各类示范主体累计达到244家；新增省级农业产业化龙头企业2家、市级7家、县级6家，龙头企业达到69家，10家龙头企业被评为国家科技型中小企业；8名高素质农民入选山东省2022年齐鲁乡村之星。</w:t>
      </w:r>
    </w:p>
    <w:p>
      <w:pPr>
        <w:spacing w:after="0" w:line="360" w:lineRule="auto"/>
        <w:ind w:firstLine="619" w:firstLineChars="200"/>
        <w:rPr>
          <w:rFonts w:ascii="仿宋" w:hAnsi="仿宋" w:eastAsia="仿宋" w:cs="Times New Roman"/>
          <w:b/>
          <w:bCs/>
          <w:spacing w:val="-6"/>
          <w:kern w:val="0"/>
          <w:sz w:val="32"/>
          <w:szCs w:val="32"/>
          <w:highlight w:val="none"/>
          <w14:ligatures w14:val="none"/>
        </w:rPr>
      </w:pPr>
      <w:r>
        <w:rPr>
          <w:rFonts w:hint="eastAsia" w:ascii="仿宋" w:hAnsi="仿宋" w:eastAsia="仿宋" w:cs="Times New Roman"/>
          <w:b/>
          <w:bCs/>
          <w:spacing w:val="-6"/>
          <w:kern w:val="0"/>
          <w:sz w:val="32"/>
          <w:szCs w:val="32"/>
          <w:highlight w:val="none"/>
          <w14:ligatures w14:val="none"/>
        </w:rPr>
        <w:t>（6）历史悠久</w:t>
      </w:r>
      <w:r>
        <w:rPr>
          <w:rFonts w:hint="eastAsia" w:ascii="仿宋" w:hAnsi="仿宋" w:eastAsia="仿宋" w:cs="Times New Roman"/>
          <w:b/>
          <w:bCs/>
          <w:spacing w:val="-6"/>
          <w:kern w:val="0"/>
          <w:sz w:val="32"/>
          <w:szCs w:val="32"/>
          <w:highlight w:val="none"/>
          <w:lang w:eastAsia="zh-CN"/>
          <w14:ligatures w14:val="none"/>
        </w:rPr>
        <w:t>，</w:t>
      </w:r>
      <w:r>
        <w:rPr>
          <w:rFonts w:hint="eastAsia" w:ascii="仿宋" w:hAnsi="仿宋" w:eastAsia="仿宋" w:cs="Times New Roman"/>
          <w:b/>
          <w:bCs/>
          <w:spacing w:val="-6"/>
          <w:kern w:val="0"/>
          <w:sz w:val="32"/>
          <w:szCs w:val="32"/>
          <w:highlight w:val="none"/>
          <w14:ligatures w14:val="none"/>
        </w:rPr>
        <w:t>底蕴深厚</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bidi="ar"/>
        </w:rPr>
        <w:t>文脉兴盛、圣贤辈出、历史悠久。泗水是泗河文化的发祥地，东夷文化的摇篮，伏羲、舜帝的故乡，是至圣孔子的诞生地，先贤仲子的故里，儒家学说的重要发祥地，被称为“洙泗渊源之地、圣化融液之区”。商为卞明国，周秦为鲁卞邑，隋始置泗水县至今，众多文化于此交织融合，主要包括运河文化、儒源文化、帝王文化、泉文化、名人文化、土陶文化、山水生态文化、红色文化、诗词文化等文化，文化资源丰富。</w:t>
      </w:r>
    </w:p>
    <w:p>
      <w:pPr>
        <w:pStyle w:val="3"/>
        <w:widowControl w:val="0"/>
        <w:spacing w:line="240" w:lineRule="auto"/>
        <w:ind w:firstLine="643"/>
        <w:rPr>
          <w:rFonts w:ascii="楷体" w:hAnsi="楷体" w:eastAsia="楷体" w:cs="楷体"/>
          <w:kern w:val="2"/>
          <w:highlight w:val="none"/>
        </w:rPr>
      </w:pPr>
      <w:bookmarkStart w:id="6" w:name="_Toc17261"/>
      <w:r>
        <w:rPr>
          <w:rFonts w:hint="eastAsia" w:ascii="楷体" w:hAnsi="楷体" w:eastAsia="楷体" w:cs="楷体"/>
          <w:kern w:val="2"/>
          <w:highlight w:val="none"/>
        </w:rPr>
        <w:t>（二）工作基础</w:t>
      </w:r>
      <w:bookmarkEnd w:id="6"/>
    </w:p>
    <w:p>
      <w:pPr>
        <w:spacing w:after="0" w:line="360" w:lineRule="auto"/>
        <w:ind w:firstLine="619" w:firstLineChars="200"/>
        <w:rPr>
          <w:rFonts w:ascii="仿宋" w:hAnsi="仿宋" w:eastAsia="仿宋" w:cs="Times New Roman"/>
          <w:b/>
          <w:bCs/>
          <w:spacing w:val="-6"/>
          <w:kern w:val="0"/>
          <w:sz w:val="32"/>
          <w:szCs w:val="32"/>
          <w:highlight w:val="none"/>
          <w14:ligatures w14:val="none"/>
        </w:rPr>
      </w:pPr>
      <w:r>
        <w:rPr>
          <w:rFonts w:hint="eastAsia" w:ascii="仿宋" w:hAnsi="仿宋" w:eastAsia="仿宋" w:cs="Times New Roman"/>
          <w:b/>
          <w:bCs/>
          <w:spacing w:val="-6"/>
          <w:kern w:val="0"/>
          <w:sz w:val="32"/>
          <w:szCs w:val="32"/>
          <w:highlight w:val="none"/>
          <w14:ligatures w14:val="none"/>
        </w:rPr>
        <w:t>（1）体制机制不断完善</w:t>
      </w:r>
    </w:p>
    <w:p>
      <w:pPr>
        <w:spacing w:after="0" w:line="360" w:lineRule="auto"/>
        <w:ind w:firstLine="640" w:firstLineChars="200"/>
        <w:jc w:val="both"/>
        <w:rPr>
          <w:highlight w:val="none"/>
        </w:rPr>
      </w:pPr>
      <w:r>
        <w:rPr>
          <w:rFonts w:hint="eastAsia" w:ascii="仿宋" w:hAnsi="仿宋" w:eastAsia="仿宋" w:cs="仿宋"/>
          <w:color w:val="000000"/>
          <w:kern w:val="0"/>
          <w:sz w:val="32"/>
          <w:szCs w:val="32"/>
          <w:highlight w:val="none"/>
          <w:lang w:bidi="ar"/>
        </w:rPr>
        <w:t>构建生态环境保护工作齐抓共管大格局。成立泗水县生态环境保护委员会，制定出台《泗水县生态环境委员会工作规则》《泗水县生态环境委员会办公室工作细则》《泗水县生态环境委员会各专委会组成人员和主要职责》，形成了“党政同责、一岗双责、齐抓共管、失职追责”的工作推进机制。</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bidi="ar"/>
        </w:rPr>
        <w:t>全面推进河湖长制工作。2022年印发《泗水县第8号总河长令》，制定下发《泗水县2022年度河湖长制工作要点》，全面执行了泗水县河长制工作月综合评价制度，修订完善了“河长制+检察长制”、“河长制+警长制”等协调配合机制，进一步落实泗水县河长制联合办公制度，河湖长制工作县级考核办法等，基本形成了河湖长负责、水务部门牵头、相关部门配合、社会参与的河湖管理责任体系和协调联动机制。实行“发现、反馈、整改、销号”闭环管理机制，河湖管理保护相关部门责任明晰、分工协作、能够形成工作合力。</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bidi="ar"/>
        </w:rPr>
        <w:t>深入推进林长制工作。深化林长制改革，探索创新模式，推行“林长+荒山绿化、林长+森林防火、林长+古树名木”等工作模式，以林长制为抓手扎实推进各项林业工作有序开展。“林长+荒山绿化”将林长制与荒山绿化三年行动深度融合，造林小班全部明确包保县、乡、村三级林长，压实各级林长栽管护责任。“林长+森林防火”模式，将森林防火纳入各级林长巡林的重点任务，完善县乡村三级林长加护林员四级包保责任制，拧紧森防责任链条，构建起环环相扣的责任落实体系。全面落实“林长+古树名木”管理模式，约900余株古树名木纳入“树长制”保护体系，实现精准化管理。</w:t>
      </w:r>
    </w:p>
    <w:p>
      <w:pPr>
        <w:spacing w:after="0" w:line="360" w:lineRule="auto"/>
        <w:ind w:firstLine="619" w:firstLineChars="200"/>
        <w:rPr>
          <w:rFonts w:ascii="仿宋" w:hAnsi="仿宋" w:eastAsia="仿宋" w:cs="Times New Roman"/>
          <w:b/>
          <w:bCs/>
          <w:spacing w:val="-6"/>
          <w:kern w:val="0"/>
          <w:sz w:val="32"/>
          <w:szCs w:val="32"/>
          <w:highlight w:val="none"/>
          <w14:ligatures w14:val="none"/>
        </w:rPr>
      </w:pPr>
      <w:r>
        <w:rPr>
          <w:rFonts w:hint="eastAsia" w:ascii="仿宋" w:hAnsi="仿宋" w:eastAsia="仿宋" w:cs="Times New Roman"/>
          <w:b/>
          <w:bCs/>
          <w:spacing w:val="-6"/>
          <w:kern w:val="0"/>
          <w:sz w:val="32"/>
          <w:szCs w:val="32"/>
          <w:highlight w:val="none"/>
          <w14:ligatures w14:val="none"/>
        </w:rPr>
        <w:t>（2）生态环境持续改善</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bidi="ar"/>
        </w:rPr>
        <w:t>生态环境全面改善。以生态环境质量持续改善为核心，坚持精准治污、科学治污、依法治污，以“争一流、争第一、争唯一”的决心和行动深入打好污染防治攻坚战，推动蓝天、碧水、净土保卫战取得阶段性胜利。2022年，泗水县空气质量综合指数为4.5，同比改善8.2%；优良天数比例为67.0%，同比改善3.4%；PM</w:t>
      </w:r>
      <w:r>
        <w:rPr>
          <w:rFonts w:hint="eastAsia" w:ascii="仿宋" w:hAnsi="仿宋" w:eastAsia="仿宋" w:cs="仿宋"/>
          <w:color w:val="000000"/>
          <w:kern w:val="0"/>
          <w:sz w:val="32"/>
          <w:szCs w:val="32"/>
          <w:highlight w:val="none"/>
          <w:vertAlign w:val="subscript"/>
          <w:lang w:bidi="ar"/>
        </w:rPr>
        <w:t>2.5</w:t>
      </w:r>
      <w:r>
        <w:rPr>
          <w:rFonts w:hint="eastAsia" w:ascii="仿宋" w:hAnsi="仿宋" w:eastAsia="仿宋" w:cs="仿宋"/>
          <w:color w:val="000000"/>
          <w:kern w:val="0"/>
          <w:sz w:val="32"/>
          <w:szCs w:val="32"/>
          <w:highlight w:val="none"/>
          <w:lang w:bidi="ar"/>
        </w:rPr>
        <w:t>、PM</w:t>
      </w:r>
      <w:r>
        <w:rPr>
          <w:rFonts w:hint="eastAsia" w:ascii="仿宋" w:hAnsi="仿宋" w:eastAsia="仿宋" w:cs="仿宋"/>
          <w:color w:val="000000"/>
          <w:kern w:val="0"/>
          <w:sz w:val="32"/>
          <w:szCs w:val="32"/>
          <w:highlight w:val="none"/>
          <w:vertAlign w:val="subscript"/>
          <w:lang w:bidi="ar"/>
        </w:rPr>
        <w:t>10</w:t>
      </w:r>
      <w:r>
        <w:rPr>
          <w:rFonts w:hint="eastAsia" w:ascii="仿宋" w:hAnsi="仿宋" w:eastAsia="仿宋" w:cs="仿宋"/>
          <w:color w:val="000000"/>
          <w:kern w:val="0"/>
          <w:sz w:val="32"/>
          <w:szCs w:val="32"/>
          <w:highlight w:val="none"/>
          <w:lang w:bidi="ar"/>
        </w:rPr>
        <w:t xml:space="preserve">平均浓度分别为44微克/立方米、71微克/立方米，同比改善分别为10.2%、11.2%。地表水断面达标率100%，饮用水水质达标率100%。按照《泗水县国控故县坝河流断面“一河一专班”工作方案》，十三个镇街均成立“一河一专班”及巡河小组。县生态建设暨环境保护指挥部办公室不定期对河流进行巡查，对发现的河流菹草较多、河道垃圾、污水直排等问题第一时间向责任单位下发工作提醒函，督促相关单位对存在的污染隐患及时处理并限时整改。2022年，国控故县坝断面水质均值达到了地表水Ⅱ类标准，在全省国、省控以上地表水考核中排名第13位、全市第一名。深入打好净土保卫战，土壤环境质量稳中向好。   </w:t>
      </w:r>
    </w:p>
    <w:p>
      <w:pPr>
        <w:spacing w:after="0" w:line="360" w:lineRule="auto"/>
        <w:ind w:firstLine="619" w:firstLineChars="200"/>
        <w:rPr>
          <w:rFonts w:ascii="仿宋" w:hAnsi="仿宋" w:eastAsia="仿宋" w:cs="Times New Roman"/>
          <w:b/>
          <w:bCs/>
          <w:spacing w:val="-6"/>
          <w:kern w:val="0"/>
          <w:sz w:val="32"/>
          <w:szCs w:val="32"/>
          <w:highlight w:val="none"/>
          <w14:ligatures w14:val="none"/>
        </w:rPr>
      </w:pPr>
      <w:r>
        <w:rPr>
          <w:rFonts w:hint="eastAsia" w:ascii="仿宋" w:hAnsi="仿宋" w:eastAsia="仿宋" w:cs="Times New Roman"/>
          <w:b/>
          <w:bCs/>
          <w:spacing w:val="-6"/>
          <w:kern w:val="0"/>
          <w:sz w:val="32"/>
          <w:szCs w:val="32"/>
          <w:highlight w:val="none"/>
          <w14:ligatures w14:val="none"/>
        </w:rPr>
        <w:t>（3）生态保护与修复成效显著</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bidi="ar"/>
        </w:rPr>
        <w:t>扎实推进生态保护修复治理。泗水县重点抓好“生态资源保护、国土绿化和生态修复、推进生态资源合理利用、强化生态资源科学管理、严格执法监督”五项重点工作，成效显著。开展国土空间规划编制“三区三线”划定工作，自然资源部审查并批复泗水县“三区三线”划定成果。稳步推进自然保护地整合优化工作，划定泉林国家森林自然公园和泗水泉林泉群风景名胜区两处自然保护地。2021年，成功创建“国家水土保持示范县”。2022年，高标准完成荒山绿化,完成工程造林19559亩,森林抚育16712亩,荒山造林面积居全市首位。开展飞机防治春尺蠖、美国白蛾、杨小舟蛾等林业有害生物85万亩。矿产资源全面扎口管理，创成绿色矿山2处。</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bidi="ar"/>
        </w:rPr>
        <w:t>开展美丽幸福河湖建设。根据省、市河长办下发的关于省级美丽幸福示范河湖评分细则和美丽幸福河湖达标建设系列要求，按照《泗水县全域美丽幸福河湖创建三年实施方案》，开展美丽河湖建设工作。2021年，仲都河成功创建省级美丽幸福示范河湖，全县13条河道创建为美丽幸福河湖。2022年吴家河成功创建省级美丽幸福示范河湖，全县37条河道创建为美丽幸福河湖。</w:t>
      </w:r>
    </w:p>
    <w:p>
      <w:pPr>
        <w:spacing w:after="0" w:line="360" w:lineRule="auto"/>
        <w:ind w:firstLine="619" w:firstLineChars="200"/>
        <w:rPr>
          <w:rFonts w:ascii="仿宋" w:hAnsi="仿宋" w:eastAsia="仿宋" w:cs="Times New Roman"/>
          <w:b/>
          <w:bCs/>
          <w:spacing w:val="-6"/>
          <w:kern w:val="0"/>
          <w:sz w:val="32"/>
          <w:szCs w:val="32"/>
          <w:highlight w:val="none"/>
          <w14:ligatures w14:val="none"/>
        </w:rPr>
      </w:pPr>
      <w:r>
        <w:rPr>
          <w:rFonts w:hint="eastAsia" w:ascii="仿宋" w:hAnsi="仿宋" w:eastAsia="仿宋" w:cs="Times New Roman"/>
          <w:b/>
          <w:bCs/>
          <w:spacing w:val="-6"/>
          <w:kern w:val="0"/>
          <w:sz w:val="32"/>
          <w:szCs w:val="32"/>
          <w:highlight w:val="none"/>
          <w14:ligatures w14:val="none"/>
        </w:rPr>
        <w:t>（4）生态经济迅速发展</w:t>
      </w:r>
    </w:p>
    <w:p>
      <w:pPr>
        <w:spacing w:after="0" w:line="360" w:lineRule="auto"/>
        <w:ind w:firstLine="640" w:firstLineChars="200"/>
        <w:jc w:val="both"/>
        <w:rPr>
          <w:highlight w:val="none"/>
        </w:rPr>
      </w:pPr>
      <w:r>
        <w:rPr>
          <w:rFonts w:hint="eastAsia" w:ascii="仿宋" w:hAnsi="仿宋" w:eastAsia="仿宋" w:cs="仿宋"/>
          <w:color w:val="000000"/>
          <w:kern w:val="0"/>
          <w:sz w:val="32"/>
          <w:szCs w:val="32"/>
          <w:highlight w:val="none"/>
          <w:lang w:bidi="ar"/>
        </w:rPr>
        <w:t>动能转换提速加力。“四新”经济增加值完成58.48亿元，同比增长9.8%。制造业增加值占GDP比重19.4%，占比较去年同期提升0.5个百分点。现代服务业增加值55.53亿元，同比增长6.7%。现代高效农林牧渔业增加值完成10.32亿元，同比增长8.1%，占农林牧渔业增加值比重17.06%。工业技改投资同比增长4.6%，高于全市平均17.5个百分点，制造业技改投资同比增长6.8%，高于全市平均19.3个百分点，高技术产业投资同比增长76.9%，高于全市平均47.2个百分点。新能源产业营业收入2.9亿元，同比增长12.2%，高新技术产业总产值31.36亿元，同比增长7.62%。</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bidi="ar"/>
        </w:rPr>
        <w:t>产业不断优化升级。实体经济质效并进。新增规上企业</w:t>
      </w:r>
      <w:r>
        <w:rPr>
          <w:rFonts w:ascii="仿宋" w:hAnsi="仿宋" w:eastAsia="仿宋" w:cs="仿宋"/>
          <w:color w:val="000000"/>
          <w:kern w:val="0"/>
          <w:sz w:val="32"/>
          <w:szCs w:val="32"/>
          <w:highlight w:val="none"/>
          <w:lang w:bidi="ar"/>
        </w:rPr>
        <w:t>25家，规上工业增加值增长6.59%。成功入选省特色优势食品产业集聚区。实施制造业技改项目111个。新增国家级“小巨人”企业3家、省市级33家，新增省级瞪羚企业6家。乡村产业融合发展。现代农业（甘薯）产业园入选国家现代农业产业园创建名单。新增“三品一标”农产品9个。新增国家级新型农业经营示范主体1家、省市级35家，创建省级农业产业化强镇2个。81个行政村集体经济收入过50万元。现代服务业增量提档。新增规上服务业企业10家，实现主营业务收入8.6亿元、增长15%。创建省级民宿集聚区1处、省级景区化村庄2处；2家企业入选“山东手造</w:t>
      </w:r>
      <w:r>
        <w:rPr>
          <w:rFonts w:ascii="仿宋" w:hAnsi="仿宋" w:eastAsia="仿宋" w:cs="仿宋"/>
          <w:color w:val="000000"/>
          <w:kern w:val="0"/>
          <w:sz w:val="28"/>
          <w:szCs w:val="28"/>
          <w:highlight w:val="none"/>
          <w:lang w:bidi="ar"/>
        </w:rPr>
        <w:t>·</w:t>
      </w:r>
      <w:r>
        <w:rPr>
          <w:rFonts w:ascii="仿宋" w:hAnsi="仿宋" w:eastAsia="仿宋" w:cs="仿宋"/>
          <w:color w:val="000000"/>
          <w:kern w:val="0"/>
          <w:sz w:val="32"/>
          <w:szCs w:val="32"/>
          <w:highlight w:val="none"/>
          <w:lang w:bidi="ar"/>
        </w:rPr>
        <w:t>优选100”名单。</w:t>
      </w:r>
    </w:p>
    <w:p>
      <w:pPr>
        <w:spacing w:after="0" w:line="360" w:lineRule="auto"/>
        <w:ind w:firstLine="619" w:firstLineChars="200"/>
        <w:rPr>
          <w:rFonts w:ascii="仿宋" w:hAnsi="仿宋" w:eastAsia="仿宋" w:cs="Times New Roman"/>
          <w:b/>
          <w:bCs/>
          <w:spacing w:val="-6"/>
          <w:kern w:val="0"/>
          <w:sz w:val="32"/>
          <w:szCs w:val="32"/>
          <w:highlight w:val="none"/>
          <w14:ligatures w14:val="none"/>
        </w:rPr>
      </w:pPr>
      <w:r>
        <w:rPr>
          <w:rFonts w:hint="eastAsia" w:ascii="仿宋" w:hAnsi="仿宋" w:eastAsia="仿宋" w:cs="Times New Roman"/>
          <w:b/>
          <w:bCs/>
          <w:spacing w:val="-6"/>
          <w:kern w:val="0"/>
          <w:sz w:val="32"/>
          <w:szCs w:val="32"/>
          <w:highlight w:val="none"/>
          <w14:ligatures w14:val="none"/>
        </w:rPr>
        <w:t>（5）人居环境不断提升</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bidi="ar"/>
        </w:rPr>
        <w:t>城市品质不断提升。2022年，完成泗河路、泉源大道、健康路等14条道路部分路段雨污分流改造12.35公里，55个小区雨污分流改造。新建和改造圣华路北延等7条城市道路。新增集中供热20万平方米。更新天然气居民用户软管6.3万户。新增城市绿地243亩，完成36处文化元素及绿化节点提升。新建商品房55.1万平方米；建成保障性住房160套；改造老旧小区37个，惠及群众1685户。城区新增停车位1100个。圣源湖社区、舜发社区、龙城社区成功创建山东省绿色社区。</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bidi="ar"/>
        </w:rPr>
        <w:t>美丽宜居乡村建设成效显著。以美丽乡村建设为抓手，努力打造生产美产业强、生态美环境优、生活美家园好的“三生三美”新时代山东特色美丽乡村，截至目前，创建省级美丽乡村示范村1</w:t>
      </w:r>
      <w:r>
        <w:rPr>
          <w:rFonts w:ascii="仿宋" w:hAnsi="仿宋" w:eastAsia="仿宋" w:cs="仿宋"/>
          <w:color w:val="000000"/>
          <w:kern w:val="0"/>
          <w:sz w:val="32"/>
          <w:szCs w:val="32"/>
          <w:highlight w:val="none"/>
          <w:lang w:bidi="ar"/>
        </w:rPr>
        <w:t>9个、市级美丽乡村示范村</w:t>
      </w:r>
      <w:r>
        <w:rPr>
          <w:rFonts w:hint="eastAsia" w:ascii="仿宋" w:hAnsi="仿宋" w:eastAsia="仿宋" w:cs="仿宋"/>
          <w:color w:val="000000"/>
          <w:kern w:val="0"/>
          <w:sz w:val="32"/>
          <w:szCs w:val="32"/>
          <w:highlight w:val="none"/>
          <w:lang w:bidi="ar"/>
        </w:rPr>
        <w:t>6</w:t>
      </w:r>
      <w:r>
        <w:rPr>
          <w:rFonts w:ascii="仿宋" w:hAnsi="仿宋" w:eastAsia="仿宋" w:cs="仿宋"/>
          <w:color w:val="000000"/>
          <w:kern w:val="0"/>
          <w:sz w:val="32"/>
          <w:szCs w:val="32"/>
          <w:highlight w:val="none"/>
          <w:lang w:bidi="ar"/>
        </w:rPr>
        <w:t>3</w:t>
      </w:r>
      <w:r>
        <w:rPr>
          <w:rFonts w:hint="eastAsia" w:ascii="仿宋" w:hAnsi="仿宋" w:eastAsia="仿宋" w:cs="仿宋"/>
          <w:color w:val="000000"/>
          <w:kern w:val="0"/>
          <w:sz w:val="32"/>
          <w:szCs w:val="32"/>
          <w:highlight w:val="none"/>
          <w:lang w:bidi="ar"/>
        </w:rPr>
        <w:t>个</w:t>
      </w:r>
      <w:r>
        <w:rPr>
          <w:rFonts w:ascii="仿宋" w:hAnsi="仿宋" w:eastAsia="仿宋" w:cs="仿宋"/>
          <w:color w:val="000000"/>
          <w:kern w:val="0"/>
          <w:sz w:val="32"/>
          <w:szCs w:val="32"/>
          <w:highlight w:val="none"/>
          <w:lang w:bidi="ar"/>
        </w:rPr>
        <w:t>。</w:t>
      </w:r>
      <w:r>
        <w:rPr>
          <w:rFonts w:hint="eastAsia" w:ascii="仿宋" w:hAnsi="仿宋" w:eastAsia="仿宋" w:cs="仿宋"/>
          <w:color w:val="000000"/>
          <w:kern w:val="0"/>
          <w:sz w:val="32"/>
          <w:szCs w:val="32"/>
          <w:highlight w:val="none"/>
          <w:lang w:bidi="ar"/>
        </w:rPr>
        <w:t>纳入省乡村振兴“十百千”示范县创建名单，龙湾湖片区获批首批省级乡村振兴齐鲁样板示范区。2022年，实施清洁取暖改造1284户、农村危房改造248户、农厕改造566户。新修建县乡道路30公里，提升乡村道路50公里、“户户通”工程75公里、改造危桥6座，荣获全省首批信用交通县。实施重点水利工程，完成34个村饮水提升改造。全部配套建设完成规模化养殖场粪污处理设施，配备完成养殖专业户粪污收集处理设施，基本实现污水经处理后还田。</w:t>
      </w:r>
    </w:p>
    <w:p>
      <w:pPr>
        <w:spacing w:after="0" w:line="360" w:lineRule="auto"/>
        <w:ind w:firstLine="619" w:firstLineChars="200"/>
        <w:rPr>
          <w:rFonts w:ascii="仿宋" w:hAnsi="仿宋" w:eastAsia="仿宋" w:cs="Times New Roman"/>
          <w:b/>
          <w:bCs/>
          <w:spacing w:val="-6"/>
          <w:kern w:val="0"/>
          <w:sz w:val="32"/>
          <w:szCs w:val="32"/>
          <w:highlight w:val="none"/>
          <w14:ligatures w14:val="none"/>
        </w:rPr>
      </w:pPr>
      <w:r>
        <w:rPr>
          <w:rFonts w:hint="eastAsia" w:ascii="仿宋" w:hAnsi="仿宋" w:eastAsia="仿宋" w:cs="Times New Roman"/>
          <w:b/>
          <w:bCs/>
          <w:spacing w:val="-6"/>
          <w:kern w:val="0"/>
          <w:sz w:val="32"/>
          <w:szCs w:val="32"/>
          <w:highlight w:val="none"/>
          <w14:ligatures w14:val="none"/>
        </w:rPr>
        <w:t>（6）生态文化不断丰富</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ascii="仿宋" w:hAnsi="仿宋" w:eastAsia="仿宋" w:cs="仿宋"/>
          <w:color w:val="000000"/>
          <w:kern w:val="0"/>
          <w:sz w:val="32"/>
          <w:szCs w:val="32"/>
          <w:highlight w:val="none"/>
          <w:lang w:bidi="ar"/>
        </w:rPr>
        <w:t>文化旅游繁荣发展。等闲谷民宿成功创为首批山东省旅游民宿集聚区，朴宿龙湾·良舍荣获省旅游民宿“十佳建筑设计民宿”、“2022山东文旅新风尚十佳网红民宿”、艾蒂亚金奖之最佳乡村文旅项目奖，等闲谷文创中心入选省历史文化保护传承示范案例。济河街道荣获省第七届全民阅读“书香之乡”称号，杨柳镇孔家村、泗张镇罗家庄村评为全省景区化村庄，杨柳镇小颜庙村入选省红色文化特色村培育创建名单，鲁柘砚研究所获批“省非物质文化遗产传承教育实践基地”，泉林镇潘坡村民俗展示馆评为首批省乡村博物馆，“四季山野乡居之旅”旅游产品入选省高品质旅游产品名单，周蓝田故居入选省第二批革命文物名录，顺利承办世界旅游联盟·旅游助力乡村振兴研讨会，积极参与山东省旅游发展大会、中日韩三国部长会议和世界尼山文明论坛三次重要活动。组织各类大型文化活动100余场，成立14支阅读推广志愿队，开展主题阅读活动2100余场，实施“送戏下乡”文化惠民演出700余场。</w:t>
      </w:r>
    </w:p>
    <w:p>
      <w:pPr>
        <w:pStyle w:val="2"/>
        <w:widowControl w:val="0"/>
        <w:ind w:firstLine="643"/>
        <w:jc w:val="both"/>
        <w:rPr>
          <w:highlight w:val="none"/>
        </w:rPr>
      </w:pPr>
      <w:bookmarkStart w:id="7" w:name="_Toc20066"/>
      <w:r>
        <w:rPr>
          <w:rFonts w:hint="eastAsia"/>
          <w:highlight w:val="none"/>
        </w:rPr>
        <w:t>二、形势分析</w:t>
      </w:r>
      <w:bookmarkEnd w:id="7"/>
    </w:p>
    <w:p>
      <w:pPr>
        <w:pStyle w:val="3"/>
        <w:widowControl w:val="0"/>
        <w:spacing w:line="240" w:lineRule="auto"/>
        <w:ind w:firstLine="643"/>
        <w:rPr>
          <w:rFonts w:ascii="楷体" w:hAnsi="楷体" w:eastAsia="楷体" w:cs="楷体"/>
          <w:kern w:val="2"/>
          <w:highlight w:val="none"/>
        </w:rPr>
      </w:pPr>
      <w:bookmarkStart w:id="8" w:name="_Toc8471"/>
      <w:r>
        <w:rPr>
          <w:rFonts w:hint="eastAsia" w:ascii="楷体" w:hAnsi="楷体" w:eastAsia="楷体" w:cs="楷体"/>
          <w:kern w:val="2"/>
          <w:highlight w:val="none"/>
        </w:rPr>
        <w:t>（一）存在问题</w:t>
      </w:r>
      <w:bookmarkEnd w:id="8"/>
    </w:p>
    <w:p>
      <w:pPr>
        <w:spacing w:after="0" w:line="360" w:lineRule="auto"/>
        <w:ind w:firstLine="619" w:firstLineChars="200"/>
        <w:rPr>
          <w:rFonts w:ascii="仿宋" w:hAnsi="仿宋" w:eastAsia="仿宋" w:cs="Times New Roman"/>
          <w:b/>
          <w:bCs/>
          <w:spacing w:val="-6"/>
          <w:kern w:val="0"/>
          <w:sz w:val="32"/>
          <w:szCs w:val="32"/>
          <w:highlight w:val="none"/>
          <w14:ligatures w14:val="none"/>
        </w:rPr>
      </w:pPr>
      <w:r>
        <w:rPr>
          <w:rFonts w:hint="eastAsia" w:ascii="仿宋" w:hAnsi="仿宋" w:eastAsia="仿宋" w:cs="Times New Roman"/>
          <w:b/>
          <w:bCs/>
          <w:spacing w:val="-6"/>
          <w:kern w:val="0"/>
          <w:sz w:val="32"/>
          <w:szCs w:val="32"/>
          <w:highlight w:val="none"/>
          <w14:ligatures w14:val="none"/>
        </w:rPr>
        <w:t>（1）生态制度体系仍需完善</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bidi="ar"/>
        </w:rPr>
        <w:t>生态文明制度的“四梁八柱”虽已搭建，但部分制度仍需细化完善。自然资源资产负债表等生态文明制度尚待进一步落实。资源高效利用制度体系方面，用能权、用水权、排污权、碳排放权交易等市场化政策有待进一步加强应用。环境执法监管协同机制有待进一步完善。区域协同联防联控联治机制还不健全，生态环保科技支撑能力、环境质量和污染源的检测手段不够完善。</w:t>
      </w:r>
    </w:p>
    <w:p>
      <w:pPr>
        <w:spacing w:after="0" w:line="360" w:lineRule="auto"/>
        <w:ind w:firstLine="619" w:firstLineChars="200"/>
        <w:rPr>
          <w:rFonts w:ascii="仿宋" w:hAnsi="仿宋" w:eastAsia="仿宋" w:cs="Times New Roman"/>
          <w:b/>
          <w:bCs/>
          <w:spacing w:val="-6"/>
          <w:kern w:val="0"/>
          <w:sz w:val="32"/>
          <w:szCs w:val="32"/>
          <w:highlight w:val="none"/>
          <w14:ligatures w14:val="none"/>
        </w:rPr>
      </w:pPr>
      <w:r>
        <w:rPr>
          <w:rFonts w:hint="eastAsia" w:ascii="仿宋" w:hAnsi="仿宋" w:eastAsia="仿宋" w:cs="Times New Roman"/>
          <w:b/>
          <w:bCs/>
          <w:spacing w:val="-6"/>
          <w:kern w:val="0"/>
          <w:sz w:val="32"/>
          <w:szCs w:val="32"/>
          <w:highlight w:val="none"/>
          <w14:ligatures w14:val="none"/>
        </w:rPr>
        <w:t>（2）生态环境质量改善成效尚需进一步稳固</w:t>
      </w:r>
    </w:p>
    <w:p>
      <w:pPr>
        <w:spacing w:after="0" w:line="360" w:lineRule="auto"/>
        <w:ind w:firstLine="640" w:firstLineChars="200"/>
        <w:jc w:val="both"/>
        <w:rPr>
          <w:highlight w:val="none"/>
        </w:rPr>
      </w:pPr>
      <w:r>
        <w:rPr>
          <w:rFonts w:hint="eastAsia" w:ascii="仿宋" w:hAnsi="仿宋" w:eastAsia="仿宋" w:cs="仿宋"/>
          <w:color w:val="000000"/>
          <w:kern w:val="0"/>
          <w:sz w:val="32"/>
          <w:szCs w:val="32"/>
          <w:highlight w:val="none"/>
          <w:lang w:bidi="ar"/>
        </w:rPr>
        <w:t>大气方面，泗水县空气质量持续改善，2022年PM</w:t>
      </w:r>
      <w:r>
        <w:rPr>
          <w:rFonts w:hint="eastAsia" w:ascii="仿宋" w:hAnsi="仿宋" w:eastAsia="仿宋" w:cs="仿宋"/>
          <w:color w:val="000000"/>
          <w:kern w:val="0"/>
          <w:sz w:val="32"/>
          <w:szCs w:val="32"/>
          <w:highlight w:val="none"/>
          <w:vertAlign w:val="subscript"/>
          <w:lang w:bidi="ar"/>
        </w:rPr>
        <w:t>2.5</w:t>
      </w:r>
      <w:r>
        <w:rPr>
          <w:rFonts w:hint="eastAsia" w:ascii="仿宋" w:hAnsi="仿宋" w:eastAsia="仿宋" w:cs="仿宋"/>
          <w:color w:val="000000"/>
          <w:kern w:val="0"/>
          <w:sz w:val="32"/>
          <w:szCs w:val="32"/>
          <w:highlight w:val="none"/>
          <w:lang w:bidi="ar"/>
        </w:rPr>
        <w:t>平均浓度为44微克/立方米，较2021年同期改善10.2%，但泗水地势南北高，中部低，加之东高西低，这一特殊的地理位置使得抵达我县的东北南三方向的风速普遍减小，导致对于泰安、临沂、枣庄等周边城市有利于污染物扩散的气象条件，对于泗水县反而利于污染物的累积和停留，造成城区空气质量提升较难。国控故县坝断面水质均值虽然达到了地表水Ⅱ类标准，但汛期雨季来临时，地表径流对农田的畜禽粪污、残留的农药及化肥进行冲刷，携带污染物进入河道，使河道水质中的总磷、总氮等指标上升，汛期水污染防控压力较大。</w:t>
      </w:r>
    </w:p>
    <w:p>
      <w:pPr>
        <w:spacing w:after="0" w:line="360" w:lineRule="auto"/>
        <w:ind w:firstLine="619" w:firstLineChars="200"/>
        <w:rPr>
          <w:rFonts w:ascii="仿宋" w:hAnsi="仿宋" w:eastAsia="仿宋" w:cs="Times New Roman"/>
          <w:b/>
          <w:bCs/>
          <w:spacing w:val="-6"/>
          <w:kern w:val="0"/>
          <w:sz w:val="32"/>
          <w:szCs w:val="32"/>
          <w:highlight w:val="none"/>
          <w14:ligatures w14:val="none"/>
        </w:rPr>
      </w:pPr>
      <w:r>
        <w:rPr>
          <w:rFonts w:hint="eastAsia" w:ascii="仿宋" w:hAnsi="仿宋" w:eastAsia="仿宋" w:cs="Times New Roman"/>
          <w:b/>
          <w:bCs/>
          <w:spacing w:val="-6"/>
          <w:kern w:val="0"/>
          <w:sz w:val="32"/>
          <w:szCs w:val="32"/>
          <w:highlight w:val="none"/>
          <w14:ligatures w14:val="none"/>
        </w:rPr>
        <w:t>（3）生态空间格局仍需优化</w:t>
      </w:r>
    </w:p>
    <w:p>
      <w:pPr>
        <w:spacing w:after="0" w:line="360" w:lineRule="auto"/>
        <w:ind w:firstLine="640" w:firstLineChars="200"/>
        <w:jc w:val="both"/>
        <w:rPr>
          <w:highlight w:val="none"/>
        </w:rPr>
      </w:pPr>
      <w:r>
        <w:rPr>
          <w:rFonts w:hint="eastAsia" w:ascii="仿宋" w:hAnsi="仿宋" w:eastAsia="仿宋" w:cs="仿宋"/>
          <w:color w:val="000000"/>
          <w:kern w:val="0"/>
          <w:sz w:val="32"/>
          <w:szCs w:val="32"/>
          <w:highlight w:val="none"/>
          <w:lang w:bidi="ar"/>
        </w:rPr>
        <w:t>目前正处于新型工业化、城镇化加速推进的重要时期，未来发展既要满足人口增加、经济发展、人民生活改善、基础设施建设以及新型工业化、城镇化推进等对国土空间的巨大需求，又要为保障国家粮食安全而保住耕地特别是基本农田，还要为保障生态和人民健康而扩大绿色生态空间，生态空间体系建设面临较大压力。生产、生活、生态三大空间有待进一步统筹融合。</w:t>
      </w:r>
    </w:p>
    <w:p>
      <w:pPr>
        <w:spacing w:after="0" w:line="360" w:lineRule="auto"/>
        <w:ind w:firstLine="619" w:firstLineChars="200"/>
        <w:rPr>
          <w:rFonts w:ascii="仿宋" w:hAnsi="仿宋" w:eastAsia="仿宋" w:cs="Times New Roman"/>
          <w:b/>
          <w:bCs/>
          <w:spacing w:val="-6"/>
          <w:kern w:val="0"/>
          <w:sz w:val="32"/>
          <w:szCs w:val="32"/>
          <w:highlight w:val="none"/>
          <w14:ligatures w14:val="none"/>
        </w:rPr>
      </w:pPr>
      <w:r>
        <w:rPr>
          <w:rFonts w:hint="eastAsia" w:ascii="仿宋" w:hAnsi="仿宋" w:eastAsia="仿宋" w:cs="Times New Roman"/>
          <w:b/>
          <w:bCs/>
          <w:spacing w:val="-6"/>
          <w:kern w:val="0"/>
          <w:sz w:val="32"/>
          <w:szCs w:val="32"/>
          <w:highlight w:val="none"/>
          <w14:ligatures w14:val="none"/>
        </w:rPr>
        <w:t>（4）生态经济水平有待提高</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bidi="ar"/>
        </w:rPr>
        <w:t>泗水县新旧动能转换任重道远，战略性新兴产业发展较慢，面临做大总量与转型升级、“惯性驱动”与“换道调挡”、加速发展与环保趋紧等“两难”难题。产业集群规模小，产业链短，集群内产业链发展有待完善。新一代信息技术集群少，高新技术产品的比例较低。</w:t>
      </w:r>
    </w:p>
    <w:p>
      <w:pPr>
        <w:spacing w:after="0" w:line="360" w:lineRule="auto"/>
        <w:ind w:firstLine="619" w:firstLineChars="200"/>
        <w:rPr>
          <w:rFonts w:ascii="仿宋" w:hAnsi="仿宋" w:eastAsia="仿宋" w:cs="Times New Roman"/>
          <w:b/>
          <w:bCs/>
          <w:spacing w:val="-6"/>
          <w:kern w:val="0"/>
          <w:sz w:val="32"/>
          <w:szCs w:val="32"/>
          <w:highlight w:val="none"/>
          <w14:ligatures w14:val="none"/>
        </w:rPr>
      </w:pPr>
      <w:r>
        <w:rPr>
          <w:rFonts w:hint="eastAsia" w:ascii="仿宋" w:hAnsi="仿宋" w:eastAsia="仿宋" w:cs="Times New Roman"/>
          <w:b/>
          <w:bCs/>
          <w:spacing w:val="-6"/>
          <w:kern w:val="0"/>
          <w:sz w:val="32"/>
          <w:szCs w:val="32"/>
          <w:highlight w:val="none"/>
          <w14:ligatures w14:val="none"/>
        </w:rPr>
        <w:t>（5）生态生活体系有待提质</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bidi="ar"/>
        </w:rPr>
        <w:t>生态环境基础设施建设水平有待进一步提高，城区雨污分流有待进一步加强；农村生活污水治理水平和成效有待提升；畜禽养殖污染综合治理工作仍需加强。废旧地膜资源化、粪肥有机化、农药使用标准化的困难困惑依然存在，需要进一步巩固提升。村庄绿化质量不高，环境美化仍需提高。环境卫生长效管理机制需要建立，确保问题不反弹，彻底改观仍需久久为功。</w:t>
      </w:r>
    </w:p>
    <w:p>
      <w:pPr>
        <w:spacing w:after="0" w:line="360" w:lineRule="auto"/>
        <w:ind w:firstLine="619" w:firstLineChars="200"/>
        <w:rPr>
          <w:rFonts w:ascii="仿宋" w:hAnsi="仿宋" w:eastAsia="仿宋" w:cs="Times New Roman"/>
          <w:b/>
          <w:bCs/>
          <w:spacing w:val="-6"/>
          <w:kern w:val="0"/>
          <w:sz w:val="32"/>
          <w:szCs w:val="32"/>
          <w:highlight w:val="none"/>
          <w14:ligatures w14:val="none"/>
        </w:rPr>
      </w:pPr>
      <w:r>
        <w:rPr>
          <w:rFonts w:hint="eastAsia" w:ascii="仿宋" w:hAnsi="仿宋" w:eastAsia="仿宋" w:cs="Times New Roman"/>
          <w:b/>
          <w:bCs/>
          <w:spacing w:val="-6"/>
          <w:kern w:val="0"/>
          <w:sz w:val="32"/>
          <w:szCs w:val="32"/>
          <w:highlight w:val="none"/>
          <w14:ligatures w14:val="none"/>
        </w:rPr>
        <w:t>（6）生态文化氛围仍需营造</w:t>
      </w:r>
    </w:p>
    <w:p>
      <w:pPr>
        <w:spacing w:after="0" w:line="360" w:lineRule="auto"/>
        <w:ind w:firstLine="640" w:firstLineChars="200"/>
        <w:jc w:val="both"/>
        <w:rPr>
          <w:rFonts w:ascii="仿宋" w:hAnsi="仿宋" w:eastAsia="仿宋" w:cs="仿宋"/>
          <w:kern w:val="0"/>
          <w:sz w:val="32"/>
          <w:szCs w:val="32"/>
          <w:highlight w:val="none"/>
          <w:lang w:bidi="ar"/>
        </w:rPr>
      </w:pPr>
      <w:r>
        <w:rPr>
          <w:rFonts w:hint="eastAsia" w:ascii="仿宋" w:hAnsi="仿宋" w:eastAsia="仿宋" w:cs="仿宋"/>
          <w:kern w:val="0"/>
          <w:sz w:val="32"/>
          <w:szCs w:val="32"/>
          <w:highlight w:val="none"/>
          <w:lang w:bidi="ar"/>
        </w:rPr>
        <w:t>泗水有泗水文化、泉文化、诗词文化、山水生态文化等众多文化资源，近年来虽然在文化和旅游工作取得了长足发展，但也存在不足，主要体现在文化和旅游产业整体竞争力有待提升，文化和旅游资源需要深度挖掘；公共文化和旅游服务设施系统不够完善，文化和旅游融合发展有待深化加强。公众生态文明建设意识仍有待增强。在企业生态文明建设、居民生态文明行为等方面尚需加大宣传，并加强引导公众将生态文明意识向绿色生活、绿色消费方面转化。</w:t>
      </w:r>
    </w:p>
    <w:p>
      <w:pPr>
        <w:pStyle w:val="3"/>
        <w:widowControl w:val="0"/>
        <w:numPr>
          <w:ilvl w:val="0"/>
          <w:numId w:val="1"/>
        </w:numPr>
        <w:spacing w:line="240" w:lineRule="auto"/>
        <w:ind w:firstLine="643"/>
        <w:rPr>
          <w:rFonts w:ascii="楷体" w:hAnsi="楷体" w:eastAsia="楷体" w:cs="楷体"/>
          <w:kern w:val="2"/>
          <w:highlight w:val="none"/>
        </w:rPr>
      </w:pPr>
      <w:bookmarkStart w:id="9" w:name="_Toc7083"/>
      <w:r>
        <w:rPr>
          <w:rFonts w:hint="eastAsia" w:ascii="楷体" w:hAnsi="楷体" w:eastAsia="楷体" w:cs="楷体"/>
          <w:kern w:val="2"/>
          <w:highlight w:val="none"/>
        </w:rPr>
        <w:t>面临机遇与压力挑战</w:t>
      </w:r>
      <w:bookmarkEnd w:id="9"/>
    </w:p>
    <w:p>
      <w:pPr>
        <w:spacing w:after="0" w:line="360" w:lineRule="auto"/>
        <w:ind w:firstLine="619" w:firstLineChars="200"/>
        <w:rPr>
          <w:highlight w:val="none"/>
        </w:rPr>
      </w:pPr>
      <w:r>
        <w:rPr>
          <w:rFonts w:hint="eastAsia" w:ascii="仿宋" w:hAnsi="仿宋" w:eastAsia="仿宋" w:cs="Times New Roman"/>
          <w:b/>
          <w:bCs/>
          <w:spacing w:val="-6"/>
          <w:kern w:val="0"/>
          <w:sz w:val="32"/>
          <w:szCs w:val="32"/>
          <w:highlight w:val="none"/>
          <w14:ligatures w14:val="none"/>
        </w:rPr>
        <w:t>（1）面临机遇</w:t>
      </w:r>
    </w:p>
    <w:p>
      <w:pPr>
        <w:spacing w:after="0" w:line="360" w:lineRule="auto"/>
        <w:ind w:firstLine="640" w:firstLineChars="200"/>
        <w:jc w:val="both"/>
        <w:rPr>
          <w:rFonts w:ascii="仿宋" w:hAnsi="仿宋" w:eastAsia="仿宋" w:cs="仿宋"/>
          <w:kern w:val="0"/>
          <w:sz w:val="32"/>
          <w:szCs w:val="32"/>
          <w:highlight w:val="none"/>
          <w:lang w:bidi="ar"/>
        </w:rPr>
      </w:pPr>
      <w:r>
        <w:rPr>
          <w:rFonts w:hint="eastAsia" w:ascii="仿宋" w:hAnsi="仿宋" w:eastAsia="仿宋" w:cs="仿宋"/>
          <w:kern w:val="0"/>
          <w:sz w:val="32"/>
          <w:szCs w:val="32"/>
          <w:highlight w:val="none"/>
          <w:lang w:bidi="ar"/>
        </w:rPr>
        <w:t>生态文明建设迈入新发展阶段。党的十九届五中全会提出了二〇三五年“美丽中国建设目标基本实现”的社会主义现代化远景目标和“十四五”时期“生态文明建设实现新进步”的新目标新任务；习近平总书记在主持十九届中央政治局第二十九次集体学习时，指出我国生态文明建设进入了以降碳为重点战略方向、推动减污降碳协同增效、促进经济社会发展全面绿色转型的关键时期，并提出要坚定不移推动绿色低碳发展、打好污染防治攻坚战、加强生态保护和修复监管、提高生态环境治理体系和治理能力现代化水平等重点任务部署。这些新要求新目标不仅擘画了生态文明建设的新蓝图，也为泗水县持续推进生态文明建设指明了方向，提供了根本遵循。</w:t>
      </w:r>
    </w:p>
    <w:p>
      <w:pPr>
        <w:spacing w:after="0" w:line="360" w:lineRule="auto"/>
        <w:ind w:firstLine="640" w:firstLineChars="200"/>
        <w:jc w:val="both"/>
        <w:rPr>
          <w:rFonts w:ascii="仿宋" w:hAnsi="仿宋" w:eastAsia="仿宋" w:cs="仿宋"/>
          <w:kern w:val="0"/>
          <w:sz w:val="32"/>
          <w:szCs w:val="32"/>
          <w:highlight w:val="none"/>
          <w:lang w:bidi="ar"/>
        </w:rPr>
      </w:pPr>
      <w:r>
        <w:rPr>
          <w:rFonts w:hint="eastAsia" w:ascii="仿宋" w:hAnsi="仿宋" w:eastAsia="仿宋" w:cs="仿宋"/>
          <w:kern w:val="0"/>
          <w:sz w:val="32"/>
          <w:szCs w:val="32"/>
          <w:highlight w:val="none"/>
          <w:lang w:bidi="ar"/>
        </w:rPr>
        <w:t>多重战略机遇叠加持续释放红利。从省市层面看，国家构建以国内大循环为主体、国内国际双循环相互促进的新发展格局将带来新一轮政策机遇，新旧动能转换、乡村振兴、基础设施一体化、区域协调发展等战略叠加发力。从县级层面看，济宁市同城化战略、泗河绿色发展带、孔孟文化轴、鲁南高铁城镇发展带与泗水县紧密相关；黄河流域生态保护和高质量发展、鲁南经济带、沂蒙革命老区县、绿色低碳高质量发展等系列政策，为跨越发展提供了“得天独厚”的机遇；曲阜优秀传统文化传承发展示范区核心区，为文化产业发展壮大带来“效应叠加”机遇。当前和今后一个时期，泗水县面临众多机遇，为全县生态文明建设提供强大动力。</w:t>
      </w:r>
    </w:p>
    <w:p>
      <w:pPr>
        <w:spacing w:after="0" w:line="360" w:lineRule="auto"/>
        <w:ind w:firstLine="640" w:firstLineChars="200"/>
        <w:jc w:val="both"/>
        <w:rPr>
          <w:rFonts w:ascii="仿宋" w:hAnsi="仿宋" w:eastAsia="仿宋" w:cs="仿宋"/>
          <w:kern w:val="0"/>
          <w:sz w:val="32"/>
          <w:szCs w:val="32"/>
          <w:highlight w:val="none"/>
          <w:lang w:bidi="ar"/>
        </w:rPr>
      </w:pPr>
      <w:r>
        <w:rPr>
          <w:rFonts w:hint="eastAsia" w:ascii="仿宋" w:hAnsi="仿宋" w:eastAsia="仿宋" w:cs="仿宋"/>
          <w:kern w:val="0"/>
          <w:sz w:val="32"/>
          <w:szCs w:val="32"/>
          <w:highlight w:val="none"/>
          <w:lang w:bidi="ar"/>
        </w:rPr>
        <w:t>“十四五”时期，是我国全面建成小康社会、实现第一个百年奋斗目标之后，乘势而上开启全面建设社会主义现代化国家新征程、向第二个百年奋斗目标进军的第一个五年，也是泗水县奋力开创新时代现代化建设极为重要的五年。泗水县生态文明示范区的创建，将深入践行生态文明思想，释放最大利好。泗水县生态文明建设加快推进，自觉地推动绿色发展、循环发展、低碳发展，加快转变经济发展方式，改变资源消耗大、环境污染重的增长模式，推动经济绿色转型，真正实现可持续发展的战略目标。</w:t>
      </w:r>
    </w:p>
    <w:p>
      <w:pPr>
        <w:numPr>
          <w:ilvl w:val="0"/>
          <w:numId w:val="2"/>
        </w:numPr>
        <w:spacing w:after="0" w:line="360" w:lineRule="auto"/>
        <w:ind w:firstLine="619" w:firstLineChars="200"/>
        <w:rPr>
          <w:rFonts w:ascii="仿宋" w:hAnsi="仿宋" w:eastAsia="仿宋" w:cs="Times New Roman"/>
          <w:b/>
          <w:bCs/>
          <w:spacing w:val="-6"/>
          <w:kern w:val="0"/>
          <w:sz w:val="32"/>
          <w:szCs w:val="32"/>
          <w:highlight w:val="none"/>
          <w14:ligatures w14:val="none"/>
        </w:rPr>
      </w:pPr>
      <w:r>
        <w:rPr>
          <w:rFonts w:hint="eastAsia" w:ascii="仿宋" w:hAnsi="仿宋" w:eastAsia="仿宋" w:cs="Times New Roman"/>
          <w:b/>
          <w:bCs/>
          <w:spacing w:val="-6"/>
          <w:kern w:val="0"/>
          <w:sz w:val="32"/>
          <w:szCs w:val="32"/>
          <w:highlight w:val="none"/>
          <w14:ligatures w14:val="none"/>
        </w:rPr>
        <w:t>面临挑战</w:t>
      </w:r>
    </w:p>
    <w:p>
      <w:pPr>
        <w:spacing w:after="0" w:line="360" w:lineRule="auto"/>
        <w:ind w:firstLine="640" w:firstLineChars="200"/>
        <w:jc w:val="both"/>
        <w:rPr>
          <w:highlight w:val="none"/>
        </w:rPr>
      </w:pPr>
      <w:r>
        <w:rPr>
          <w:rFonts w:hint="eastAsia" w:ascii="仿宋" w:hAnsi="仿宋" w:eastAsia="仿宋" w:cs="仿宋"/>
          <w:kern w:val="0"/>
          <w:sz w:val="32"/>
          <w:szCs w:val="32"/>
          <w:highlight w:val="none"/>
          <w:lang w:bidi="ar"/>
        </w:rPr>
        <w:t>泗水县正处在经济结构深度调整的攻坚期、新旧动能加速转换的关键期，生态文明建设迈上新台阶仍面临较大挑战。一是社会应对气候变化、生物多样性等领域日益关注，碳达峰和碳中和实践带来新的挑战，生态环境治理体系和能力与治理需求仍不相适应。二是战略性新兴产业发展较慢，面临做大总量与转型升级、惯性驱动”与“换道调挡”等难题，产业竞争力有待提升；三是随着新发展阶段、新发展理念、新发展格局的深入推进，公众对优美生态环境的需求进一步提升，泗水县生态环境质量高位持续改善、生态环境保护继续走在前列的压力加大。</w:t>
      </w:r>
    </w:p>
    <w:p>
      <w:pPr>
        <w:pStyle w:val="2"/>
        <w:widowControl w:val="0"/>
        <w:ind w:firstLine="643"/>
        <w:jc w:val="both"/>
        <w:rPr>
          <w:highlight w:val="none"/>
        </w:rPr>
      </w:pPr>
      <w:bookmarkStart w:id="10" w:name="_Toc11145"/>
      <w:r>
        <w:rPr>
          <w:rFonts w:hint="eastAsia"/>
          <w:highlight w:val="none"/>
        </w:rPr>
        <w:t>三、规划总则</w:t>
      </w:r>
      <w:bookmarkEnd w:id="10"/>
    </w:p>
    <w:p>
      <w:pPr>
        <w:pStyle w:val="3"/>
        <w:widowControl w:val="0"/>
        <w:spacing w:line="240" w:lineRule="auto"/>
        <w:ind w:firstLine="643"/>
        <w:rPr>
          <w:rFonts w:ascii="楷体" w:hAnsi="楷体" w:eastAsia="楷体" w:cs="楷体"/>
          <w:kern w:val="2"/>
          <w:highlight w:val="none"/>
        </w:rPr>
      </w:pPr>
      <w:bookmarkStart w:id="11" w:name="_Toc13842"/>
      <w:r>
        <w:rPr>
          <w:rFonts w:hint="eastAsia" w:ascii="楷体" w:hAnsi="楷体" w:eastAsia="楷体" w:cs="楷体"/>
          <w:kern w:val="2"/>
          <w:highlight w:val="none"/>
        </w:rPr>
        <w:t>（一）指导思想</w:t>
      </w:r>
      <w:bookmarkEnd w:id="11"/>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bidi="ar"/>
        </w:rPr>
        <w:t>以习近平新时代中国特色社会主义思想为指导，全面贯彻党的二十大精神，深入贯彻习近平生态文明思想，全面落实习近平总书记对山东工作的重要指示要求，深入落实黄河流域生态保护和高质量发展战略、省会经济圈一体化发展、鲁南经济圈一体化发展等重大战略，牢固树立和践行绿水青山就是金山银山的理念，站在人与自然和谐共生的高度谋划发展，以创建生态文明建设示范区为核心，以实现减污降碳协同增效为总抓手，统筹推进“五位一体”总体布局，统筹协调山水林田湖草沙生态要素，优化国土空间开发保护格局，系统推进污染防治，全面改善生态环境，不断完善生态文明制度体系，扎实推进新旧动能转换，促进经济社会发展全面绿色转型，不断厚植高质量发展的生态底色，为建成生态、活力、文化、幸福的新时代现代化泗水提供坚实保障。</w:t>
      </w:r>
    </w:p>
    <w:p>
      <w:pPr>
        <w:pStyle w:val="3"/>
        <w:widowControl w:val="0"/>
        <w:spacing w:line="240" w:lineRule="auto"/>
        <w:ind w:firstLine="643"/>
        <w:rPr>
          <w:rFonts w:ascii="楷体" w:hAnsi="楷体" w:eastAsia="楷体" w:cs="楷体"/>
          <w:kern w:val="2"/>
          <w:highlight w:val="none"/>
        </w:rPr>
      </w:pPr>
      <w:bookmarkStart w:id="12" w:name="_Toc32061"/>
      <w:r>
        <w:rPr>
          <w:rFonts w:hint="eastAsia" w:ascii="楷体" w:hAnsi="楷体" w:eastAsia="楷体" w:cs="楷体"/>
          <w:kern w:val="2"/>
          <w:highlight w:val="none"/>
        </w:rPr>
        <w:t>（二）规划原则</w:t>
      </w:r>
      <w:bookmarkEnd w:id="12"/>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bidi="ar"/>
        </w:rPr>
        <w:t>生态优先、绿色发展。牢固树立绿水青山就是金山银山的理念，将生态文明建设深刻融入泗水县的经济、政治、文化和社会建设各方面与全过程，把转变发展方式作为生态文明建设的核心，全力推动绿色循环低碳发展，形成资源节约和生态保护的产业结构与生产生活方式，促进经济、社会、环境协调可持续发展。</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bidi="ar"/>
        </w:rPr>
        <w:t>以人为本，科学创新。坚持把人作为生态文明建设的出发点和落脚点，</w:t>
      </w:r>
      <w:r>
        <w:rPr>
          <w:rFonts w:ascii="仿宋" w:hAnsi="仿宋" w:eastAsia="仿宋" w:cs="仿宋"/>
          <w:color w:val="000000"/>
          <w:kern w:val="0"/>
          <w:sz w:val="32"/>
          <w:szCs w:val="32"/>
          <w:highlight w:val="none"/>
          <w:lang w:bidi="ar"/>
        </w:rPr>
        <w:t>以满足人民群众对美好生态环境的向往为根本目的，以深化生态文明体制改革为动力，统筹推进生态环境保护工作。推进科技创新引领作用，为生态环境保护注入强大动力，提升生态环境治理体系和治理能力现代化水平。切实提高群众满意度，扎实推进生态环境治理各项任务，为人民群众提供更多优质生态产品</w:t>
      </w:r>
      <w:r>
        <w:rPr>
          <w:rFonts w:hint="eastAsia" w:ascii="仿宋" w:hAnsi="仿宋" w:eastAsia="仿宋" w:cs="仿宋"/>
          <w:color w:val="000000"/>
          <w:kern w:val="0"/>
          <w:sz w:val="32"/>
          <w:szCs w:val="32"/>
          <w:highlight w:val="none"/>
          <w:lang w:bidi="ar"/>
        </w:rPr>
        <w:t>，</w:t>
      </w:r>
      <w:r>
        <w:rPr>
          <w:rFonts w:ascii="仿宋" w:hAnsi="仿宋" w:eastAsia="仿宋" w:cs="仿宋"/>
          <w:color w:val="000000"/>
          <w:kern w:val="0"/>
          <w:sz w:val="32"/>
          <w:szCs w:val="32"/>
          <w:highlight w:val="none"/>
          <w:lang w:bidi="ar"/>
        </w:rPr>
        <w:t>不断增强人民群众对生态环境改善的幸福感、获得感、安全感。</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bidi="ar"/>
        </w:rPr>
        <w:t>因地制宜，特色发展。科学认识浑泗水县生态文明建设基础和条件、面临的机遇和挑战，发挥生态环境优势，突出地方特色，</w:t>
      </w:r>
      <w:r>
        <w:rPr>
          <w:rFonts w:ascii="仿宋" w:hAnsi="仿宋" w:eastAsia="仿宋" w:cs="仿宋"/>
          <w:color w:val="000000"/>
          <w:kern w:val="0"/>
          <w:sz w:val="32"/>
          <w:szCs w:val="32"/>
          <w:highlight w:val="none"/>
          <w:lang w:bidi="ar"/>
        </w:rPr>
        <w:t>根据资源禀赋和社会经济发展需要，</w:t>
      </w:r>
      <w:r>
        <w:rPr>
          <w:rFonts w:hint="eastAsia" w:ascii="仿宋" w:hAnsi="仿宋" w:eastAsia="仿宋" w:cs="仿宋"/>
          <w:color w:val="000000"/>
          <w:kern w:val="0"/>
          <w:sz w:val="32"/>
          <w:szCs w:val="32"/>
          <w:highlight w:val="none"/>
          <w:lang w:bidi="ar"/>
        </w:rPr>
        <w:t>迎合社会生态产品、生态旅游等需求，厚植人与自然和谐发展的现代化生态文明观，兼容并蓄、不断创新，探索出一条生态环境治理和生态产业升级优化的可行路径，全面提升高质量发展综合竞争力。</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bidi="ar"/>
        </w:rPr>
        <w:t>全民参与，共建共享。坚持党政主导，全民参与，把生态文明建设提上各级党委政府的重要议事日程，放到更加突出的位置，切实发挥组织领导、规划引领、资金引用的作用。坚持走群策群力、群抓群管的群众路线。着力强化企业生态意识和社会责任意识，加强环境保护。通过宣传教育和示范带动，倡导公众积极参与，引导全民共建共享，形成生态文明建设的强大合力。</w:t>
      </w:r>
    </w:p>
    <w:p>
      <w:pPr>
        <w:pStyle w:val="3"/>
        <w:widowControl w:val="0"/>
        <w:spacing w:line="240" w:lineRule="auto"/>
        <w:ind w:firstLine="643"/>
        <w:rPr>
          <w:rFonts w:ascii="楷体" w:hAnsi="楷体" w:eastAsia="楷体" w:cs="楷体"/>
          <w:kern w:val="2"/>
          <w:highlight w:val="none"/>
        </w:rPr>
      </w:pPr>
      <w:bookmarkStart w:id="13" w:name="_Toc29660"/>
      <w:r>
        <w:rPr>
          <w:rFonts w:hint="eastAsia" w:ascii="楷体" w:hAnsi="楷体" w:eastAsia="楷体" w:cs="楷体"/>
          <w:kern w:val="2"/>
          <w:highlight w:val="none"/>
        </w:rPr>
        <w:t>（三）编制依据</w:t>
      </w:r>
      <w:bookmarkEnd w:id="13"/>
    </w:p>
    <w:p>
      <w:pPr>
        <w:spacing w:line="360" w:lineRule="auto"/>
        <w:ind w:firstLine="619" w:firstLineChars="200"/>
        <w:rPr>
          <w:rFonts w:ascii="仿宋" w:hAnsi="仿宋" w:eastAsia="仿宋" w:cs="仿宋"/>
          <w:b/>
          <w:bCs/>
          <w:spacing w:val="-6"/>
          <w:kern w:val="0"/>
          <w:sz w:val="32"/>
          <w:szCs w:val="32"/>
          <w:highlight w:val="none"/>
          <w14:ligatures w14:val="none"/>
        </w:rPr>
      </w:pPr>
      <w:r>
        <w:rPr>
          <w:rFonts w:hint="eastAsia" w:ascii="仿宋" w:hAnsi="仿宋" w:eastAsia="仿宋" w:cs="仿宋"/>
          <w:b/>
          <w:bCs/>
          <w:spacing w:val="-6"/>
          <w:kern w:val="0"/>
          <w:sz w:val="32"/>
          <w:szCs w:val="32"/>
          <w:highlight w:val="none"/>
          <w14:ligatures w14:val="none"/>
        </w:rPr>
        <w:t>1.法律法规</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bidi="ar"/>
        </w:rPr>
        <w:t>（1）《中华人民共和国环境保护法》（2014年4月修订）；</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bidi="ar"/>
        </w:rPr>
        <w:t>（2）《中华人民共和国大气污染防治法》（2018年修订）；</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bidi="ar"/>
        </w:rPr>
        <w:t>（3）《中华人民共和国水污染防治法》（2017年6月修订）；</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bidi="ar"/>
        </w:rPr>
        <w:t>（4）《中华人民共和国土壤污染防治法》（2018年）；</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bidi="ar"/>
        </w:rPr>
        <w:t>（5）《中华人民共和国水法》（2016年第二次修订）；</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bidi="ar"/>
        </w:rPr>
        <w:t>（6）《中华人民共和国森林法》（2019年12月修订）；</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bidi="ar"/>
        </w:rPr>
        <w:t>（7）《中华人民共和国水土保持法》（2010年修订）；</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bidi="ar"/>
        </w:rPr>
        <w:t>（8）《中华人民共和国循环经济促进法》（2008年）；</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bidi="ar"/>
        </w:rPr>
        <w:t>（9）《中华人民共和国节约能源法》（2016年修订）；</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bidi="ar"/>
        </w:rPr>
        <w:t>（10）《中华人民共和国自然保护区条例》（2018年第二次修订）；</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bidi="ar"/>
        </w:rPr>
        <w:t>（11）《中华人民共和国噪声污染防治法》（2022年6月5日实施）；</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bidi="ar"/>
        </w:rPr>
        <w:t>（12）《中华人民共和国湿地保护法》（2022年6月1日实施）；</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bidi="ar"/>
        </w:rPr>
        <w:t>（13）《中华人民共和国野生动物保护法》（2016年修订）；</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bidi="ar"/>
        </w:rPr>
        <w:t>（14）《中华人民共和国城乡规划法》（2019年修订）。</w:t>
      </w:r>
    </w:p>
    <w:p>
      <w:pPr>
        <w:spacing w:line="360" w:lineRule="auto"/>
        <w:ind w:firstLine="619" w:firstLineChars="200"/>
        <w:rPr>
          <w:rFonts w:ascii="仿宋" w:hAnsi="仿宋" w:eastAsia="仿宋" w:cs="仿宋"/>
          <w:b/>
          <w:bCs/>
          <w:spacing w:val="-6"/>
          <w:kern w:val="0"/>
          <w:sz w:val="32"/>
          <w:szCs w:val="32"/>
          <w:highlight w:val="none"/>
          <w14:ligatures w14:val="none"/>
        </w:rPr>
      </w:pPr>
      <w:r>
        <w:rPr>
          <w:rFonts w:hint="eastAsia" w:ascii="仿宋" w:hAnsi="仿宋" w:eastAsia="仿宋" w:cs="仿宋"/>
          <w:b/>
          <w:bCs/>
          <w:spacing w:val="-6"/>
          <w:kern w:val="0"/>
          <w:sz w:val="32"/>
          <w:szCs w:val="32"/>
          <w:highlight w:val="none"/>
          <w14:ligatures w14:val="none"/>
        </w:rPr>
        <w:t>2.国家相关文件</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ascii="仿宋" w:hAnsi="仿宋" w:eastAsia="仿宋" w:cs="仿宋"/>
          <w:color w:val="000000"/>
          <w:kern w:val="0"/>
          <w:sz w:val="32"/>
          <w:szCs w:val="32"/>
          <w:highlight w:val="none"/>
          <w:lang w:bidi="ar"/>
        </w:rPr>
        <w:t>（1）《中共中央 国务院关于加快推进生态文明建设的意见》（中发〔2015〕12 号）；</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ascii="仿宋" w:hAnsi="仿宋" w:eastAsia="仿宋" w:cs="仿宋"/>
          <w:color w:val="000000"/>
          <w:kern w:val="0"/>
          <w:sz w:val="32"/>
          <w:szCs w:val="32"/>
          <w:highlight w:val="none"/>
          <w:lang w:bidi="ar"/>
        </w:rPr>
        <w:t>（2）《生态文明体制改革总体方案》（中发〔2015〕25 号）；</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ascii="仿宋" w:hAnsi="仿宋" w:eastAsia="仿宋" w:cs="仿宋"/>
          <w:color w:val="000000"/>
          <w:kern w:val="0"/>
          <w:sz w:val="32"/>
          <w:szCs w:val="32"/>
          <w:highlight w:val="none"/>
          <w:lang w:bidi="ar"/>
        </w:rPr>
        <w:t>（3）《关于全面推行河长制的意见》（厅字〔2016〕42号）；</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ascii="仿宋" w:hAnsi="仿宋" w:eastAsia="仿宋" w:cs="仿宋"/>
          <w:color w:val="000000"/>
          <w:kern w:val="0"/>
          <w:sz w:val="32"/>
          <w:szCs w:val="32"/>
          <w:highlight w:val="none"/>
          <w:lang w:bidi="ar"/>
        </w:rPr>
        <w:t>（4）《中共中央 国务院关于建立国土空间规划体系并监督实施的若干意见》（中发〔2019〕18号）；</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ascii="仿宋" w:hAnsi="仿宋" w:eastAsia="仿宋" w:cs="仿宋"/>
          <w:color w:val="000000"/>
          <w:kern w:val="0"/>
          <w:sz w:val="32"/>
          <w:szCs w:val="32"/>
          <w:highlight w:val="none"/>
          <w:lang w:bidi="ar"/>
        </w:rPr>
        <w:t>（5）《中共中央办公厅 国务院办公厅印发&lt;关于建立以国家公园为主体的自然保护地体系的指导意见&gt;》（中办发〔2019〕42号）；</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ascii="仿宋" w:hAnsi="仿宋" w:eastAsia="仿宋" w:cs="仿宋"/>
          <w:color w:val="000000"/>
          <w:kern w:val="0"/>
          <w:sz w:val="32"/>
          <w:szCs w:val="32"/>
          <w:highlight w:val="none"/>
          <w:lang w:bidi="ar"/>
        </w:rPr>
        <w:t>（6）《中共中央办公厅 国务院办公厅印发&lt;关于构建现代环境治理体系的指导意见&gt;》（2020年3月）；</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ascii="仿宋" w:hAnsi="仿宋" w:eastAsia="仿宋" w:cs="仿宋"/>
          <w:color w:val="000000"/>
          <w:kern w:val="0"/>
          <w:sz w:val="32"/>
          <w:szCs w:val="32"/>
          <w:highlight w:val="none"/>
          <w:lang w:bidi="ar"/>
        </w:rPr>
        <w:t>（7）《中共中央办公厅 国务院办公厅印发&lt;关于全面推行林长制的意见&gt;》（2021年1月）；</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bidi="ar"/>
        </w:rPr>
        <w:t>（8）《中共中央 国务院印发黄河流域生态保护和高质量发展规划纲要》（2021年10月）；</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bidi="ar"/>
        </w:rPr>
        <w:t>（9）《中共中央国务院关于深入打好污染防治攻坚战的意见》（2021年11月）；</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bidi="ar"/>
        </w:rPr>
        <w:t>（10）《关于进一步加强生物多样性保护的意见》（2021年10月）；</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bidi="ar"/>
        </w:rPr>
        <w:t>（11）《中共中央、国务院关于完整准确全面贯彻新发展理念做好碳达峰碳中和工作的意见》（2021年9月）；</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bidi="ar"/>
        </w:rPr>
        <w:t>（12）《国务院关于加快建立健全绿色低碳循环发展经济体系的指导意见》（国发〔2021〕4号）；</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bidi="ar"/>
        </w:rPr>
        <w:t>（13）《关于开展第七批国家生态文明建设示范区和“绿水青山就是金山银山”实践创新基地遴选工作的通知》（环办生态函〔2023〕209号）；</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bidi="ar"/>
        </w:rPr>
        <w:t>（14）《关于印发&lt;国家生态文明建设示范区规划编制指南（试行）&gt;的通知》（环办生态函〔2021〕146号）；</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bidi="ar"/>
        </w:rPr>
        <w:t>（15）《“美丽中国，我是行动者”提升公民生态文明意识行动计划（2021-2025 年）》（环宣教〔2021〕19号）；</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bidi="ar"/>
        </w:rPr>
        <w:t>（16）《国务院关于印发2030年前碳达峰行动方案的通知》（国发〔2021〕23号）；</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bidi="ar"/>
        </w:rPr>
        <w:t>（17）《国务院关于印发“十四五”节能减排综合工作方案的通知》（国发〔2021〕33号）；</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ascii="仿宋" w:hAnsi="仿宋" w:eastAsia="仿宋" w:cs="仿宋"/>
          <w:color w:val="000000"/>
          <w:kern w:val="0"/>
          <w:sz w:val="32"/>
          <w:szCs w:val="32"/>
          <w:highlight w:val="none"/>
          <w:lang w:bidi="ar"/>
        </w:rPr>
        <w:t>（1</w:t>
      </w:r>
      <w:r>
        <w:rPr>
          <w:rFonts w:hint="eastAsia" w:ascii="仿宋" w:hAnsi="仿宋" w:eastAsia="仿宋" w:cs="仿宋"/>
          <w:color w:val="000000"/>
          <w:kern w:val="0"/>
          <w:sz w:val="32"/>
          <w:szCs w:val="32"/>
          <w:highlight w:val="none"/>
          <w:lang w:bidi="ar"/>
        </w:rPr>
        <w:t>8</w:t>
      </w:r>
      <w:r>
        <w:rPr>
          <w:rFonts w:ascii="仿宋" w:hAnsi="仿宋" w:eastAsia="仿宋" w:cs="仿宋"/>
          <w:color w:val="000000"/>
          <w:kern w:val="0"/>
          <w:sz w:val="32"/>
          <w:szCs w:val="32"/>
          <w:highlight w:val="none"/>
          <w:lang w:bidi="ar"/>
        </w:rPr>
        <w:t>）《农业农村部关于落实党中央国务院 2022 年全面推进乡村振兴重点工作部署的实施意见》（农发〔2022〕1号）。</w:t>
      </w:r>
    </w:p>
    <w:p>
      <w:pPr>
        <w:spacing w:line="360" w:lineRule="auto"/>
        <w:ind w:firstLine="619" w:firstLineChars="200"/>
        <w:rPr>
          <w:rFonts w:ascii="仿宋" w:hAnsi="仿宋" w:eastAsia="仿宋" w:cs="仿宋"/>
          <w:b/>
          <w:bCs/>
          <w:spacing w:val="-6"/>
          <w:kern w:val="0"/>
          <w:sz w:val="32"/>
          <w:szCs w:val="32"/>
          <w:highlight w:val="none"/>
          <w14:ligatures w14:val="none"/>
        </w:rPr>
      </w:pPr>
      <w:r>
        <w:rPr>
          <w:rFonts w:hint="eastAsia" w:ascii="仿宋" w:hAnsi="仿宋" w:eastAsia="仿宋" w:cs="仿宋"/>
          <w:b/>
          <w:bCs/>
          <w:spacing w:val="-6"/>
          <w:kern w:val="0"/>
          <w:sz w:val="32"/>
          <w:szCs w:val="32"/>
          <w:highlight w:val="none"/>
          <w14:ligatures w14:val="none"/>
        </w:rPr>
        <w:t>3.山东省相关文件</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bidi="ar"/>
        </w:rPr>
        <w:t>（1）《关于加快推进生态文明建设的实施方案》（鲁发〔2016〕11号）；</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bidi="ar"/>
        </w:rPr>
        <w:t>（2）《山东省全面实行河长制工作方案》（2017年3月）；</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bidi="ar"/>
        </w:rPr>
        <w:t>（3）《山东省人民政府办公厅关于全面建立林长制的实施意见》（鲁政办字〔2019〕131号）；</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bidi="ar"/>
        </w:rPr>
        <w:t>（4）《关于建立国土空间规划体系并监督实施的通知》（2019年11月）；</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bidi="ar"/>
        </w:rPr>
        <w:t>（5）《山东省自然资源统一确权登记总体工作方案》（鲁政字〔2019〕246号）；</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bidi="ar"/>
        </w:rPr>
        <w:t>（6）《山东省人民政府 关于实施“三线一单”生态环境分区管控的意见》（鲁政字〔2020〕269号）；</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bidi="ar"/>
        </w:rPr>
        <w:t>（7）《山东省黄河流域生态保护和高质量发展规划》（2022年02月）；</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bidi="ar"/>
        </w:rPr>
        <w:t>（8）《山东省人民政府办公厅关于印发山东省国家公园管理办法的通知》（鲁政办字〔2021〕141号）；</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bidi="ar"/>
        </w:rPr>
        <w:t>（9）《山东省自然资源厅关于进一步加强湿地公园管理工作的实施意见》（鲁自然资字〔2021〕197号）；</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bidi="ar"/>
        </w:rPr>
        <w:t>（10）《山东省自然资源厅关于印发2022年度自然资源统一确权登记工作计划的通知》（鲁自然资字〔2022〕17号）；</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bidi="ar"/>
        </w:rPr>
        <w:t>（11）《山东省生态环境厅关于印发&lt;山东省省级生态文明建设示范区管理规程&gt;&lt;山东省省级生态文明建设示范区指标&gt;和&lt;山东省省级“绿水青山就是金山银山”实践创新基地建设管理规程（试行）》的通知&gt;（鲁环发〔2020〕16号）。</w:t>
      </w:r>
    </w:p>
    <w:p>
      <w:pPr>
        <w:spacing w:line="360" w:lineRule="auto"/>
        <w:ind w:firstLine="619" w:firstLineChars="200"/>
        <w:rPr>
          <w:rFonts w:ascii="仿宋" w:hAnsi="仿宋" w:eastAsia="仿宋" w:cs="仿宋"/>
          <w:b/>
          <w:bCs/>
          <w:spacing w:val="-6"/>
          <w:kern w:val="0"/>
          <w:sz w:val="32"/>
          <w:szCs w:val="32"/>
          <w:highlight w:val="none"/>
          <w14:ligatures w14:val="none"/>
        </w:rPr>
      </w:pPr>
      <w:r>
        <w:rPr>
          <w:rFonts w:hint="eastAsia" w:ascii="仿宋" w:hAnsi="仿宋" w:eastAsia="仿宋" w:cs="仿宋"/>
          <w:b/>
          <w:bCs/>
          <w:spacing w:val="-6"/>
          <w:kern w:val="0"/>
          <w:sz w:val="32"/>
          <w:szCs w:val="32"/>
          <w:highlight w:val="none"/>
          <w14:ligatures w14:val="none"/>
        </w:rPr>
        <w:t>4.市、县相关文件</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bidi="ar"/>
        </w:rPr>
        <w:t>（1）《济宁市人民政府关于印发济宁市国民经济和社会发展第十四个五年规划和2035年远景目标纲要的通知》（济政发〔2021〕6号）；</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bidi="ar"/>
        </w:rPr>
        <w:t>（2）《济宁市人民政府关于印发济宁市创新驱动高质量发展的若干政策措施的通知》（济政发〔2021〕11号）；</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bidi="ar"/>
        </w:rPr>
        <w:t>（3）《济宁市人民政府关于印发济宁市“三线一单”生态环境分区管控方案的通知》（济政字〔2021〕27号）；</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bidi="ar"/>
        </w:rPr>
        <w:t>（4）《济宁市人民政府关于印发济宁市“十四五”生态环境保护规划的通知》（济政字〔2021〕90号）；</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bidi="ar"/>
        </w:rPr>
        <w:t>（5）《济宁市人民政府关于印发济宁市“十四五”自然资源保护和利用规划的通知》（济政字〔2022〕1号）；</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bidi="ar"/>
        </w:rPr>
        <w:t>（6）《济宁市人民政府关于印发济宁市“十四五”推进农业农村现代化规划的通知》（济政发〔2022〕5号）；</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bidi="ar"/>
        </w:rPr>
        <w:t>（7）《济宁市人民政府关于印发济宁市能源发展“十四五”规划的通知》（济政字〔2022〕5号）；</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bidi="ar"/>
        </w:rPr>
        <w:t>（8）《济宁市人民政府关于印发济宁市突发事件总体应急预案的通知》（济政发〔2022〕15号）；</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bidi="ar"/>
        </w:rPr>
        <w:t>（9）《济宁市人民政府关于印发济宁市“十四五”城乡水务发展规划的通知》（济政字〔2022〕24号）；</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bidi="ar"/>
        </w:rPr>
        <w:t>（10）《济宁市自然资源和规划局关于印发济宁市林业保护发展“十四五”规划的通知》（济自资规发〔2022〕27号）；</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bidi="ar"/>
        </w:rPr>
        <w:t>（11）《济宁市人民政府关于印发济宁市城乡生活垃圾分类工作方案的通知》（济政字〔2022〕38号）</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bidi="ar"/>
        </w:rPr>
        <w:t>（12）《济宁市人民政府关于印发济宁市“十四五”时期“无废城市”建设实施方案的通知》（济政字〔2022〕76号）；</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bidi="ar"/>
        </w:rPr>
        <w:t>（13）《济宁市人民政府关于印发济宁市畜禽养殖污染防治规划的通知》（济政字〔2023〕18号）；</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bidi="ar"/>
        </w:rPr>
        <w:t>（14）《</w:t>
      </w:r>
      <w:r>
        <w:rPr>
          <w:rFonts w:ascii="仿宋" w:hAnsi="仿宋" w:eastAsia="仿宋" w:cs="仿宋"/>
          <w:color w:val="000000"/>
          <w:kern w:val="0"/>
          <w:sz w:val="32"/>
          <w:szCs w:val="32"/>
          <w:highlight w:val="none"/>
          <w:lang w:bidi="ar"/>
        </w:rPr>
        <w:t>泗水县人民政府关于印发泗水县国民经济和社会发展第十四个五年规划和2035年远景目标纲要的通知</w:t>
      </w:r>
      <w:r>
        <w:rPr>
          <w:rFonts w:hint="eastAsia" w:ascii="仿宋" w:hAnsi="仿宋" w:eastAsia="仿宋" w:cs="仿宋"/>
          <w:color w:val="000000"/>
          <w:kern w:val="0"/>
          <w:sz w:val="32"/>
          <w:szCs w:val="32"/>
          <w:highlight w:val="none"/>
          <w:lang w:bidi="ar"/>
        </w:rPr>
        <w:t>》（泗政发〔2021〕10号）；</w:t>
      </w:r>
    </w:p>
    <w:p>
      <w:pPr>
        <w:spacing w:after="0" w:line="360" w:lineRule="auto"/>
        <w:ind w:firstLine="640" w:firstLineChars="200"/>
        <w:jc w:val="both"/>
        <w:rPr>
          <w:highlight w:val="none"/>
        </w:rPr>
      </w:pPr>
      <w:r>
        <w:rPr>
          <w:rFonts w:hint="eastAsia" w:ascii="仿宋" w:hAnsi="仿宋" w:eastAsia="仿宋" w:cs="仿宋"/>
          <w:color w:val="000000"/>
          <w:kern w:val="0"/>
          <w:sz w:val="32"/>
          <w:szCs w:val="32"/>
          <w:highlight w:val="none"/>
          <w:lang w:bidi="ar"/>
        </w:rPr>
        <w:t>（15）《中共泗水县委办公室 泗水县人民政府办公室关于印发泗水县南四湖流域生态保护“三年行动计划”（2021—2023 年）实施方案的通知》（泗办发〔2021〕19号）；</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bidi="ar"/>
        </w:rPr>
        <w:t>（16）《泗水县人民政府办公室关于印发泗水县全域美丽幸福河湖创建三年攻坚行动方案的通知》（泗政办字〔2021〕36号）；</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bidi="ar"/>
        </w:rPr>
        <w:t>（17）《</w:t>
      </w:r>
      <w:r>
        <w:rPr>
          <w:rFonts w:ascii="仿宋" w:hAnsi="仿宋" w:eastAsia="仿宋" w:cs="仿宋"/>
          <w:color w:val="000000"/>
          <w:kern w:val="0"/>
          <w:sz w:val="32"/>
          <w:szCs w:val="32"/>
          <w:highlight w:val="none"/>
          <w:lang w:bidi="ar"/>
        </w:rPr>
        <w:t>泗水县人民政府办公室关于印发泗水县畜禽养殖禁养区优化方案的通知</w:t>
      </w:r>
      <w:r>
        <w:rPr>
          <w:rFonts w:hint="eastAsia" w:ascii="仿宋" w:hAnsi="仿宋" w:eastAsia="仿宋" w:cs="仿宋"/>
          <w:color w:val="000000"/>
          <w:kern w:val="0"/>
          <w:sz w:val="32"/>
          <w:szCs w:val="32"/>
          <w:highlight w:val="none"/>
          <w:lang w:bidi="ar"/>
        </w:rPr>
        <w:t>》（</w:t>
      </w:r>
      <w:r>
        <w:rPr>
          <w:rFonts w:ascii="仿宋" w:hAnsi="仿宋" w:eastAsia="仿宋" w:cs="仿宋"/>
          <w:color w:val="000000"/>
          <w:kern w:val="0"/>
          <w:sz w:val="32"/>
          <w:szCs w:val="32"/>
          <w:highlight w:val="none"/>
          <w:lang w:bidi="ar"/>
        </w:rPr>
        <w:t>泗政办字</w:t>
      </w:r>
      <w:r>
        <w:rPr>
          <w:rFonts w:hint="eastAsia" w:ascii="仿宋" w:hAnsi="仿宋" w:eastAsia="仿宋" w:cs="仿宋"/>
          <w:color w:val="000000"/>
          <w:kern w:val="0"/>
          <w:sz w:val="32"/>
          <w:szCs w:val="32"/>
          <w:highlight w:val="none"/>
          <w:lang w:bidi="ar"/>
        </w:rPr>
        <w:t>〔2022〕</w:t>
      </w:r>
      <w:r>
        <w:rPr>
          <w:rFonts w:ascii="仿宋" w:hAnsi="仿宋" w:eastAsia="仿宋" w:cs="仿宋"/>
          <w:color w:val="000000"/>
          <w:kern w:val="0"/>
          <w:sz w:val="32"/>
          <w:szCs w:val="32"/>
          <w:highlight w:val="none"/>
          <w:lang w:bidi="ar"/>
        </w:rPr>
        <w:t>2号</w:t>
      </w:r>
      <w:r>
        <w:rPr>
          <w:rFonts w:hint="eastAsia" w:ascii="仿宋" w:hAnsi="仿宋" w:eastAsia="仿宋" w:cs="仿宋"/>
          <w:color w:val="000000"/>
          <w:kern w:val="0"/>
          <w:sz w:val="32"/>
          <w:szCs w:val="32"/>
          <w:highlight w:val="none"/>
          <w:lang w:bidi="ar"/>
        </w:rPr>
        <w:t>）；</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bidi="ar"/>
        </w:rPr>
        <w:t>（18）《泗水县人民政府关于印发泗水县中心城区声环境功能区划分方案的通知》（泗政字〔2022〕126号）；</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bidi="ar"/>
        </w:rPr>
        <w:t>（19）《泗水县全域旅游发展规划》（2022年1月）；</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bidi="ar"/>
        </w:rPr>
        <w:t>（20）《泗水县人民政府关于印发泗水县矿产资源总体规划（2021—2025年）的通知》（泗政字〔2023〕32号）。</w:t>
      </w:r>
    </w:p>
    <w:p>
      <w:pPr>
        <w:pStyle w:val="3"/>
        <w:widowControl w:val="0"/>
        <w:spacing w:line="240" w:lineRule="auto"/>
        <w:ind w:firstLine="643"/>
        <w:rPr>
          <w:rFonts w:ascii="楷体" w:hAnsi="楷体" w:eastAsia="楷体" w:cs="楷体"/>
          <w:kern w:val="2"/>
          <w:highlight w:val="none"/>
        </w:rPr>
      </w:pPr>
      <w:bookmarkStart w:id="14" w:name="_Toc27214"/>
      <w:r>
        <w:rPr>
          <w:rFonts w:hint="eastAsia" w:ascii="楷体" w:hAnsi="楷体" w:eastAsia="楷体" w:cs="楷体"/>
          <w:kern w:val="2"/>
          <w:highlight w:val="none"/>
        </w:rPr>
        <w:t>（四）规划范围</w:t>
      </w:r>
      <w:bookmarkEnd w:id="14"/>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bidi="ar"/>
        </w:rPr>
        <w:t>本次规划范围为泗水县行政辖区范围，包括泉林镇、柘沟镇、杨柳镇、中册镇、高峪镇、苗馆镇、金庄镇、泗张镇、圣水峪镇、华村镇、泗河街道、济河街道11个镇2个街道，总面积1118.12平方公里。</w:t>
      </w:r>
    </w:p>
    <w:p>
      <w:pPr>
        <w:pStyle w:val="3"/>
        <w:widowControl w:val="0"/>
        <w:spacing w:line="240" w:lineRule="auto"/>
        <w:ind w:firstLine="643"/>
        <w:rPr>
          <w:rFonts w:ascii="楷体" w:hAnsi="楷体" w:eastAsia="楷体" w:cs="楷体"/>
          <w:kern w:val="2"/>
          <w:highlight w:val="none"/>
        </w:rPr>
      </w:pPr>
      <w:bookmarkStart w:id="15" w:name="_Toc31736"/>
      <w:r>
        <w:rPr>
          <w:rFonts w:hint="eastAsia" w:ascii="楷体" w:hAnsi="楷体" w:eastAsia="楷体" w:cs="楷体"/>
          <w:kern w:val="2"/>
          <w:highlight w:val="none"/>
        </w:rPr>
        <w:t>（五）规划期限</w:t>
      </w:r>
      <w:bookmarkEnd w:id="15"/>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bidi="ar"/>
        </w:rPr>
        <w:t>本规划基准年为2022年，近期规划期限为2023年-2025年，中远期规划期限为2026年-2030年。</w:t>
      </w:r>
    </w:p>
    <w:p>
      <w:pPr>
        <w:pStyle w:val="3"/>
        <w:widowControl w:val="0"/>
        <w:spacing w:line="240" w:lineRule="auto"/>
        <w:ind w:firstLine="643"/>
        <w:rPr>
          <w:rFonts w:ascii="楷体" w:hAnsi="楷体" w:eastAsia="楷体" w:cs="楷体"/>
          <w:kern w:val="2"/>
          <w:highlight w:val="none"/>
        </w:rPr>
      </w:pPr>
      <w:bookmarkStart w:id="16" w:name="_Toc7212"/>
      <w:r>
        <w:rPr>
          <w:rFonts w:hint="eastAsia" w:ascii="楷体" w:hAnsi="楷体" w:eastAsia="楷体" w:cs="楷体"/>
          <w:kern w:val="2"/>
          <w:highlight w:val="none"/>
        </w:rPr>
        <w:t>（六）战略定位</w:t>
      </w:r>
      <w:bookmarkEnd w:id="16"/>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bidi="ar"/>
        </w:rPr>
        <w:t>——打造山水园林生态宜居地。重点打造泗水县生态涵养区，构建区域协同保护发展格局，北部与新泰市、曲阜市共保共建龙门山-凤仙山-石门山生态旅游区；东部与平邑市共保共建鲁中南山区丘陵生态区；南部与邹城市共保共建济宁市域生态保育与水源涵养区。实施山水林田湖草沙一体化保护与修复工程，强化森林保育，实施荒山绿化、河道生态修复等工程，提升生态系统服务功能，塑造“山水”特色的生态宜居家园。</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bidi="ar"/>
        </w:rPr>
        <w:t>——打造乡村振兴和绿色生态农业发展引领区。积极开展乡村振兴“十百千”“示范区”创建，做好美丽乡村和乡村振兴示范创建，科学有序开展村庄建设，完善乡村基础设施，坚持五大振兴一起抓，统筹推进农村人居环境整治、乡村治理、乡风文明和基层组织建设等重点工作，高水平建设乡村振兴齐鲁样板引领区。以龙湾湖乡村振兴示范片区为引领，推进“一带两核三区”建设，推进一二三产业深度融合，打造在全省具有影响力和示范作用的乡村振兴示范引领区。</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bidi="ar"/>
        </w:rPr>
        <w:t>——打造优秀传统文化发展和休闲旅游目的地。抓住列入曲阜优秀传统文化传承发展示范区核心区和尼山世界儒学中心机遇，积极融入孔孟文化轴、泗河文化带等协同发展轴带,加强与曲阜、邹城的文化联系；重点以尼山圣源书院和尼山世界文明论坛为依托，挖掘“圣源文化，讲好“泗水故事”，共建区域优秀传统文化“两创”先行区”。坚持文旅融合理念，促进文化和旅游深度融合发展，建成区域知名的集文化体验、生态休闲、乡村度假等于一体的高品质文化旅游目的地。</w:t>
      </w:r>
    </w:p>
    <w:p>
      <w:pPr>
        <w:pStyle w:val="3"/>
        <w:widowControl w:val="0"/>
        <w:spacing w:line="240" w:lineRule="auto"/>
        <w:ind w:firstLine="643"/>
        <w:rPr>
          <w:rFonts w:ascii="楷体" w:hAnsi="楷体" w:eastAsia="楷体" w:cs="楷体"/>
          <w:kern w:val="2"/>
          <w:highlight w:val="none"/>
        </w:rPr>
      </w:pPr>
      <w:bookmarkStart w:id="17" w:name="_Toc24426"/>
      <w:r>
        <w:rPr>
          <w:rFonts w:hint="eastAsia" w:ascii="楷体" w:hAnsi="楷体" w:eastAsia="楷体" w:cs="楷体"/>
          <w:kern w:val="2"/>
          <w:highlight w:val="none"/>
        </w:rPr>
        <w:t>（七）规划目标</w:t>
      </w:r>
      <w:bookmarkEnd w:id="17"/>
    </w:p>
    <w:p>
      <w:pPr>
        <w:spacing w:line="360" w:lineRule="auto"/>
        <w:ind w:firstLine="619" w:firstLineChars="200"/>
        <w:rPr>
          <w:rFonts w:ascii="仿宋" w:hAnsi="仿宋" w:eastAsia="仿宋" w:cs="仿宋"/>
          <w:b/>
          <w:bCs/>
          <w:spacing w:val="-6"/>
          <w:kern w:val="0"/>
          <w:sz w:val="32"/>
          <w:szCs w:val="32"/>
          <w:highlight w:val="none"/>
          <w14:ligatures w14:val="none"/>
        </w:rPr>
      </w:pPr>
      <w:r>
        <w:rPr>
          <w:rFonts w:hint="eastAsia" w:ascii="仿宋" w:hAnsi="仿宋" w:eastAsia="仿宋" w:cs="仿宋"/>
          <w:b/>
          <w:bCs/>
          <w:spacing w:val="-6"/>
          <w:kern w:val="0"/>
          <w:sz w:val="32"/>
          <w:szCs w:val="32"/>
          <w:highlight w:val="none"/>
          <w14:ligatures w14:val="none"/>
        </w:rPr>
        <w:t>1.总体目标</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bidi="ar"/>
        </w:rPr>
        <w:t>全面深入推进生态文明建设和生态环境保护，高站位、高标准、高质量创建省级生态文明建设示范区，不断完善生态环境治理体系，提升治理能力现代化水平，实行最严格的生态环境保护制度，创新和完善生态文明体制机制，持续改善生态环境质量，构建以绿色、低碳、循环为特征的生态经济体系，基本形成符合生态文明理念的发展模式、产业体系和生活方式，为建成“生态泗水、活力泗水、文化泗水、幸福泗水”提供坚实保障。</w:t>
      </w:r>
    </w:p>
    <w:p>
      <w:pPr>
        <w:spacing w:line="360" w:lineRule="auto"/>
        <w:ind w:firstLine="619" w:firstLineChars="200"/>
        <w:rPr>
          <w:rFonts w:ascii="仿宋" w:hAnsi="仿宋" w:eastAsia="仿宋" w:cs="仿宋"/>
          <w:b/>
          <w:bCs/>
          <w:spacing w:val="-6"/>
          <w:kern w:val="0"/>
          <w:sz w:val="32"/>
          <w:szCs w:val="32"/>
          <w:highlight w:val="none"/>
          <w14:ligatures w14:val="none"/>
        </w:rPr>
      </w:pPr>
      <w:r>
        <w:rPr>
          <w:rFonts w:hint="eastAsia" w:ascii="仿宋" w:hAnsi="仿宋" w:eastAsia="仿宋" w:cs="仿宋"/>
          <w:b/>
          <w:bCs/>
          <w:spacing w:val="-6"/>
          <w:kern w:val="0"/>
          <w:sz w:val="32"/>
          <w:szCs w:val="32"/>
          <w:highlight w:val="none"/>
          <w14:ligatures w14:val="none"/>
        </w:rPr>
        <w:t>2.阶段目标</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bidi="ar"/>
        </w:rPr>
        <w:t>近期目标（2023年～2025年）：全面推进生态文明建设，到2025年，生态文明制度体系建立健全，生态安全得到有利保障，产业绿色转型加快，绿色发展水平显著提升，科学合理的生产空间、生活空间、生态空间基本形成，生态文明理念成为全社会的共识，人民群众生态环境获得感大幅提升。</w:t>
      </w:r>
    </w:p>
    <w:p>
      <w:pPr>
        <w:spacing w:after="0" w:line="360" w:lineRule="auto"/>
        <w:ind w:firstLine="640" w:firstLineChars="200"/>
        <w:jc w:val="both"/>
        <w:rPr>
          <w:rFonts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bidi="ar"/>
        </w:rPr>
        <w:t>远期目标（2026年～2030年）：生态文明体制机制更加健全，生态环境质量全面改善，资源利用效率不断提高，以低碳循环为核心的生态经济体系基本建立，区域可持续发展能力得到保障，生态文化氛围浓厚、生态文明观念意识全面普及，生态文明建设示范区各项指标全面优于国家考核标准，全域生态文明全面提升。</w:t>
      </w:r>
    </w:p>
    <w:p>
      <w:pPr>
        <w:spacing w:line="360" w:lineRule="auto"/>
        <w:ind w:firstLine="619" w:firstLineChars="200"/>
        <w:rPr>
          <w:rFonts w:ascii="仿宋" w:hAnsi="仿宋" w:eastAsia="仿宋" w:cs="仿宋"/>
          <w:b/>
          <w:bCs/>
          <w:spacing w:val="-6"/>
          <w:kern w:val="0"/>
          <w:sz w:val="32"/>
          <w:szCs w:val="32"/>
          <w:highlight w:val="none"/>
          <w14:ligatures w14:val="none"/>
        </w:rPr>
      </w:pPr>
      <w:r>
        <w:rPr>
          <w:rFonts w:hint="eastAsia" w:ascii="仿宋" w:hAnsi="仿宋" w:eastAsia="仿宋" w:cs="仿宋"/>
          <w:b/>
          <w:bCs/>
          <w:spacing w:val="-6"/>
          <w:kern w:val="0"/>
          <w:sz w:val="32"/>
          <w:szCs w:val="32"/>
          <w:highlight w:val="none"/>
          <w14:ligatures w14:val="none"/>
        </w:rPr>
        <w:t>3.规划指标</w:t>
      </w:r>
    </w:p>
    <w:p>
      <w:pPr>
        <w:spacing w:after="0" w:line="360" w:lineRule="auto"/>
        <w:ind w:firstLine="640" w:firstLineChars="200"/>
        <w:jc w:val="both"/>
        <w:rPr>
          <w:rFonts w:ascii="仿宋" w:hAnsi="仿宋" w:eastAsia="仿宋" w:cs="仿宋"/>
          <w:color w:val="000000"/>
          <w:kern w:val="0"/>
          <w:sz w:val="32"/>
          <w:szCs w:val="32"/>
          <w:highlight w:val="none"/>
          <w:lang w:bidi="ar"/>
        </w:rPr>
        <w:sectPr>
          <w:footerReference r:id="rId10" w:type="default"/>
          <w:pgSz w:w="11906" w:h="16838"/>
          <w:pgMar w:top="2098" w:right="1800" w:bottom="1814" w:left="1800" w:header="851" w:footer="992" w:gutter="0"/>
          <w:pgNumType w:start="1"/>
          <w:cols w:space="425" w:num="1"/>
          <w:docGrid w:type="lines" w:linePitch="312" w:charSpace="0"/>
        </w:sectPr>
      </w:pPr>
      <w:r>
        <w:rPr>
          <w:rFonts w:hint="eastAsia" w:ascii="仿宋" w:hAnsi="仿宋" w:eastAsia="仿宋" w:cs="仿宋"/>
          <w:color w:val="000000"/>
          <w:kern w:val="0"/>
          <w:sz w:val="32"/>
          <w:szCs w:val="32"/>
          <w:highlight w:val="none"/>
          <w:lang w:bidi="ar"/>
        </w:rPr>
        <w:t>依据《山东省省级生态文明建设示范区指标》《国家生态文明建设示范区建设指标（修订版）》等相关要求，确定济宁市泗水县省级生态文明建设示范区规划指标体系（详见表1），包括生态制度、生态安全、生态空间、生态经济、生态生活、生态文化六大领域，共计37项指标。</w:t>
      </w:r>
    </w:p>
    <w:p>
      <w:pPr>
        <w:spacing w:line="360" w:lineRule="auto"/>
        <w:jc w:val="center"/>
        <w:rPr>
          <w:rFonts w:ascii="仿宋" w:hAnsi="仿宋" w:eastAsia="仿宋" w:cs="仿宋"/>
          <w:spacing w:val="-6"/>
          <w:kern w:val="0"/>
          <w:sz w:val="32"/>
          <w:szCs w:val="32"/>
          <w:highlight w:val="none"/>
          <w14:ligatures w14:val="none"/>
        </w:rPr>
      </w:pPr>
      <w:r>
        <w:rPr>
          <w:rFonts w:hint="eastAsia" w:ascii="仿宋" w:hAnsi="仿宋" w:eastAsia="仿宋" w:cs="仿宋"/>
          <w:spacing w:val="-6"/>
          <w:kern w:val="0"/>
          <w:sz w:val="32"/>
          <w:szCs w:val="32"/>
          <w:highlight w:val="none"/>
          <w14:ligatures w14:val="none"/>
        </w:rPr>
        <w:t>表3-1 泗水县省级生态文明建设示范区建设指标体系</w:t>
      </w:r>
    </w:p>
    <w:tbl>
      <w:tblPr>
        <w:tblStyle w:val="19"/>
        <w:tblW w:w="548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645"/>
        <w:gridCol w:w="682"/>
        <w:gridCol w:w="682"/>
        <w:gridCol w:w="790"/>
        <w:gridCol w:w="1958"/>
        <w:gridCol w:w="719"/>
        <w:gridCol w:w="1775"/>
        <w:gridCol w:w="818"/>
        <w:gridCol w:w="1460"/>
        <w:gridCol w:w="1426"/>
        <w:gridCol w:w="1380"/>
        <w:gridCol w:w="788"/>
        <w:gridCol w:w="1156"/>
        <w:gridCol w:w="1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blHeader/>
          <w:jc w:val="center"/>
        </w:trPr>
        <w:tc>
          <w:tcPr>
            <w:tcW w:w="209" w:type="pct"/>
            <w:vMerge w:val="restart"/>
            <w:vAlign w:val="center"/>
          </w:tcPr>
          <w:p>
            <w:pPr>
              <w:jc w:val="center"/>
              <w:rPr>
                <w:rFonts w:ascii="仿宋" w:hAnsi="仿宋" w:eastAsia="仿宋" w:cs="仿宋"/>
                <w:b/>
                <w:bCs/>
                <w:color w:val="000000"/>
                <w:highlight w:val="none"/>
              </w:rPr>
            </w:pPr>
            <w:r>
              <w:rPr>
                <w:rFonts w:hint="eastAsia" w:ascii="仿宋" w:hAnsi="仿宋" w:eastAsia="仿宋" w:cs="仿宋"/>
                <w:b/>
                <w:bCs/>
                <w:color w:val="000000"/>
                <w:highlight w:val="none"/>
              </w:rPr>
              <w:t>领域</w:t>
            </w:r>
          </w:p>
        </w:tc>
        <w:tc>
          <w:tcPr>
            <w:tcW w:w="221" w:type="pct"/>
            <w:vMerge w:val="restart"/>
            <w:vAlign w:val="center"/>
          </w:tcPr>
          <w:p>
            <w:pPr>
              <w:jc w:val="center"/>
              <w:rPr>
                <w:rFonts w:ascii="仿宋" w:hAnsi="仿宋" w:eastAsia="仿宋" w:cs="仿宋"/>
                <w:b/>
                <w:bCs/>
                <w:color w:val="000000"/>
                <w:highlight w:val="none"/>
              </w:rPr>
            </w:pPr>
            <w:r>
              <w:rPr>
                <w:rFonts w:hint="eastAsia" w:ascii="仿宋" w:hAnsi="仿宋" w:eastAsia="仿宋" w:cs="仿宋"/>
                <w:b/>
                <w:bCs/>
                <w:color w:val="000000"/>
                <w:highlight w:val="none"/>
              </w:rPr>
              <w:t>任务</w:t>
            </w:r>
          </w:p>
        </w:tc>
        <w:tc>
          <w:tcPr>
            <w:tcW w:w="221" w:type="pct"/>
            <w:vMerge w:val="restart"/>
            <w:vAlign w:val="center"/>
          </w:tcPr>
          <w:p>
            <w:pPr>
              <w:jc w:val="center"/>
              <w:rPr>
                <w:rFonts w:ascii="仿宋" w:hAnsi="仿宋" w:eastAsia="仿宋" w:cs="仿宋"/>
                <w:b/>
                <w:bCs/>
                <w:color w:val="000000"/>
                <w:highlight w:val="none"/>
              </w:rPr>
            </w:pPr>
            <w:r>
              <w:rPr>
                <w:rFonts w:hint="eastAsia" w:ascii="仿宋" w:hAnsi="仿宋" w:eastAsia="仿宋" w:cs="仿宋"/>
                <w:b/>
                <w:bCs/>
                <w:color w:val="000000"/>
                <w:highlight w:val="none"/>
              </w:rPr>
              <w:t>序号</w:t>
            </w:r>
          </w:p>
        </w:tc>
        <w:tc>
          <w:tcPr>
            <w:tcW w:w="890" w:type="pct"/>
            <w:gridSpan w:val="2"/>
            <w:vMerge w:val="restart"/>
            <w:vAlign w:val="center"/>
          </w:tcPr>
          <w:p>
            <w:pPr>
              <w:jc w:val="center"/>
              <w:rPr>
                <w:rFonts w:ascii="仿宋" w:hAnsi="仿宋" w:eastAsia="仿宋" w:cs="仿宋"/>
                <w:b/>
                <w:bCs/>
                <w:color w:val="000000"/>
                <w:highlight w:val="none"/>
              </w:rPr>
            </w:pPr>
            <w:r>
              <w:rPr>
                <w:rFonts w:hint="eastAsia" w:ascii="仿宋" w:hAnsi="仿宋" w:eastAsia="仿宋" w:cs="仿宋"/>
                <w:b/>
                <w:bCs/>
                <w:color w:val="000000"/>
                <w:highlight w:val="none"/>
              </w:rPr>
              <w:t>指标名称</w:t>
            </w:r>
          </w:p>
        </w:tc>
        <w:tc>
          <w:tcPr>
            <w:tcW w:w="233" w:type="pct"/>
            <w:vMerge w:val="restart"/>
            <w:vAlign w:val="center"/>
          </w:tcPr>
          <w:p>
            <w:pPr>
              <w:jc w:val="center"/>
              <w:rPr>
                <w:rFonts w:ascii="仿宋" w:hAnsi="仿宋" w:eastAsia="仿宋" w:cs="仿宋"/>
                <w:b/>
                <w:bCs/>
                <w:color w:val="000000"/>
                <w:highlight w:val="none"/>
              </w:rPr>
            </w:pPr>
            <w:r>
              <w:rPr>
                <w:rFonts w:hint="eastAsia" w:ascii="仿宋" w:hAnsi="仿宋" w:eastAsia="仿宋" w:cs="仿宋"/>
                <w:b/>
                <w:bCs/>
                <w:color w:val="000000"/>
                <w:highlight w:val="none"/>
              </w:rPr>
              <w:t>单位</w:t>
            </w:r>
          </w:p>
        </w:tc>
        <w:tc>
          <w:tcPr>
            <w:tcW w:w="575" w:type="pct"/>
            <w:vMerge w:val="restart"/>
            <w:vAlign w:val="center"/>
          </w:tcPr>
          <w:p>
            <w:pPr>
              <w:jc w:val="center"/>
              <w:rPr>
                <w:rFonts w:ascii="仿宋" w:hAnsi="仿宋" w:eastAsia="仿宋" w:cs="仿宋"/>
                <w:b/>
                <w:bCs/>
                <w:color w:val="000000"/>
                <w:highlight w:val="none"/>
              </w:rPr>
            </w:pPr>
            <w:r>
              <w:rPr>
                <w:rFonts w:hint="eastAsia" w:ascii="仿宋" w:hAnsi="仿宋" w:eastAsia="仿宋" w:cs="仿宋"/>
                <w:b/>
                <w:bCs/>
                <w:color w:val="000000"/>
                <w:highlight w:val="none"/>
              </w:rPr>
              <w:t>指标值</w:t>
            </w:r>
          </w:p>
        </w:tc>
        <w:tc>
          <w:tcPr>
            <w:tcW w:w="265" w:type="pct"/>
            <w:vMerge w:val="restart"/>
            <w:vAlign w:val="center"/>
          </w:tcPr>
          <w:p>
            <w:pPr>
              <w:jc w:val="center"/>
              <w:rPr>
                <w:rFonts w:ascii="仿宋" w:hAnsi="仿宋" w:eastAsia="仿宋" w:cs="仿宋"/>
                <w:b/>
                <w:bCs/>
                <w:color w:val="000000"/>
                <w:highlight w:val="none"/>
              </w:rPr>
            </w:pPr>
            <w:r>
              <w:rPr>
                <w:rFonts w:hint="eastAsia" w:ascii="仿宋" w:hAnsi="仿宋" w:eastAsia="仿宋" w:cs="仿宋"/>
                <w:b/>
                <w:bCs/>
                <w:color w:val="000000"/>
                <w:highlight w:val="none"/>
              </w:rPr>
              <w:t>指标</w:t>
            </w:r>
          </w:p>
          <w:p>
            <w:pPr>
              <w:jc w:val="center"/>
              <w:rPr>
                <w:rFonts w:ascii="仿宋" w:hAnsi="仿宋" w:eastAsia="仿宋" w:cs="仿宋"/>
                <w:b/>
                <w:bCs/>
                <w:color w:val="000000"/>
                <w:highlight w:val="none"/>
              </w:rPr>
            </w:pPr>
            <w:r>
              <w:rPr>
                <w:rFonts w:hint="eastAsia" w:ascii="仿宋" w:hAnsi="仿宋" w:eastAsia="仿宋" w:cs="仿宋"/>
                <w:b/>
                <w:bCs/>
                <w:color w:val="000000"/>
                <w:highlight w:val="none"/>
              </w:rPr>
              <w:t>属性</w:t>
            </w:r>
          </w:p>
        </w:tc>
        <w:tc>
          <w:tcPr>
            <w:tcW w:w="1382" w:type="pct"/>
            <w:gridSpan w:val="3"/>
            <w:vAlign w:val="center"/>
          </w:tcPr>
          <w:p>
            <w:pPr>
              <w:jc w:val="center"/>
              <w:rPr>
                <w:rFonts w:ascii="仿宋" w:hAnsi="仿宋" w:eastAsia="仿宋" w:cs="仿宋"/>
                <w:b/>
                <w:bCs/>
                <w:highlight w:val="none"/>
              </w:rPr>
            </w:pPr>
            <w:r>
              <w:rPr>
                <w:rFonts w:hint="eastAsia" w:ascii="仿宋" w:hAnsi="仿宋" w:eastAsia="仿宋" w:cs="仿宋"/>
                <w:b/>
                <w:bCs/>
                <w:highlight w:val="none"/>
              </w:rPr>
              <w:t>指标完成情况</w:t>
            </w:r>
          </w:p>
        </w:tc>
        <w:tc>
          <w:tcPr>
            <w:tcW w:w="255" w:type="pct"/>
            <w:vMerge w:val="restart"/>
            <w:vAlign w:val="center"/>
          </w:tcPr>
          <w:p>
            <w:pPr>
              <w:jc w:val="center"/>
              <w:rPr>
                <w:rFonts w:ascii="仿宋" w:hAnsi="仿宋" w:eastAsia="仿宋" w:cs="仿宋"/>
                <w:b/>
                <w:bCs/>
                <w:highlight w:val="none"/>
              </w:rPr>
            </w:pPr>
            <w:r>
              <w:rPr>
                <w:rFonts w:hint="eastAsia" w:ascii="仿宋" w:hAnsi="仿宋" w:eastAsia="仿宋" w:cs="仿宋"/>
                <w:b/>
                <w:bCs/>
                <w:highlight w:val="none"/>
              </w:rPr>
              <w:t>达标情况</w:t>
            </w:r>
          </w:p>
        </w:tc>
        <w:tc>
          <w:tcPr>
            <w:tcW w:w="374" w:type="pct"/>
            <w:vMerge w:val="restart"/>
            <w:vAlign w:val="center"/>
          </w:tcPr>
          <w:p>
            <w:pPr>
              <w:widowControl w:val="0"/>
              <w:spacing w:after="0"/>
              <w:jc w:val="center"/>
              <w:rPr>
                <w:rFonts w:ascii="仿宋" w:hAnsi="仿宋" w:eastAsia="仿宋" w:cs="仿宋"/>
                <w:b/>
                <w:bCs/>
                <w:highlight w:val="none"/>
                <w14:ligatures w14:val="none"/>
              </w:rPr>
            </w:pPr>
            <w:r>
              <w:rPr>
                <w:rFonts w:hint="eastAsia" w:ascii="仿宋" w:hAnsi="仿宋" w:eastAsia="仿宋" w:cs="仿宋"/>
                <w:b/>
                <w:bCs/>
                <w:highlight w:val="none"/>
                <w14:ligatures w14:val="none"/>
              </w:rPr>
              <w:t>目标值</w:t>
            </w:r>
          </w:p>
          <w:p>
            <w:pPr>
              <w:widowControl w:val="0"/>
              <w:spacing w:after="0"/>
              <w:jc w:val="center"/>
              <w:rPr>
                <w:rFonts w:ascii="仿宋" w:hAnsi="仿宋" w:eastAsia="仿宋" w:cs="仿宋"/>
                <w:b/>
                <w:bCs/>
                <w:highlight w:val="none"/>
              </w:rPr>
            </w:pPr>
            <w:r>
              <w:rPr>
                <w:rFonts w:hint="eastAsia" w:ascii="仿宋" w:hAnsi="仿宋" w:eastAsia="仿宋" w:cs="仿宋"/>
                <w:b/>
                <w:bCs/>
                <w:highlight w:val="none"/>
                <w14:ligatures w14:val="none"/>
              </w:rPr>
              <w:t>（2025年）</w:t>
            </w:r>
          </w:p>
        </w:tc>
        <w:tc>
          <w:tcPr>
            <w:tcW w:w="372" w:type="pct"/>
            <w:vMerge w:val="restart"/>
            <w:vAlign w:val="center"/>
          </w:tcPr>
          <w:p>
            <w:pPr>
              <w:widowControl w:val="0"/>
              <w:spacing w:after="0"/>
              <w:jc w:val="center"/>
              <w:rPr>
                <w:rFonts w:ascii="仿宋" w:hAnsi="仿宋" w:eastAsia="仿宋" w:cs="仿宋"/>
                <w:b/>
                <w:bCs/>
                <w:highlight w:val="none"/>
                <w14:ligatures w14:val="none"/>
              </w:rPr>
            </w:pPr>
            <w:r>
              <w:rPr>
                <w:rFonts w:hint="eastAsia" w:ascii="仿宋" w:hAnsi="仿宋" w:eastAsia="仿宋" w:cs="仿宋"/>
                <w:b/>
                <w:bCs/>
                <w:highlight w:val="none"/>
                <w14:ligatures w14:val="none"/>
              </w:rPr>
              <w:t>目标值</w:t>
            </w:r>
          </w:p>
          <w:p>
            <w:pPr>
              <w:widowControl w:val="0"/>
              <w:spacing w:after="0"/>
              <w:jc w:val="center"/>
              <w:rPr>
                <w:rFonts w:ascii="仿宋" w:hAnsi="仿宋" w:eastAsia="仿宋" w:cs="仿宋"/>
                <w:b/>
                <w:bCs/>
                <w:highlight w:val="none"/>
              </w:rPr>
            </w:pPr>
            <w:r>
              <w:rPr>
                <w:rFonts w:hint="eastAsia" w:ascii="仿宋" w:hAnsi="仿宋" w:eastAsia="仿宋" w:cs="仿宋"/>
                <w:b/>
                <w:bCs/>
                <w:highlight w:val="none"/>
                <w14:ligatures w14:val="none"/>
              </w:rPr>
              <w:t>（2030年）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blHeader/>
          <w:jc w:val="center"/>
        </w:trPr>
        <w:tc>
          <w:tcPr>
            <w:tcW w:w="209" w:type="pct"/>
            <w:vMerge w:val="continue"/>
            <w:vAlign w:val="center"/>
          </w:tcPr>
          <w:p>
            <w:pPr>
              <w:jc w:val="center"/>
              <w:rPr>
                <w:rFonts w:ascii="仿宋" w:hAnsi="仿宋" w:eastAsia="仿宋" w:cs="仿宋"/>
                <w:color w:val="000000"/>
                <w:highlight w:val="none"/>
              </w:rPr>
            </w:pPr>
          </w:p>
        </w:tc>
        <w:tc>
          <w:tcPr>
            <w:tcW w:w="221" w:type="pct"/>
            <w:vMerge w:val="continue"/>
            <w:vAlign w:val="center"/>
          </w:tcPr>
          <w:p>
            <w:pPr>
              <w:jc w:val="center"/>
              <w:rPr>
                <w:rFonts w:ascii="仿宋" w:hAnsi="仿宋" w:eastAsia="仿宋" w:cs="仿宋"/>
                <w:color w:val="000000"/>
                <w:highlight w:val="none"/>
              </w:rPr>
            </w:pPr>
          </w:p>
        </w:tc>
        <w:tc>
          <w:tcPr>
            <w:tcW w:w="221" w:type="pct"/>
            <w:vMerge w:val="continue"/>
            <w:vAlign w:val="center"/>
          </w:tcPr>
          <w:p>
            <w:pPr>
              <w:jc w:val="center"/>
              <w:rPr>
                <w:rFonts w:ascii="仿宋" w:hAnsi="仿宋" w:eastAsia="仿宋" w:cs="仿宋"/>
                <w:color w:val="000000"/>
                <w:highlight w:val="none"/>
              </w:rPr>
            </w:pPr>
          </w:p>
        </w:tc>
        <w:tc>
          <w:tcPr>
            <w:tcW w:w="890" w:type="pct"/>
            <w:gridSpan w:val="2"/>
            <w:vMerge w:val="continue"/>
            <w:vAlign w:val="center"/>
          </w:tcPr>
          <w:p>
            <w:pPr>
              <w:jc w:val="center"/>
              <w:rPr>
                <w:rFonts w:ascii="仿宋" w:hAnsi="仿宋" w:eastAsia="仿宋" w:cs="仿宋"/>
                <w:color w:val="000000"/>
                <w:highlight w:val="none"/>
              </w:rPr>
            </w:pPr>
          </w:p>
        </w:tc>
        <w:tc>
          <w:tcPr>
            <w:tcW w:w="233" w:type="pct"/>
            <w:vMerge w:val="continue"/>
            <w:vAlign w:val="center"/>
          </w:tcPr>
          <w:p>
            <w:pPr>
              <w:jc w:val="center"/>
              <w:rPr>
                <w:rFonts w:ascii="仿宋" w:hAnsi="仿宋" w:eastAsia="仿宋" w:cs="仿宋"/>
                <w:color w:val="000000"/>
                <w:highlight w:val="none"/>
              </w:rPr>
            </w:pPr>
          </w:p>
        </w:tc>
        <w:tc>
          <w:tcPr>
            <w:tcW w:w="575" w:type="pct"/>
            <w:vMerge w:val="continue"/>
            <w:vAlign w:val="center"/>
          </w:tcPr>
          <w:p>
            <w:pPr>
              <w:jc w:val="center"/>
              <w:rPr>
                <w:rFonts w:ascii="仿宋" w:hAnsi="仿宋" w:eastAsia="仿宋" w:cs="仿宋"/>
                <w:color w:val="000000"/>
                <w:highlight w:val="none"/>
              </w:rPr>
            </w:pPr>
          </w:p>
        </w:tc>
        <w:tc>
          <w:tcPr>
            <w:tcW w:w="265" w:type="pct"/>
            <w:vMerge w:val="continue"/>
            <w:vAlign w:val="center"/>
          </w:tcPr>
          <w:p>
            <w:pPr>
              <w:jc w:val="center"/>
              <w:rPr>
                <w:rFonts w:ascii="仿宋" w:hAnsi="仿宋" w:eastAsia="仿宋" w:cs="仿宋"/>
                <w:color w:val="000000"/>
                <w:highlight w:val="none"/>
              </w:rPr>
            </w:pPr>
          </w:p>
        </w:tc>
        <w:tc>
          <w:tcPr>
            <w:tcW w:w="473" w:type="pct"/>
            <w:vAlign w:val="center"/>
          </w:tcPr>
          <w:p>
            <w:pPr>
              <w:jc w:val="center"/>
              <w:rPr>
                <w:rFonts w:ascii="仿宋" w:hAnsi="仿宋" w:eastAsia="仿宋" w:cs="仿宋"/>
                <w:b/>
                <w:bCs/>
                <w:color w:val="000000"/>
                <w:highlight w:val="none"/>
              </w:rPr>
            </w:pPr>
            <w:r>
              <w:rPr>
                <w:rFonts w:hint="eastAsia" w:ascii="仿宋" w:hAnsi="仿宋" w:eastAsia="仿宋" w:cs="仿宋"/>
                <w:b/>
                <w:bCs/>
                <w:color w:val="000000"/>
                <w:highlight w:val="none"/>
              </w:rPr>
              <w:t>2020年</w:t>
            </w:r>
          </w:p>
        </w:tc>
        <w:tc>
          <w:tcPr>
            <w:tcW w:w="462" w:type="pct"/>
            <w:vAlign w:val="center"/>
          </w:tcPr>
          <w:p>
            <w:pPr>
              <w:jc w:val="center"/>
              <w:rPr>
                <w:rFonts w:ascii="仿宋" w:hAnsi="仿宋" w:eastAsia="仿宋" w:cs="仿宋"/>
                <w:b/>
                <w:bCs/>
                <w:color w:val="000000"/>
                <w:highlight w:val="none"/>
              </w:rPr>
            </w:pPr>
            <w:r>
              <w:rPr>
                <w:rFonts w:hint="eastAsia" w:ascii="仿宋" w:hAnsi="仿宋" w:eastAsia="仿宋" w:cs="仿宋"/>
                <w:b/>
                <w:bCs/>
                <w:color w:val="000000"/>
                <w:highlight w:val="none"/>
              </w:rPr>
              <w:t>2021年</w:t>
            </w:r>
          </w:p>
        </w:tc>
        <w:tc>
          <w:tcPr>
            <w:tcW w:w="447" w:type="pct"/>
            <w:vAlign w:val="center"/>
          </w:tcPr>
          <w:p>
            <w:pPr>
              <w:jc w:val="center"/>
              <w:rPr>
                <w:rFonts w:ascii="仿宋" w:hAnsi="仿宋" w:eastAsia="仿宋" w:cs="仿宋"/>
                <w:b/>
                <w:bCs/>
                <w:highlight w:val="none"/>
              </w:rPr>
            </w:pPr>
            <w:r>
              <w:rPr>
                <w:rFonts w:hint="eastAsia" w:ascii="仿宋" w:hAnsi="仿宋" w:eastAsia="仿宋" w:cs="仿宋"/>
                <w:b/>
                <w:bCs/>
                <w:color w:val="000000"/>
                <w:highlight w:val="none"/>
              </w:rPr>
              <w:t>2022年</w:t>
            </w:r>
          </w:p>
        </w:tc>
        <w:tc>
          <w:tcPr>
            <w:tcW w:w="255" w:type="pct"/>
            <w:vMerge w:val="continue"/>
            <w:vAlign w:val="center"/>
          </w:tcPr>
          <w:p>
            <w:pPr>
              <w:jc w:val="center"/>
              <w:rPr>
                <w:rFonts w:ascii="仿宋" w:hAnsi="仿宋" w:eastAsia="仿宋" w:cs="仿宋"/>
                <w:color w:val="000000"/>
                <w:highlight w:val="none"/>
              </w:rPr>
            </w:pPr>
          </w:p>
        </w:tc>
        <w:tc>
          <w:tcPr>
            <w:tcW w:w="374" w:type="pct"/>
            <w:vMerge w:val="continue"/>
            <w:vAlign w:val="center"/>
          </w:tcPr>
          <w:p>
            <w:pPr>
              <w:jc w:val="center"/>
              <w:rPr>
                <w:rFonts w:ascii="仿宋" w:hAnsi="仿宋" w:eastAsia="仿宋" w:cs="仿宋"/>
                <w:color w:val="000000"/>
                <w:highlight w:val="none"/>
              </w:rPr>
            </w:pPr>
          </w:p>
        </w:tc>
        <w:tc>
          <w:tcPr>
            <w:tcW w:w="372" w:type="pct"/>
            <w:vMerge w:val="continue"/>
            <w:vAlign w:val="center"/>
          </w:tcPr>
          <w:p>
            <w:pPr>
              <w:jc w:val="center"/>
              <w:rPr>
                <w:rFonts w:ascii="仿宋" w:hAnsi="仿宋" w:eastAsia="仿宋" w:cs="仿宋"/>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209" w:type="pct"/>
            <w:vMerge w:val="restar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生态制度</w:t>
            </w:r>
          </w:p>
        </w:tc>
        <w:tc>
          <w:tcPr>
            <w:tcW w:w="221" w:type="pct"/>
            <w:vMerge w:val="restar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目标责任体系与制度建设</w:t>
            </w:r>
          </w:p>
        </w:tc>
        <w:tc>
          <w:tcPr>
            <w:tcW w:w="221"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1</w:t>
            </w:r>
          </w:p>
        </w:tc>
        <w:tc>
          <w:tcPr>
            <w:tcW w:w="890" w:type="pct"/>
            <w:gridSpan w:val="2"/>
            <w:vAlign w:val="center"/>
          </w:tcPr>
          <w:p>
            <w:pPr>
              <w:rPr>
                <w:rFonts w:ascii="仿宋" w:hAnsi="仿宋" w:eastAsia="仿宋" w:cs="仿宋"/>
                <w:color w:val="000000"/>
                <w:highlight w:val="none"/>
              </w:rPr>
            </w:pPr>
            <w:r>
              <w:rPr>
                <w:rFonts w:hint="eastAsia" w:ascii="仿宋" w:hAnsi="仿宋" w:eastAsia="仿宋" w:cs="仿宋"/>
                <w:color w:val="000000"/>
                <w:highlight w:val="none"/>
              </w:rPr>
              <w:t>生态文明建设规划</w:t>
            </w:r>
          </w:p>
        </w:tc>
        <w:tc>
          <w:tcPr>
            <w:tcW w:w="233"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w:t>
            </w:r>
          </w:p>
        </w:tc>
        <w:tc>
          <w:tcPr>
            <w:tcW w:w="57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制定实施</w:t>
            </w:r>
          </w:p>
        </w:tc>
        <w:tc>
          <w:tcPr>
            <w:tcW w:w="26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约束性</w:t>
            </w:r>
          </w:p>
        </w:tc>
        <w:tc>
          <w:tcPr>
            <w:tcW w:w="473" w:type="pct"/>
            <w:vAlign w:val="center"/>
          </w:tcPr>
          <w:p>
            <w:pPr>
              <w:jc w:val="center"/>
              <w:rPr>
                <w:rFonts w:ascii="仿宋" w:hAnsi="仿宋" w:eastAsia="仿宋" w:cs="仿宋"/>
                <w:color w:val="000000"/>
                <w:highlight w:val="none"/>
              </w:rPr>
            </w:pPr>
          </w:p>
        </w:tc>
        <w:tc>
          <w:tcPr>
            <w:tcW w:w="462" w:type="pct"/>
            <w:vAlign w:val="center"/>
          </w:tcPr>
          <w:p>
            <w:pPr>
              <w:jc w:val="center"/>
              <w:rPr>
                <w:rFonts w:ascii="仿宋" w:hAnsi="仿宋" w:eastAsia="仿宋" w:cs="仿宋"/>
                <w:color w:val="000000"/>
                <w:highlight w:val="none"/>
              </w:rPr>
            </w:pPr>
          </w:p>
        </w:tc>
        <w:tc>
          <w:tcPr>
            <w:tcW w:w="447"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正在编制</w:t>
            </w:r>
          </w:p>
        </w:tc>
        <w:tc>
          <w:tcPr>
            <w:tcW w:w="25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达标</w:t>
            </w:r>
          </w:p>
        </w:tc>
        <w:tc>
          <w:tcPr>
            <w:tcW w:w="1156" w:type="dxa"/>
            <w:vAlign w:val="center"/>
          </w:tcPr>
          <w:p>
            <w:pPr>
              <w:widowControl w:val="0"/>
              <w:spacing w:after="0"/>
              <w:jc w:val="center"/>
              <w:rPr>
                <w:rFonts w:ascii="仿宋" w:hAnsi="仿宋" w:eastAsia="仿宋" w:cs="仿宋"/>
                <w:color w:val="000000"/>
                <w:highlight w:val="none"/>
              </w:rPr>
            </w:pPr>
            <w:r>
              <w:rPr>
                <w:rFonts w:hint="eastAsia" w:ascii="仿宋" w:hAnsi="仿宋" w:eastAsia="仿宋" w:cs="Times New Roman"/>
                <w:highlight w:val="none"/>
                <w14:ligatures w14:val="none"/>
              </w:rPr>
              <w:t>制定实施</w:t>
            </w:r>
          </w:p>
        </w:tc>
        <w:tc>
          <w:tcPr>
            <w:tcW w:w="1150" w:type="dxa"/>
            <w:vAlign w:val="center"/>
          </w:tcPr>
          <w:p>
            <w:pPr>
              <w:widowControl w:val="0"/>
              <w:spacing w:after="0"/>
              <w:jc w:val="center"/>
              <w:rPr>
                <w:rFonts w:ascii="仿宋" w:hAnsi="仿宋" w:eastAsia="仿宋" w:cs="仿宋"/>
                <w:color w:val="000000"/>
                <w:highlight w:val="none"/>
              </w:rPr>
            </w:pPr>
            <w:r>
              <w:rPr>
                <w:rFonts w:hint="eastAsia" w:ascii="仿宋" w:hAnsi="仿宋" w:eastAsia="仿宋" w:cs="Times New Roman"/>
                <w:highlight w:val="none"/>
                <w14:ligatures w14:val="none"/>
              </w:rPr>
              <w:t>制定实施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209" w:type="pct"/>
            <w:vMerge w:val="continue"/>
            <w:vAlign w:val="center"/>
          </w:tcPr>
          <w:p>
            <w:pPr>
              <w:jc w:val="center"/>
              <w:rPr>
                <w:rFonts w:ascii="仿宋" w:hAnsi="仿宋" w:eastAsia="仿宋" w:cs="仿宋"/>
                <w:color w:val="000000"/>
                <w:highlight w:val="none"/>
              </w:rPr>
            </w:pPr>
          </w:p>
        </w:tc>
        <w:tc>
          <w:tcPr>
            <w:tcW w:w="221" w:type="pct"/>
            <w:vMerge w:val="continue"/>
            <w:vAlign w:val="center"/>
          </w:tcPr>
          <w:p>
            <w:pPr>
              <w:jc w:val="center"/>
              <w:rPr>
                <w:rFonts w:ascii="仿宋" w:hAnsi="仿宋" w:eastAsia="仿宋" w:cs="仿宋"/>
                <w:color w:val="000000"/>
                <w:highlight w:val="none"/>
              </w:rPr>
            </w:pPr>
          </w:p>
        </w:tc>
        <w:tc>
          <w:tcPr>
            <w:tcW w:w="221"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2</w:t>
            </w:r>
          </w:p>
        </w:tc>
        <w:tc>
          <w:tcPr>
            <w:tcW w:w="890" w:type="pct"/>
            <w:gridSpan w:val="2"/>
            <w:vAlign w:val="center"/>
          </w:tcPr>
          <w:p>
            <w:pPr>
              <w:rPr>
                <w:rFonts w:ascii="仿宋" w:hAnsi="仿宋" w:eastAsia="仿宋" w:cs="仿宋"/>
                <w:color w:val="000000"/>
                <w:highlight w:val="none"/>
              </w:rPr>
            </w:pPr>
            <w:r>
              <w:rPr>
                <w:rFonts w:hint="eastAsia" w:ascii="仿宋" w:hAnsi="仿宋" w:eastAsia="仿宋" w:cs="仿宋"/>
                <w:color w:val="000000"/>
                <w:highlight w:val="none"/>
              </w:rPr>
              <w:t>党委政府对生态文明建设重大目标任务部署情况</w:t>
            </w:r>
          </w:p>
        </w:tc>
        <w:tc>
          <w:tcPr>
            <w:tcW w:w="233"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w:t>
            </w:r>
          </w:p>
        </w:tc>
        <w:tc>
          <w:tcPr>
            <w:tcW w:w="57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有效开展</w:t>
            </w:r>
          </w:p>
        </w:tc>
        <w:tc>
          <w:tcPr>
            <w:tcW w:w="26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约束性</w:t>
            </w:r>
          </w:p>
        </w:tc>
        <w:tc>
          <w:tcPr>
            <w:tcW w:w="473"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有效开展</w:t>
            </w:r>
          </w:p>
        </w:tc>
        <w:tc>
          <w:tcPr>
            <w:tcW w:w="462"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有效开展</w:t>
            </w:r>
          </w:p>
        </w:tc>
        <w:tc>
          <w:tcPr>
            <w:tcW w:w="447"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有效开展</w:t>
            </w:r>
          </w:p>
        </w:tc>
        <w:tc>
          <w:tcPr>
            <w:tcW w:w="25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达标</w:t>
            </w:r>
          </w:p>
        </w:tc>
        <w:tc>
          <w:tcPr>
            <w:tcW w:w="1156" w:type="dxa"/>
            <w:vAlign w:val="center"/>
          </w:tcPr>
          <w:p>
            <w:pPr>
              <w:widowControl w:val="0"/>
              <w:spacing w:after="0"/>
              <w:jc w:val="center"/>
              <w:rPr>
                <w:rFonts w:ascii="仿宋" w:hAnsi="仿宋" w:eastAsia="仿宋" w:cs="仿宋"/>
                <w:color w:val="000000"/>
                <w:highlight w:val="none"/>
              </w:rPr>
            </w:pPr>
            <w:r>
              <w:rPr>
                <w:rFonts w:hint="eastAsia" w:ascii="仿宋" w:hAnsi="仿宋" w:eastAsia="仿宋" w:cs="Times New Roman"/>
                <w:highlight w:val="none"/>
                <w14:ligatures w14:val="none"/>
              </w:rPr>
              <w:t>有效开展</w:t>
            </w:r>
          </w:p>
        </w:tc>
        <w:tc>
          <w:tcPr>
            <w:tcW w:w="1150" w:type="dxa"/>
            <w:vAlign w:val="center"/>
          </w:tcPr>
          <w:p>
            <w:pPr>
              <w:widowControl w:val="0"/>
              <w:spacing w:after="0"/>
              <w:jc w:val="center"/>
              <w:rPr>
                <w:rFonts w:ascii="仿宋" w:hAnsi="仿宋" w:eastAsia="仿宋" w:cs="仿宋"/>
                <w:color w:val="000000"/>
                <w:highlight w:val="none"/>
              </w:rPr>
            </w:pPr>
            <w:r>
              <w:rPr>
                <w:rFonts w:hint="eastAsia" w:ascii="仿宋" w:hAnsi="仿宋" w:eastAsia="仿宋" w:cs="Times New Roman"/>
                <w:highlight w:val="none"/>
                <w14:ligatures w14:val="none"/>
              </w:rPr>
              <w:t>有效开展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209" w:type="pct"/>
            <w:vMerge w:val="continue"/>
            <w:vAlign w:val="center"/>
          </w:tcPr>
          <w:p>
            <w:pPr>
              <w:jc w:val="center"/>
              <w:rPr>
                <w:rFonts w:ascii="仿宋" w:hAnsi="仿宋" w:eastAsia="仿宋" w:cs="仿宋"/>
                <w:color w:val="000000"/>
                <w:highlight w:val="none"/>
              </w:rPr>
            </w:pPr>
          </w:p>
        </w:tc>
        <w:tc>
          <w:tcPr>
            <w:tcW w:w="221" w:type="pct"/>
            <w:vMerge w:val="continue"/>
            <w:vAlign w:val="center"/>
          </w:tcPr>
          <w:p>
            <w:pPr>
              <w:jc w:val="center"/>
              <w:rPr>
                <w:rFonts w:ascii="仿宋" w:hAnsi="仿宋" w:eastAsia="仿宋" w:cs="仿宋"/>
                <w:color w:val="000000"/>
                <w:highlight w:val="none"/>
              </w:rPr>
            </w:pPr>
          </w:p>
        </w:tc>
        <w:tc>
          <w:tcPr>
            <w:tcW w:w="221"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3</w:t>
            </w:r>
          </w:p>
        </w:tc>
        <w:tc>
          <w:tcPr>
            <w:tcW w:w="890" w:type="pct"/>
            <w:gridSpan w:val="2"/>
            <w:vAlign w:val="center"/>
          </w:tcPr>
          <w:p>
            <w:pPr>
              <w:rPr>
                <w:rFonts w:ascii="仿宋" w:hAnsi="仿宋" w:eastAsia="仿宋" w:cs="仿宋"/>
                <w:color w:val="000000"/>
                <w:highlight w:val="none"/>
              </w:rPr>
            </w:pPr>
            <w:r>
              <w:rPr>
                <w:rFonts w:hint="eastAsia" w:ascii="仿宋" w:hAnsi="仿宋" w:eastAsia="仿宋" w:cs="仿宋"/>
                <w:color w:val="000000"/>
                <w:highlight w:val="none"/>
              </w:rPr>
              <w:t>生态文明建设工作占党政实绩考核的比例</w:t>
            </w:r>
          </w:p>
        </w:tc>
        <w:tc>
          <w:tcPr>
            <w:tcW w:w="233"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w:t>
            </w:r>
          </w:p>
        </w:tc>
        <w:tc>
          <w:tcPr>
            <w:tcW w:w="57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≥20</w:t>
            </w:r>
          </w:p>
        </w:tc>
        <w:tc>
          <w:tcPr>
            <w:tcW w:w="26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约束性</w:t>
            </w:r>
          </w:p>
        </w:tc>
        <w:tc>
          <w:tcPr>
            <w:tcW w:w="473" w:type="pct"/>
            <w:vAlign w:val="center"/>
          </w:tcPr>
          <w:p>
            <w:pPr>
              <w:jc w:val="center"/>
              <w:rPr>
                <w:rFonts w:hint="default" w:ascii="仿宋" w:hAnsi="仿宋" w:eastAsia="仿宋" w:cs="仿宋"/>
                <w:color w:val="000000"/>
                <w:highlight w:val="none"/>
                <w:lang w:val="en-US" w:eastAsia="zh-CN"/>
              </w:rPr>
            </w:pPr>
            <w:r>
              <w:rPr>
                <w:rFonts w:hint="eastAsia" w:ascii="仿宋" w:hAnsi="仿宋" w:eastAsia="仿宋" w:cs="仿宋"/>
                <w:color w:val="000000"/>
                <w:highlight w:val="none"/>
                <w:lang w:val="en-US" w:eastAsia="zh-CN"/>
              </w:rPr>
              <w:t>27</w:t>
            </w:r>
          </w:p>
        </w:tc>
        <w:tc>
          <w:tcPr>
            <w:tcW w:w="462" w:type="pct"/>
            <w:vAlign w:val="center"/>
          </w:tcPr>
          <w:p>
            <w:pPr>
              <w:jc w:val="center"/>
              <w:rPr>
                <w:rFonts w:hint="default" w:ascii="仿宋" w:hAnsi="仿宋" w:eastAsia="仿宋" w:cs="仿宋"/>
                <w:color w:val="000000"/>
                <w:highlight w:val="none"/>
                <w:lang w:val="en-US" w:eastAsia="zh-CN"/>
              </w:rPr>
            </w:pPr>
            <w:r>
              <w:rPr>
                <w:rFonts w:hint="eastAsia" w:ascii="仿宋" w:hAnsi="仿宋" w:eastAsia="仿宋" w:cs="仿宋"/>
                <w:color w:val="000000"/>
                <w:highlight w:val="none"/>
                <w:lang w:val="en-US" w:eastAsia="zh-CN"/>
              </w:rPr>
              <w:t>27</w:t>
            </w:r>
          </w:p>
        </w:tc>
        <w:tc>
          <w:tcPr>
            <w:tcW w:w="447" w:type="pct"/>
            <w:vAlign w:val="center"/>
          </w:tcPr>
          <w:p>
            <w:pPr>
              <w:jc w:val="center"/>
              <w:rPr>
                <w:rFonts w:hint="default" w:ascii="仿宋" w:hAnsi="仿宋" w:eastAsia="仿宋" w:cs="仿宋"/>
                <w:color w:val="000000"/>
                <w:highlight w:val="none"/>
                <w:lang w:val="en-US" w:eastAsia="zh-CN"/>
              </w:rPr>
            </w:pPr>
            <w:r>
              <w:rPr>
                <w:rFonts w:hint="eastAsia" w:ascii="仿宋" w:hAnsi="仿宋" w:eastAsia="仿宋" w:cs="仿宋"/>
                <w:color w:val="000000"/>
                <w:highlight w:val="none"/>
                <w:lang w:val="en-US" w:eastAsia="zh-CN"/>
              </w:rPr>
              <w:t>28.5</w:t>
            </w:r>
          </w:p>
        </w:tc>
        <w:tc>
          <w:tcPr>
            <w:tcW w:w="25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达标</w:t>
            </w:r>
          </w:p>
        </w:tc>
        <w:tc>
          <w:tcPr>
            <w:tcW w:w="374" w:type="pct"/>
            <w:vAlign w:val="center"/>
          </w:tcPr>
          <w:p>
            <w:pPr>
              <w:jc w:val="center"/>
              <w:rPr>
                <w:rFonts w:hint="default" w:ascii="仿宋" w:hAnsi="仿宋" w:eastAsia="仿宋" w:cs="仿宋"/>
                <w:color w:val="000000"/>
                <w:highlight w:val="none"/>
                <w:lang w:val="en-US" w:eastAsia="zh-CN"/>
              </w:rPr>
            </w:pPr>
            <w:r>
              <w:rPr>
                <w:rFonts w:hint="eastAsia" w:ascii="仿宋" w:hAnsi="仿宋" w:eastAsia="仿宋" w:cs="仿宋"/>
                <w:color w:val="000000"/>
                <w:highlight w:val="none"/>
              </w:rPr>
              <w:t>≥</w:t>
            </w:r>
            <w:r>
              <w:rPr>
                <w:rFonts w:hint="eastAsia" w:ascii="仿宋" w:hAnsi="仿宋" w:eastAsia="仿宋" w:cs="仿宋"/>
                <w:color w:val="000000"/>
                <w:highlight w:val="none"/>
                <w:lang w:val="en-US" w:eastAsia="zh-CN"/>
              </w:rPr>
              <w:t>30</w:t>
            </w:r>
          </w:p>
        </w:tc>
        <w:tc>
          <w:tcPr>
            <w:tcW w:w="372"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w:t>
            </w:r>
            <w:r>
              <w:rPr>
                <w:rFonts w:hint="eastAsia" w:ascii="仿宋" w:hAnsi="仿宋" w:eastAsia="仿宋" w:cs="仿宋"/>
                <w:color w:val="000000"/>
                <w:highlight w:val="none"/>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209" w:type="pct"/>
            <w:vMerge w:val="continue"/>
            <w:vAlign w:val="center"/>
          </w:tcPr>
          <w:p>
            <w:pPr>
              <w:jc w:val="center"/>
              <w:rPr>
                <w:rFonts w:ascii="仿宋" w:hAnsi="仿宋" w:eastAsia="仿宋" w:cs="仿宋"/>
                <w:color w:val="000000"/>
                <w:highlight w:val="none"/>
              </w:rPr>
            </w:pPr>
          </w:p>
        </w:tc>
        <w:tc>
          <w:tcPr>
            <w:tcW w:w="221" w:type="pct"/>
            <w:vMerge w:val="continue"/>
            <w:vAlign w:val="center"/>
          </w:tcPr>
          <w:p>
            <w:pPr>
              <w:jc w:val="center"/>
              <w:rPr>
                <w:rFonts w:ascii="仿宋" w:hAnsi="仿宋" w:eastAsia="仿宋" w:cs="仿宋"/>
                <w:color w:val="000000"/>
                <w:highlight w:val="none"/>
              </w:rPr>
            </w:pPr>
          </w:p>
        </w:tc>
        <w:tc>
          <w:tcPr>
            <w:tcW w:w="221"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4</w:t>
            </w:r>
          </w:p>
        </w:tc>
        <w:tc>
          <w:tcPr>
            <w:tcW w:w="890" w:type="pct"/>
            <w:gridSpan w:val="2"/>
            <w:vAlign w:val="center"/>
          </w:tcPr>
          <w:p>
            <w:pPr>
              <w:rPr>
                <w:rFonts w:ascii="仿宋" w:hAnsi="仿宋" w:eastAsia="仿宋" w:cs="仿宋"/>
                <w:color w:val="000000"/>
                <w:highlight w:val="none"/>
              </w:rPr>
            </w:pPr>
            <w:r>
              <w:rPr>
                <w:rFonts w:hint="eastAsia" w:ascii="仿宋" w:hAnsi="仿宋" w:eastAsia="仿宋" w:cs="仿宋"/>
                <w:color w:val="000000"/>
                <w:highlight w:val="none"/>
              </w:rPr>
              <w:t>河长制</w:t>
            </w:r>
          </w:p>
        </w:tc>
        <w:tc>
          <w:tcPr>
            <w:tcW w:w="233"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w:t>
            </w:r>
          </w:p>
        </w:tc>
        <w:tc>
          <w:tcPr>
            <w:tcW w:w="57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全面实施</w:t>
            </w:r>
          </w:p>
        </w:tc>
        <w:tc>
          <w:tcPr>
            <w:tcW w:w="26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约束性</w:t>
            </w:r>
          </w:p>
        </w:tc>
        <w:tc>
          <w:tcPr>
            <w:tcW w:w="473"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全面实施</w:t>
            </w:r>
          </w:p>
        </w:tc>
        <w:tc>
          <w:tcPr>
            <w:tcW w:w="462"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全面实施</w:t>
            </w:r>
          </w:p>
        </w:tc>
        <w:tc>
          <w:tcPr>
            <w:tcW w:w="447"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全面实施</w:t>
            </w:r>
          </w:p>
        </w:tc>
        <w:tc>
          <w:tcPr>
            <w:tcW w:w="25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达标</w:t>
            </w:r>
          </w:p>
        </w:tc>
        <w:tc>
          <w:tcPr>
            <w:tcW w:w="1156" w:type="dxa"/>
            <w:vAlign w:val="center"/>
          </w:tcPr>
          <w:p>
            <w:pPr>
              <w:widowControl w:val="0"/>
              <w:spacing w:after="0"/>
              <w:jc w:val="center"/>
              <w:rPr>
                <w:rFonts w:ascii="仿宋" w:hAnsi="仿宋" w:eastAsia="仿宋" w:cs="仿宋"/>
                <w:color w:val="000000"/>
                <w:highlight w:val="none"/>
              </w:rPr>
            </w:pPr>
            <w:r>
              <w:rPr>
                <w:rFonts w:ascii="仿宋" w:hAnsi="仿宋" w:eastAsia="仿宋" w:cs="Times New Roman"/>
                <w:highlight w:val="none"/>
                <w14:ligatures w14:val="none"/>
              </w:rPr>
              <w:t>全面实施</w:t>
            </w:r>
          </w:p>
        </w:tc>
        <w:tc>
          <w:tcPr>
            <w:tcW w:w="1150" w:type="dxa"/>
            <w:vAlign w:val="center"/>
          </w:tcPr>
          <w:p>
            <w:pPr>
              <w:widowControl w:val="0"/>
              <w:spacing w:after="0"/>
              <w:jc w:val="center"/>
              <w:rPr>
                <w:rFonts w:ascii="仿宋" w:hAnsi="仿宋" w:eastAsia="仿宋" w:cs="仿宋"/>
                <w:color w:val="000000"/>
                <w:highlight w:val="none"/>
              </w:rPr>
            </w:pPr>
            <w:r>
              <w:rPr>
                <w:rFonts w:ascii="仿宋" w:hAnsi="仿宋" w:eastAsia="仿宋" w:cs="Times New Roman"/>
                <w:highlight w:val="none"/>
                <w14:ligatures w14:val="none"/>
              </w:rPr>
              <w:t>全面实施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209" w:type="pct"/>
            <w:vMerge w:val="continue"/>
            <w:vAlign w:val="center"/>
          </w:tcPr>
          <w:p>
            <w:pPr>
              <w:jc w:val="center"/>
              <w:rPr>
                <w:rFonts w:ascii="仿宋" w:hAnsi="仿宋" w:eastAsia="仿宋" w:cs="仿宋"/>
                <w:color w:val="000000"/>
                <w:highlight w:val="none"/>
              </w:rPr>
            </w:pPr>
          </w:p>
        </w:tc>
        <w:tc>
          <w:tcPr>
            <w:tcW w:w="221" w:type="pct"/>
            <w:vMerge w:val="continue"/>
            <w:vAlign w:val="center"/>
          </w:tcPr>
          <w:p>
            <w:pPr>
              <w:jc w:val="center"/>
              <w:rPr>
                <w:rFonts w:ascii="仿宋" w:hAnsi="仿宋" w:eastAsia="仿宋" w:cs="仿宋"/>
                <w:color w:val="000000"/>
                <w:highlight w:val="none"/>
              </w:rPr>
            </w:pPr>
          </w:p>
        </w:tc>
        <w:tc>
          <w:tcPr>
            <w:tcW w:w="221"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5</w:t>
            </w:r>
          </w:p>
        </w:tc>
        <w:tc>
          <w:tcPr>
            <w:tcW w:w="890" w:type="pct"/>
            <w:gridSpan w:val="2"/>
            <w:vAlign w:val="center"/>
          </w:tcPr>
          <w:p>
            <w:pPr>
              <w:rPr>
                <w:rFonts w:ascii="仿宋" w:hAnsi="仿宋" w:eastAsia="仿宋" w:cs="仿宋"/>
                <w:color w:val="000000"/>
                <w:highlight w:val="none"/>
              </w:rPr>
            </w:pPr>
            <w:r>
              <w:rPr>
                <w:rFonts w:hint="eastAsia" w:ascii="仿宋" w:hAnsi="仿宋" w:eastAsia="仿宋" w:cs="仿宋"/>
                <w:color w:val="000000"/>
                <w:highlight w:val="none"/>
              </w:rPr>
              <w:t>生态环境信息公开率</w:t>
            </w:r>
          </w:p>
        </w:tc>
        <w:tc>
          <w:tcPr>
            <w:tcW w:w="233"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w:t>
            </w:r>
          </w:p>
        </w:tc>
        <w:tc>
          <w:tcPr>
            <w:tcW w:w="57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100</w:t>
            </w:r>
          </w:p>
        </w:tc>
        <w:tc>
          <w:tcPr>
            <w:tcW w:w="26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约束性</w:t>
            </w:r>
          </w:p>
        </w:tc>
        <w:tc>
          <w:tcPr>
            <w:tcW w:w="473"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100</w:t>
            </w:r>
          </w:p>
        </w:tc>
        <w:tc>
          <w:tcPr>
            <w:tcW w:w="462"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100</w:t>
            </w:r>
          </w:p>
        </w:tc>
        <w:tc>
          <w:tcPr>
            <w:tcW w:w="447"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100</w:t>
            </w:r>
          </w:p>
        </w:tc>
        <w:tc>
          <w:tcPr>
            <w:tcW w:w="25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达标</w:t>
            </w:r>
          </w:p>
        </w:tc>
        <w:tc>
          <w:tcPr>
            <w:tcW w:w="374"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100</w:t>
            </w:r>
          </w:p>
        </w:tc>
        <w:tc>
          <w:tcPr>
            <w:tcW w:w="372"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209" w:type="pct"/>
            <w:vMerge w:val="continue"/>
            <w:vAlign w:val="center"/>
          </w:tcPr>
          <w:p>
            <w:pPr>
              <w:jc w:val="center"/>
              <w:rPr>
                <w:rFonts w:ascii="仿宋" w:hAnsi="仿宋" w:eastAsia="仿宋" w:cs="仿宋"/>
                <w:color w:val="000000"/>
                <w:highlight w:val="none"/>
              </w:rPr>
            </w:pPr>
          </w:p>
        </w:tc>
        <w:tc>
          <w:tcPr>
            <w:tcW w:w="221" w:type="pct"/>
            <w:vMerge w:val="continue"/>
            <w:vAlign w:val="center"/>
          </w:tcPr>
          <w:p>
            <w:pPr>
              <w:jc w:val="center"/>
              <w:rPr>
                <w:rFonts w:ascii="仿宋" w:hAnsi="仿宋" w:eastAsia="仿宋" w:cs="仿宋"/>
                <w:color w:val="000000"/>
                <w:highlight w:val="none"/>
              </w:rPr>
            </w:pPr>
          </w:p>
        </w:tc>
        <w:tc>
          <w:tcPr>
            <w:tcW w:w="221"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6</w:t>
            </w:r>
          </w:p>
        </w:tc>
        <w:tc>
          <w:tcPr>
            <w:tcW w:w="890" w:type="pct"/>
            <w:gridSpan w:val="2"/>
            <w:vAlign w:val="center"/>
          </w:tcPr>
          <w:p>
            <w:pPr>
              <w:rPr>
                <w:rFonts w:ascii="仿宋" w:hAnsi="仿宋" w:eastAsia="仿宋" w:cs="仿宋"/>
                <w:color w:val="000000"/>
                <w:highlight w:val="none"/>
              </w:rPr>
            </w:pPr>
            <w:r>
              <w:rPr>
                <w:rFonts w:hint="eastAsia" w:ascii="仿宋" w:hAnsi="仿宋" w:eastAsia="仿宋" w:cs="仿宋"/>
                <w:color w:val="000000"/>
                <w:highlight w:val="none"/>
              </w:rPr>
              <w:t>依法开展规划环境影响评价</w:t>
            </w:r>
          </w:p>
        </w:tc>
        <w:tc>
          <w:tcPr>
            <w:tcW w:w="233"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w:t>
            </w:r>
          </w:p>
        </w:tc>
        <w:tc>
          <w:tcPr>
            <w:tcW w:w="57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开展</w:t>
            </w:r>
          </w:p>
        </w:tc>
        <w:tc>
          <w:tcPr>
            <w:tcW w:w="26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参考性</w:t>
            </w:r>
          </w:p>
        </w:tc>
        <w:tc>
          <w:tcPr>
            <w:tcW w:w="473"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开展</w:t>
            </w:r>
          </w:p>
        </w:tc>
        <w:tc>
          <w:tcPr>
            <w:tcW w:w="462"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开展</w:t>
            </w:r>
          </w:p>
        </w:tc>
        <w:tc>
          <w:tcPr>
            <w:tcW w:w="447"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开展</w:t>
            </w:r>
          </w:p>
        </w:tc>
        <w:tc>
          <w:tcPr>
            <w:tcW w:w="25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达标</w:t>
            </w:r>
          </w:p>
        </w:tc>
        <w:tc>
          <w:tcPr>
            <w:tcW w:w="1156" w:type="dxa"/>
            <w:vAlign w:val="center"/>
          </w:tcPr>
          <w:p>
            <w:pPr>
              <w:widowControl w:val="0"/>
              <w:spacing w:after="0"/>
              <w:jc w:val="center"/>
              <w:rPr>
                <w:rFonts w:ascii="仿宋" w:hAnsi="仿宋" w:eastAsia="仿宋" w:cs="仿宋"/>
                <w:color w:val="000000"/>
                <w:highlight w:val="none"/>
              </w:rPr>
            </w:pPr>
            <w:r>
              <w:rPr>
                <w:rFonts w:ascii="仿宋" w:hAnsi="仿宋" w:eastAsia="仿宋" w:cs="Times New Roman"/>
                <w:highlight w:val="none"/>
                <w14:ligatures w14:val="none"/>
              </w:rPr>
              <w:t>开展</w:t>
            </w:r>
          </w:p>
        </w:tc>
        <w:tc>
          <w:tcPr>
            <w:tcW w:w="1150" w:type="dxa"/>
            <w:vAlign w:val="center"/>
          </w:tcPr>
          <w:p>
            <w:pPr>
              <w:widowControl w:val="0"/>
              <w:spacing w:after="0"/>
              <w:jc w:val="center"/>
              <w:rPr>
                <w:rFonts w:ascii="仿宋" w:hAnsi="仿宋" w:eastAsia="仿宋" w:cs="仿宋"/>
                <w:color w:val="000000"/>
                <w:highlight w:val="none"/>
              </w:rPr>
            </w:pPr>
            <w:r>
              <w:rPr>
                <w:rFonts w:ascii="仿宋" w:hAnsi="仿宋" w:eastAsia="仿宋" w:cs="Times New Roman"/>
                <w:highlight w:val="none"/>
                <w14:ligatures w14:val="none"/>
              </w:rPr>
              <w:t>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209" w:type="pct"/>
            <w:vMerge w:val="restar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生态安全</w:t>
            </w:r>
          </w:p>
        </w:tc>
        <w:tc>
          <w:tcPr>
            <w:tcW w:w="221" w:type="pct"/>
            <w:vMerge w:val="restar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环境质量改善</w:t>
            </w:r>
          </w:p>
        </w:tc>
        <w:tc>
          <w:tcPr>
            <w:tcW w:w="221" w:type="pct"/>
            <w:vMerge w:val="restar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7</w:t>
            </w:r>
          </w:p>
        </w:tc>
        <w:tc>
          <w:tcPr>
            <w:tcW w:w="256" w:type="pct"/>
            <w:vMerge w:val="restart"/>
            <w:vAlign w:val="center"/>
          </w:tcPr>
          <w:p>
            <w:pPr>
              <w:rPr>
                <w:rFonts w:ascii="仿宋" w:hAnsi="仿宋" w:eastAsia="仿宋" w:cs="仿宋"/>
                <w:color w:val="000000"/>
                <w:highlight w:val="none"/>
              </w:rPr>
            </w:pPr>
            <w:r>
              <w:rPr>
                <w:rFonts w:hint="eastAsia" w:ascii="仿宋" w:hAnsi="仿宋" w:eastAsia="仿宋" w:cs="仿宋"/>
                <w:color w:val="000000"/>
                <w:highlight w:val="none"/>
              </w:rPr>
              <w:t>环境空气质量</w:t>
            </w:r>
          </w:p>
        </w:tc>
        <w:tc>
          <w:tcPr>
            <w:tcW w:w="634" w:type="pct"/>
            <w:vAlign w:val="center"/>
          </w:tcPr>
          <w:p>
            <w:pPr>
              <w:rPr>
                <w:rFonts w:ascii="仿宋" w:hAnsi="仿宋" w:eastAsia="仿宋" w:cs="仿宋"/>
                <w:color w:val="000000"/>
                <w:highlight w:val="none"/>
              </w:rPr>
            </w:pPr>
            <w:r>
              <w:rPr>
                <w:rFonts w:hint="eastAsia" w:ascii="仿宋" w:hAnsi="仿宋" w:eastAsia="仿宋" w:cs="仿宋"/>
                <w:color w:val="000000"/>
                <w:highlight w:val="none"/>
              </w:rPr>
              <w:t>优良天数比例</w:t>
            </w:r>
          </w:p>
        </w:tc>
        <w:tc>
          <w:tcPr>
            <w:tcW w:w="233"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w:t>
            </w:r>
          </w:p>
        </w:tc>
        <w:tc>
          <w:tcPr>
            <w:tcW w:w="575" w:type="pct"/>
            <w:vMerge w:val="restar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完成上级规定的改善目标；保持稳定或持续改善</w:t>
            </w:r>
          </w:p>
        </w:tc>
        <w:tc>
          <w:tcPr>
            <w:tcW w:w="265" w:type="pct"/>
            <w:vMerge w:val="restar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约束性</w:t>
            </w:r>
          </w:p>
        </w:tc>
        <w:tc>
          <w:tcPr>
            <w:tcW w:w="473"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61.70</w:t>
            </w:r>
          </w:p>
        </w:tc>
        <w:tc>
          <w:tcPr>
            <w:tcW w:w="462"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63.60</w:t>
            </w:r>
          </w:p>
        </w:tc>
        <w:tc>
          <w:tcPr>
            <w:tcW w:w="447"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67.00</w:t>
            </w:r>
          </w:p>
        </w:tc>
        <w:tc>
          <w:tcPr>
            <w:tcW w:w="25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达标</w:t>
            </w:r>
          </w:p>
        </w:tc>
        <w:tc>
          <w:tcPr>
            <w:tcW w:w="1156" w:type="dxa"/>
            <w:vMerge w:val="restart"/>
            <w:vAlign w:val="center"/>
          </w:tcPr>
          <w:p>
            <w:pPr>
              <w:widowControl w:val="0"/>
              <w:spacing w:after="0"/>
              <w:jc w:val="both"/>
              <w:rPr>
                <w:rFonts w:ascii="仿宋" w:hAnsi="仿宋" w:eastAsia="仿宋" w:cs="仿宋"/>
                <w:color w:val="000000"/>
                <w:highlight w:val="none"/>
              </w:rPr>
            </w:pPr>
            <w:r>
              <w:rPr>
                <w:rFonts w:hint="eastAsia" w:ascii="仿宋" w:hAnsi="仿宋" w:eastAsia="仿宋" w:cs="Times New Roman"/>
                <w:highlight w:val="none"/>
                <w14:ligatures w14:val="none"/>
              </w:rPr>
              <w:t>完成上级规定的改善目标</w:t>
            </w:r>
          </w:p>
        </w:tc>
        <w:tc>
          <w:tcPr>
            <w:tcW w:w="1150" w:type="dxa"/>
            <w:vMerge w:val="restart"/>
            <w:vAlign w:val="center"/>
          </w:tcPr>
          <w:p>
            <w:pPr>
              <w:widowControl w:val="0"/>
              <w:spacing w:after="0"/>
              <w:jc w:val="both"/>
              <w:rPr>
                <w:rFonts w:ascii="仿宋" w:hAnsi="仿宋" w:eastAsia="仿宋" w:cs="仿宋"/>
                <w:color w:val="000000"/>
                <w:highlight w:val="none"/>
              </w:rPr>
            </w:pPr>
            <w:r>
              <w:rPr>
                <w:rFonts w:hint="eastAsia" w:ascii="仿宋" w:hAnsi="仿宋" w:eastAsia="仿宋" w:cs="Times New Roman"/>
                <w:highlight w:val="none"/>
                <w14:ligatures w14:val="none"/>
              </w:rPr>
              <w:t>完成上级规定的改善目标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209" w:type="pct"/>
            <w:vMerge w:val="continue"/>
            <w:vAlign w:val="center"/>
          </w:tcPr>
          <w:p>
            <w:pPr>
              <w:jc w:val="center"/>
              <w:rPr>
                <w:rFonts w:ascii="仿宋" w:hAnsi="仿宋" w:eastAsia="仿宋" w:cs="仿宋"/>
                <w:color w:val="000000"/>
                <w:highlight w:val="none"/>
              </w:rPr>
            </w:pPr>
          </w:p>
        </w:tc>
        <w:tc>
          <w:tcPr>
            <w:tcW w:w="221" w:type="pct"/>
            <w:vMerge w:val="continue"/>
            <w:vAlign w:val="center"/>
          </w:tcPr>
          <w:p>
            <w:pPr>
              <w:jc w:val="center"/>
              <w:rPr>
                <w:rFonts w:ascii="仿宋" w:hAnsi="仿宋" w:eastAsia="仿宋" w:cs="仿宋"/>
                <w:color w:val="000000"/>
                <w:highlight w:val="none"/>
              </w:rPr>
            </w:pPr>
          </w:p>
        </w:tc>
        <w:tc>
          <w:tcPr>
            <w:tcW w:w="221" w:type="pct"/>
            <w:vMerge w:val="continue"/>
            <w:vAlign w:val="center"/>
          </w:tcPr>
          <w:p>
            <w:pPr>
              <w:jc w:val="center"/>
              <w:rPr>
                <w:rFonts w:ascii="仿宋" w:hAnsi="仿宋" w:eastAsia="仿宋" w:cs="仿宋"/>
                <w:color w:val="000000"/>
                <w:highlight w:val="none"/>
              </w:rPr>
            </w:pPr>
          </w:p>
        </w:tc>
        <w:tc>
          <w:tcPr>
            <w:tcW w:w="256" w:type="pct"/>
            <w:vMerge w:val="continue"/>
            <w:vAlign w:val="center"/>
          </w:tcPr>
          <w:p>
            <w:pPr>
              <w:rPr>
                <w:rFonts w:ascii="仿宋" w:hAnsi="仿宋" w:eastAsia="仿宋" w:cs="仿宋"/>
                <w:color w:val="000000"/>
                <w:highlight w:val="none"/>
              </w:rPr>
            </w:pPr>
          </w:p>
        </w:tc>
        <w:tc>
          <w:tcPr>
            <w:tcW w:w="634" w:type="pct"/>
            <w:vAlign w:val="center"/>
          </w:tcPr>
          <w:p>
            <w:pPr>
              <w:rPr>
                <w:rFonts w:ascii="仿宋" w:hAnsi="仿宋" w:eastAsia="仿宋" w:cs="仿宋"/>
                <w:color w:val="000000"/>
                <w:highlight w:val="none"/>
              </w:rPr>
            </w:pPr>
            <w:r>
              <w:rPr>
                <w:rFonts w:hint="eastAsia" w:ascii="仿宋" w:hAnsi="仿宋" w:eastAsia="仿宋" w:cs="仿宋"/>
                <w:color w:val="000000"/>
                <w:highlight w:val="none"/>
              </w:rPr>
              <w:t>PM2.5浓度下降幅度</w:t>
            </w:r>
          </w:p>
        </w:tc>
        <w:tc>
          <w:tcPr>
            <w:tcW w:w="233"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w:t>
            </w:r>
          </w:p>
        </w:tc>
        <w:tc>
          <w:tcPr>
            <w:tcW w:w="575" w:type="pct"/>
            <w:vMerge w:val="continue"/>
            <w:vAlign w:val="center"/>
          </w:tcPr>
          <w:p>
            <w:pPr>
              <w:rPr>
                <w:rFonts w:ascii="仿宋" w:hAnsi="仿宋" w:eastAsia="仿宋" w:cs="仿宋"/>
                <w:color w:val="000000"/>
                <w:highlight w:val="none"/>
              </w:rPr>
            </w:pPr>
          </w:p>
        </w:tc>
        <w:tc>
          <w:tcPr>
            <w:tcW w:w="265" w:type="pct"/>
            <w:vMerge w:val="continue"/>
            <w:vAlign w:val="center"/>
          </w:tcPr>
          <w:p>
            <w:pPr>
              <w:rPr>
                <w:rFonts w:ascii="仿宋" w:hAnsi="仿宋" w:eastAsia="仿宋" w:cs="仿宋"/>
                <w:color w:val="000000"/>
                <w:highlight w:val="none"/>
              </w:rPr>
            </w:pPr>
          </w:p>
        </w:tc>
        <w:tc>
          <w:tcPr>
            <w:tcW w:w="473"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10.20</w:t>
            </w:r>
          </w:p>
        </w:tc>
        <w:tc>
          <w:tcPr>
            <w:tcW w:w="462"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10.90</w:t>
            </w:r>
          </w:p>
        </w:tc>
        <w:tc>
          <w:tcPr>
            <w:tcW w:w="447"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10.20</w:t>
            </w:r>
          </w:p>
        </w:tc>
        <w:tc>
          <w:tcPr>
            <w:tcW w:w="25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达标</w:t>
            </w:r>
          </w:p>
        </w:tc>
        <w:tc>
          <w:tcPr>
            <w:tcW w:w="374" w:type="pct"/>
            <w:vMerge w:val="continue"/>
            <w:vAlign w:val="center"/>
          </w:tcPr>
          <w:p>
            <w:pPr>
              <w:jc w:val="center"/>
              <w:rPr>
                <w:rFonts w:ascii="仿宋" w:hAnsi="仿宋" w:eastAsia="仿宋" w:cs="仿宋"/>
                <w:color w:val="000000"/>
                <w:highlight w:val="none"/>
              </w:rPr>
            </w:pPr>
          </w:p>
        </w:tc>
        <w:tc>
          <w:tcPr>
            <w:tcW w:w="372" w:type="pct"/>
            <w:vMerge w:val="continue"/>
            <w:vAlign w:val="center"/>
          </w:tcPr>
          <w:p>
            <w:pPr>
              <w:jc w:val="center"/>
              <w:rPr>
                <w:rFonts w:ascii="仿宋" w:hAnsi="仿宋" w:eastAsia="仿宋" w:cs="仿宋"/>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209" w:type="pct"/>
            <w:vMerge w:val="continue"/>
            <w:vAlign w:val="center"/>
          </w:tcPr>
          <w:p>
            <w:pPr>
              <w:jc w:val="center"/>
              <w:rPr>
                <w:rFonts w:ascii="仿宋" w:hAnsi="仿宋" w:eastAsia="仿宋" w:cs="仿宋"/>
                <w:color w:val="000000"/>
                <w:highlight w:val="none"/>
              </w:rPr>
            </w:pPr>
          </w:p>
        </w:tc>
        <w:tc>
          <w:tcPr>
            <w:tcW w:w="221" w:type="pct"/>
            <w:vMerge w:val="continue"/>
            <w:vAlign w:val="center"/>
          </w:tcPr>
          <w:p>
            <w:pPr>
              <w:jc w:val="center"/>
              <w:rPr>
                <w:rFonts w:ascii="仿宋" w:hAnsi="仿宋" w:eastAsia="仿宋" w:cs="仿宋"/>
                <w:color w:val="000000"/>
                <w:highlight w:val="none"/>
              </w:rPr>
            </w:pPr>
          </w:p>
        </w:tc>
        <w:tc>
          <w:tcPr>
            <w:tcW w:w="221" w:type="pct"/>
            <w:vMerge w:val="restar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8</w:t>
            </w:r>
          </w:p>
        </w:tc>
        <w:tc>
          <w:tcPr>
            <w:tcW w:w="256" w:type="pct"/>
            <w:vMerge w:val="restart"/>
            <w:vAlign w:val="center"/>
          </w:tcPr>
          <w:p>
            <w:pPr>
              <w:rPr>
                <w:rFonts w:ascii="仿宋" w:hAnsi="仿宋" w:eastAsia="仿宋" w:cs="仿宋"/>
                <w:color w:val="000000"/>
                <w:highlight w:val="none"/>
              </w:rPr>
            </w:pPr>
            <w:r>
              <w:rPr>
                <w:rFonts w:hint="eastAsia" w:ascii="仿宋" w:hAnsi="仿宋" w:eastAsia="仿宋" w:cs="仿宋"/>
                <w:color w:val="000000"/>
                <w:highlight w:val="none"/>
              </w:rPr>
              <w:t>水环境质量</w:t>
            </w:r>
          </w:p>
        </w:tc>
        <w:tc>
          <w:tcPr>
            <w:tcW w:w="634" w:type="pct"/>
            <w:vAlign w:val="center"/>
          </w:tcPr>
          <w:p>
            <w:pPr>
              <w:rPr>
                <w:rFonts w:ascii="仿宋" w:hAnsi="仿宋" w:eastAsia="仿宋" w:cs="仿宋"/>
                <w:color w:val="000000"/>
                <w:highlight w:val="none"/>
              </w:rPr>
            </w:pPr>
            <w:r>
              <w:rPr>
                <w:rFonts w:hint="eastAsia" w:ascii="仿宋" w:hAnsi="仿宋" w:eastAsia="仿宋" w:cs="仿宋"/>
                <w:color w:val="000000"/>
                <w:highlight w:val="none"/>
              </w:rPr>
              <w:t>地表水水质达到或优于Ⅲ类比例提高幅度</w:t>
            </w:r>
          </w:p>
        </w:tc>
        <w:tc>
          <w:tcPr>
            <w:tcW w:w="233"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w:t>
            </w:r>
          </w:p>
        </w:tc>
        <w:tc>
          <w:tcPr>
            <w:tcW w:w="575" w:type="pct"/>
            <w:vMerge w:val="restart"/>
            <w:vAlign w:val="center"/>
          </w:tcPr>
          <w:p>
            <w:pPr>
              <w:rPr>
                <w:rFonts w:ascii="仿宋" w:hAnsi="仿宋" w:eastAsia="仿宋" w:cs="仿宋"/>
                <w:color w:val="000000"/>
                <w:highlight w:val="none"/>
              </w:rPr>
            </w:pPr>
            <w:r>
              <w:rPr>
                <w:rFonts w:hint="eastAsia" w:ascii="仿宋" w:hAnsi="仿宋" w:eastAsia="仿宋" w:cs="仿宋"/>
                <w:color w:val="000000"/>
                <w:highlight w:val="none"/>
              </w:rPr>
              <w:t>完成上级规定的考核任务；保持稳定或持续改善</w:t>
            </w:r>
          </w:p>
        </w:tc>
        <w:tc>
          <w:tcPr>
            <w:tcW w:w="265" w:type="pct"/>
            <w:vMerge w:val="restar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约束性</w:t>
            </w:r>
          </w:p>
        </w:tc>
        <w:tc>
          <w:tcPr>
            <w:tcW w:w="473"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地表水断面全部达标</w:t>
            </w:r>
          </w:p>
        </w:tc>
        <w:tc>
          <w:tcPr>
            <w:tcW w:w="462"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地表水断面全部达标</w:t>
            </w:r>
          </w:p>
        </w:tc>
        <w:tc>
          <w:tcPr>
            <w:tcW w:w="447"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地表水断面全部达标</w:t>
            </w:r>
          </w:p>
        </w:tc>
        <w:tc>
          <w:tcPr>
            <w:tcW w:w="25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达标</w:t>
            </w:r>
          </w:p>
        </w:tc>
        <w:tc>
          <w:tcPr>
            <w:tcW w:w="1156" w:type="dxa"/>
            <w:vMerge w:val="restart"/>
            <w:vAlign w:val="center"/>
          </w:tcPr>
          <w:p>
            <w:pPr>
              <w:widowControl w:val="0"/>
              <w:spacing w:after="0"/>
              <w:jc w:val="both"/>
              <w:rPr>
                <w:rFonts w:ascii="仿宋" w:hAnsi="仿宋" w:eastAsia="仿宋" w:cs="仿宋"/>
                <w:color w:val="000000"/>
                <w:highlight w:val="none"/>
              </w:rPr>
            </w:pPr>
            <w:r>
              <w:rPr>
                <w:rFonts w:hint="eastAsia" w:ascii="仿宋" w:hAnsi="仿宋" w:eastAsia="仿宋" w:cs="Times New Roman"/>
                <w:highlight w:val="none"/>
                <w14:ligatures w14:val="none"/>
              </w:rPr>
              <w:t>完成上级规定的改善目标</w:t>
            </w:r>
          </w:p>
        </w:tc>
        <w:tc>
          <w:tcPr>
            <w:tcW w:w="1150" w:type="dxa"/>
            <w:vMerge w:val="restart"/>
            <w:vAlign w:val="center"/>
          </w:tcPr>
          <w:p>
            <w:pPr>
              <w:widowControl w:val="0"/>
              <w:spacing w:after="0"/>
              <w:jc w:val="both"/>
              <w:rPr>
                <w:rFonts w:ascii="仿宋" w:hAnsi="仿宋" w:eastAsia="仿宋" w:cs="仿宋"/>
                <w:color w:val="000000"/>
                <w:highlight w:val="none"/>
              </w:rPr>
            </w:pPr>
            <w:r>
              <w:rPr>
                <w:rFonts w:hint="eastAsia" w:ascii="仿宋" w:hAnsi="仿宋" w:eastAsia="仿宋" w:cs="Times New Roman"/>
                <w:highlight w:val="none"/>
                <w14:ligatures w14:val="none"/>
              </w:rPr>
              <w:t>完成上级规定的改善目标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209" w:type="pct"/>
            <w:vMerge w:val="continue"/>
            <w:vAlign w:val="center"/>
          </w:tcPr>
          <w:p>
            <w:pPr>
              <w:jc w:val="center"/>
              <w:rPr>
                <w:rFonts w:ascii="仿宋" w:hAnsi="仿宋" w:eastAsia="仿宋" w:cs="仿宋"/>
                <w:color w:val="000000"/>
                <w:highlight w:val="none"/>
              </w:rPr>
            </w:pPr>
          </w:p>
        </w:tc>
        <w:tc>
          <w:tcPr>
            <w:tcW w:w="221" w:type="pct"/>
            <w:vMerge w:val="continue"/>
            <w:vAlign w:val="center"/>
          </w:tcPr>
          <w:p>
            <w:pPr>
              <w:jc w:val="center"/>
              <w:rPr>
                <w:rFonts w:ascii="仿宋" w:hAnsi="仿宋" w:eastAsia="仿宋" w:cs="仿宋"/>
                <w:color w:val="000000"/>
                <w:highlight w:val="none"/>
              </w:rPr>
            </w:pPr>
          </w:p>
        </w:tc>
        <w:tc>
          <w:tcPr>
            <w:tcW w:w="221" w:type="pct"/>
            <w:vMerge w:val="continue"/>
            <w:vAlign w:val="center"/>
          </w:tcPr>
          <w:p>
            <w:pPr>
              <w:jc w:val="center"/>
              <w:rPr>
                <w:rFonts w:ascii="仿宋" w:hAnsi="仿宋" w:eastAsia="仿宋" w:cs="仿宋"/>
                <w:color w:val="000000"/>
                <w:highlight w:val="none"/>
              </w:rPr>
            </w:pPr>
          </w:p>
        </w:tc>
        <w:tc>
          <w:tcPr>
            <w:tcW w:w="256" w:type="pct"/>
            <w:vMerge w:val="continue"/>
            <w:vAlign w:val="center"/>
          </w:tcPr>
          <w:p>
            <w:pPr>
              <w:rPr>
                <w:rFonts w:ascii="仿宋" w:hAnsi="仿宋" w:eastAsia="仿宋" w:cs="仿宋"/>
                <w:color w:val="000000"/>
                <w:highlight w:val="none"/>
              </w:rPr>
            </w:pPr>
          </w:p>
        </w:tc>
        <w:tc>
          <w:tcPr>
            <w:tcW w:w="634" w:type="pct"/>
            <w:vAlign w:val="center"/>
          </w:tcPr>
          <w:p>
            <w:pPr>
              <w:rPr>
                <w:rFonts w:ascii="仿宋" w:hAnsi="仿宋" w:eastAsia="仿宋" w:cs="仿宋"/>
                <w:color w:val="000000"/>
                <w:highlight w:val="none"/>
              </w:rPr>
            </w:pPr>
            <w:r>
              <w:rPr>
                <w:rFonts w:hint="eastAsia" w:ascii="仿宋" w:hAnsi="仿宋" w:eastAsia="仿宋" w:cs="仿宋"/>
                <w:color w:val="000000"/>
                <w:highlight w:val="none"/>
              </w:rPr>
              <w:t>地下水水质达到或优于Ⅲ类比例提高幅度</w:t>
            </w:r>
          </w:p>
        </w:tc>
        <w:tc>
          <w:tcPr>
            <w:tcW w:w="233"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w:t>
            </w:r>
          </w:p>
        </w:tc>
        <w:tc>
          <w:tcPr>
            <w:tcW w:w="575" w:type="pct"/>
            <w:vMerge w:val="continue"/>
            <w:vAlign w:val="center"/>
          </w:tcPr>
          <w:p>
            <w:pPr>
              <w:rPr>
                <w:rFonts w:ascii="仿宋" w:hAnsi="仿宋" w:eastAsia="仿宋" w:cs="仿宋"/>
                <w:color w:val="000000"/>
                <w:highlight w:val="none"/>
              </w:rPr>
            </w:pPr>
          </w:p>
        </w:tc>
        <w:tc>
          <w:tcPr>
            <w:tcW w:w="265" w:type="pct"/>
            <w:vMerge w:val="continue"/>
            <w:vAlign w:val="center"/>
          </w:tcPr>
          <w:p>
            <w:pPr>
              <w:jc w:val="center"/>
              <w:rPr>
                <w:rFonts w:ascii="仿宋" w:hAnsi="仿宋" w:eastAsia="仿宋" w:cs="仿宋"/>
                <w:color w:val="000000"/>
                <w:highlight w:val="none"/>
              </w:rPr>
            </w:pPr>
          </w:p>
        </w:tc>
        <w:tc>
          <w:tcPr>
            <w:tcW w:w="473"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达标</w:t>
            </w:r>
          </w:p>
        </w:tc>
        <w:tc>
          <w:tcPr>
            <w:tcW w:w="462"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达标</w:t>
            </w:r>
          </w:p>
        </w:tc>
        <w:tc>
          <w:tcPr>
            <w:tcW w:w="447"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达标</w:t>
            </w:r>
          </w:p>
        </w:tc>
        <w:tc>
          <w:tcPr>
            <w:tcW w:w="25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达标</w:t>
            </w:r>
          </w:p>
        </w:tc>
        <w:tc>
          <w:tcPr>
            <w:tcW w:w="1156" w:type="dxa"/>
            <w:vMerge w:val="continue"/>
            <w:vAlign w:val="center"/>
          </w:tcPr>
          <w:p>
            <w:pPr>
              <w:widowControl w:val="0"/>
              <w:spacing w:after="0"/>
              <w:jc w:val="both"/>
              <w:rPr>
                <w:rFonts w:ascii="仿宋" w:hAnsi="仿宋" w:eastAsia="仿宋" w:cs="Times New Roman"/>
                <w:highlight w:val="none"/>
                <w14:ligatures w14:val="none"/>
              </w:rPr>
            </w:pPr>
          </w:p>
        </w:tc>
        <w:tc>
          <w:tcPr>
            <w:tcW w:w="1150" w:type="dxa"/>
            <w:vMerge w:val="continue"/>
            <w:vAlign w:val="center"/>
          </w:tcPr>
          <w:p>
            <w:pPr>
              <w:widowControl w:val="0"/>
              <w:spacing w:after="0"/>
              <w:jc w:val="both"/>
              <w:rPr>
                <w:rFonts w:ascii="仿宋" w:hAnsi="仿宋" w:eastAsia="仿宋" w:cs="Times New Roman"/>
                <w:highlight w:val="none"/>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209" w:type="pct"/>
            <w:vMerge w:val="continue"/>
            <w:vAlign w:val="center"/>
          </w:tcPr>
          <w:p>
            <w:pPr>
              <w:jc w:val="center"/>
              <w:rPr>
                <w:rFonts w:ascii="仿宋" w:hAnsi="仿宋" w:eastAsia="仿宋" w:cs="仿宋"/>
                <w:color w:val="000000"/>
                <w:highlight w:val="none"/>
              </w:rPr>
            </w:pPr>
          </w:p>
        </w:tc>
        <w:tc>
          <w:tcPr>
            <w:tcW w:w="221" w:type="pct"/>
            <w:vMerge w:val="continue"/>
            <w:vAlign w:val="center"/>
          </w:tcPr>
          <w:p>
            <w:pPr>
              <w:jc w:val="center"/>
              <w:rPr>
                <w:rFonts w:ascii="仿宋" w:hAnsi="仿宋" w:eastAsia="仿宋" w:cs="仿宋"/>
                <w:color w:val="000000"/>
                <w:highlight w:val="none"/>
              </w:rPr>
            </w:pPr>
          </w:p>
        </w:tc>
        <w:tc>
          <w:tcPr>
            <w:tcW w:w="221" w:type="pct"/>
            <w:vMerge w:val="continue"/>
            <w:vAlign w:val="center"/>
          </w:tcPr>
          <w:p>
            <w:pPr>
              <w:jc w:val="center"/>
              <w:rPr>
                <w:rFonts w:ascii="仿宋" w:hAnsi="仿宋" w:eastAsia="仿宋" w:cs="仿宋"/>
                <w:color w:val="000000"/>
                <w:highlight w:val="none"/>
              </w:rPr>
            </w:pPr>
          </w:p>
        </w:tc>
        <w:tc>
          <w:tcPr>
            <w:tcW w:w="256" w:type="pct"/>
            <w:vMerge w:val="continue"/>
            <w:vAlign w:val="center"/>
          </w:tcPr>
          <w:p>
            <w:pPr>
              <w:rPr>
                <w:rFonts w:ascii="仿宋" w:hAnsi="仿宋" w:eastAsia="仿宋" w:cs="仿宋"/>
                <w:color w:val="000000"/>
                <w:highlight w:val="none"/>
              </w:rPr>
            </w:pPr>
          </w:p>
        </w:tc>
        <w:tc>
          <w:tcPr>
            <w:tcW w:w="634" w:type="pct"/>
            <w:vAlign w:val="center"/>
          </w:tcPr>
          <w:p>
            <w:pPr>
              <w:rPr>
                <w:rFonts w:ascii="仿宋" w:hAnsi="仿宋" w:eastAsia="仿宋" w:cs="仿宋"/>
                <w:color w:val="000000"/>
                <w:highlight w:val="none"/>
              </w:rPr>
            </w:pPr>
            <w:r>
              <w:rPr>
                <w:rFonts w:hint="eastAsia" w:ascii="仿宋" w:hAnsi="仿宋" w:eastAsia="仿宋" w:cs="仿宋"/>
                <w:color w:val="000000"/>
                <w:highlight w:val="none"/>
              </w:rPr>
              <w:t>劣Ⅴ类水体比例下降幅度</w:t>
            </w:r>
          </w:p>
        </w:tc>
        <w:tc>
          <w:tcPr>
            <w:tcW w:w="233"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w:t>
            </w:r>
          </w:p>
        </w:tc>
        <w:tc>
          <w:tcPr>
            <w:tcW w:w="575" w:type="pct"/>
            <w:vMerge w:val="continue"/>
            <w:vAlign w:val="center"/>
          </w:tcPr>
          <w:p>
            <w:pPr>
              <w:rPr>
                <w:rFonts w:ascii="仿宋" w:hAnsi="仿宋" w:eastAsia="仿宋" w:cs="仿宋"/>
                <w:color w:val="000000"/>
                <w:highlight w:val="none"/>
              </w:rPr>
            </w:pPr>
          </w:p>
        </w:tc>
        <w:tc>
          <w:tcPr>
            <w:tcW w:w="265" w:type="pct"/>
            <w:vMerge w:val="continue"/>
            <w:vAlign w:val="center"/>
          </w:tcPr>
          <w:p>
            <w:pPr>
              <w:rPr>
                <w:rFonts w:ascii="仿宋" w:hAnsi="仿宋" w:eastAsia="仿宋" w:cs="仿宋"/>
                <w:color w:val="000000"/>
                <w:highlight w:val="none"/>
              </w:rPr>
            </w:pPr>
          </w:p>
        </w:tc>
        <w:tc>
          <w:tcPr>
            <w:tcW w:w="473" w:type="pct"/>
            <w:vAlign w:val="center"/>
          </w:tcPr>
          <w:p>
            <w:pPr>
              <w:jc w:val="center"/>
              <w:rPr>
                <w:rFonts w:ascii="仿宋" w:hAnsi="仿宋" w:eastAsia="仿宋" w:cs="仿宋"/>
                <w:color w:val="000000"/>
                <w:highlight w:val="none"/>
              </w:rPr>
            </w:pPr>
            <w:r>
              <w:rPr>
                <w:rFonts w:hint="eastAsia" w:ascii="仿宋" w:hAnsi="仿宋" w:eastAsia="仿宋" w:cs="仿宋"/>
                <w:kern w:val="0"/>
                <w:highlight w:val="none"/>
              </w:rPr>
              <w:t>无劣V类水体</w:t>
            </w:r>
          </w:p>
        </w:tc>
        <w:tc>
          <w:tcPr>
            <w:tcW w:w="462" w:type="pct"/>
            <w:vAlign w:val="center"/>
          </w:tcPr>
          <w:p>
            <w:pPr>
              <w:jc w:val="center"/>
              <w:rPr>
                <w:rFonts w:ascii="仿宋" w:hAnsi="仿宋" w:eastAsia="仿宋" w:cs="仿宋"/>
                <w:color w:val="000000"/>
                <w:highlight w:val="none"/>
              </w:rPr>
            </w:pPr>
            <w:r>
              <w:rPr>
                <w:rFonts w:hint="eastAsia" w:ascii="仿宋" w:hAnsi="仿宋" w:eastAsia="仿宋" w:cs="仿宋"/>
                <w:kern w:val="0"/>
                <w:highlight w:val="none"/>
              </w:rPr>
              <w:t>无劣V类水体</w:t>
            </w:r>
          </w:p>
        </w:tc>
        <w:tc>
          <w:tcPr>
            <w:tcW w:w="447" w:type="pct"/>
            <w:vAlign w:val="center"/>
          </w:tcPr>
          <w:p>
            <w:pPr>
              <w:jc w:val="center"/>
              <w:rPr>
                <w:rFonts w:ascii="仿宋" w:hAnsi="仿宋" w:eastAsia="仿宋" w:cs="仿宋"/>
                <w:color w:val="000000"/>
                <w:highlight w:val="none"/>
              </w:rPr>
            </w:pPr>
            <w:r>
              <w:rPr>
                <w:rFonts w:hint="eastAsia" w:ascii="仿宋" w:hAnsi="仿宋" w:eastAsia="仿宋" w:cs="仿宋"/>
                <w:kern w:val="0"/>
                <w:highlight w:val="none"/>
              </w:rPr>
              <w:t>无劣V类水体</w:t>
            </w:r>
          </w:p>
        </w:tc>
        <w:tc>
          <w:tcPr>
            <w:tcW w:w="25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达标</w:t>
            </w:r>
          </w:p>
        </w:tc>
        <w:tc>
          <w:tcPr>
            <w:tcW w:w="374" w:type="pct"/>
            <w:vMerge w:val="continue"/>
            <w:vAlign w:val="center"/>
          </w:tcPr>
          <w:p>
            <w:pPr>
              <w:jc w:val="center"/>
              <w:rPr>
                <w:rFonts w:ascii="仿宋" w:hAnsi="仿宋" w:eastAsia="仿宋" w:cs="仿宋"/>
                <w:color w:val="000000"/>
                <w:highlight w:val="none"/>
              </w:rPr>
            </w:pPr>
          </w:p>
        </w:tc>
        <w:tc>
          <w:tcPr>
            <w:tcW w:w="372" w:type="pct"/>
            <w:vMerge w:val="continue"/>
            <w:vAlign w:val="center"/>
          </w:tcPr>
          <w:p>
            <w:pPr>
              <w:jc w:val="center"/>
              <w:rPr>
                <w:rFonts w:ascii="仿宋" w:hAnsi="仿宋" w:eastAsia="仿宋" w:cs="仿宋"/>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209" w:type="pct"/>
            <w:vMerge w:val="continue"/>
            <w:vAlign w:val="center"/>
          </w:tcPr>
          <w:p>
            <w:pPr>
              <w:jc w:val="center"/>
              <w:rPr>
                <w:rFonts w:ascii="仿宋" w:hAnsi="仿宋" w:eastAsia="仿宋" w:cs="仿宋"/>
                <w:color w:val="000000"/>
                <w:highlight w:val="none"/>
              </w:rPr>
            </w:pPr>
          </w:p>
        </w:tc>
        <w:tc>
          <w:tcPr>
            <w:tcW w:w="221" w:type="pct"/>
            <w:vMerge w:val="continue"/>
            <w:vAlign w:val="center"/>
          </w:tcPr>
          <w:p>
            <w:pPr>
              <w:jc w:val="center"/>
              <w:rPr>
                <w:rFonts w:ascii="仿宋" w:hAnsi="仿宋" w:eastAsia="仿宋" w:cs="仿宋"/>
                <w:color w:val="000000"/>
                <w:highlight w:val="none"/>
              </w:rPr>
            </w:pPr>
          </w:p>
        </w:tc>
        <w:tc>
          <w:tcPr>
            <w:tcW w:w="221" w:type="pct"/>
            <w:vMerge w:val="continue"/>
            <w:vAlign w:val="center"/>
          </w:tcPr>
          <w:p>
            <w:pPr>
              <w:jc w:val="center"/>
              <w:rPr>
                <w:rFonts w:ascii="仿宋" w:hAnsi="仿宋" w:eastAsia="仿宋" w:cs="仿宋"/>
                <w:color w:val="000000"/>
                <w:highlight w:val="none"/>
              </w:rPr>
            </w:pPr>
          </w:p>
        </w:tc>
        <w:tc>
          <w:tcPr>
            <w:tcW w:w="256" w:type="pct"/>
            <w:vMerge w:val="continue"/>
            <w:vAlign w:val="center"/>
          </w:tcPr>
          <w:p>
            <w:pPr>
              <w:rPr>
                <w:rFonts w:ascii="仿宋" w:hAnsi="仿宋" w:eastAsia="仿宋" w:cs="仿宋"/>
                <w:color w:val="000000"/>
                <w:highlight w:val="none"/>
              </w:rPr>
            </w:pPr>
          </w:p>
        </w:tc>
        <w:tc>
          <w:tcPr>
            <w:tcW w:w="634" w:type="pct"/>
            <w:vAlign w:val="center"/>
          </w:tcPr>
          <w:p>
            <w:pPr>
              <w:rPr>
                <w:rFonts w:ascii="仿宋" w:hAnsi="仿宋" w:eastAsia="仿宋" w:cs="仿宋"/>
                <w:color w:val="000000"/>
                <w:highlight w:val="none"/>
              </w:rPr>
            </w:pPr>
            <w:r>
              <w:rPr>
                <w:rFonts w:hint="eastAsia" w:ascii="仿宋" w:hAnsi="仿宋" w:eastAsia="仿宋" w:cs="仿宋"/>
                <w:color w:val="000000"/>
                <w:highlight w:val="none"/>
              </w:rPr>
              <w:t>黑臭水体消除比例</w:t>
            </w:r>
          </w:p>
        </w:tc>
        <w:tc>
          <w:tcPr>
            <w:tcW w:w="233"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w:t>
            </w:r>
          </w:p>
        </w:tc>
        <w:tc>
          <w:tcPr>
            <w:tcW w:w="575" w:type="pct"/>
            <w:vMerge w:val="continue"/>
            <w:vAlign w:val="center"/>
          </w:tcPr>
          <w:p>
            <w:pPr>
              <w:rPr>
                <w:rFonts w:ascii="仿宋" w:hAnsi="仿宋" w:eastAsia="仿宋" w:cs="仿宋"/>
                <w:color w:val="000000"/>
                <w:highlight w:val="none"/>
              </w:rPr>
            </w:pPr>
          </w:p>
        </w:tc>
        <w:tc>
          <w:tcPr>
            <w:tcW w:w="265" w:type="pct"/>
            <w:vMerge w:val="continue"/>
            <w:vAlign w:val="center"/>
          </w:tcPr>
          <w:p>
            <w:pPr>
              <w:rPr>
                <w:rFonts w:ascii="仿宋" w:hAnsi="仿宋" w:eastAsia="仿宋" w:cs="仿宋"/>
                <w:color w:val="000000"/>
                <w:highlight w:val="none"/>
              </w:rPr>
            </w:pPr>
          </w:p>
        </w:tc>
        <w:tc>
          <w:tcPr>
            <w:tcW w:w="473" w:type="pct"/>
            <w:vAlign w:val="center"/>
          </w:tcPr>
          <w:p>
            <w:pPr>
              <w:jc w:val="center"/>
              <w:rPr>
                <w:rFonts w:ascii="仿宋" w:hAnsi="仿宋" w:eastAsia="仿宋" w:cs="仿宋"/>
                <w:kern w:val="0"/>
                <w:highlight w:val="none"/>
              </w:rPr>
            </w:pPr>
            <w:r>
              <w:rPr>
                <w:rFonts w:hint="eastAsia" w:ascii="仿宋" w:hAnsi="仿宋" w:eastAsia="仿宋" w:cs="仿宋"/>
                <w:kern w:val="0"/>
                <w:highlight w:val="none"/>
              </w:rPr>
              <w:t>100</w:t>
            </w:r>
          </w:p>
        </w:tc>
        <w:tc>
          <w:tcPr>
            <w:tcW w:w="462" w:type="pct"/>
            <w:vAlign w:val="center"/>
          </w:tcPr>
          <w:p>
            <w:pPr>
              <w:jc w:val="center"/>
              <w:rPr>
                <w:rFonts w:ascii="仿宋" w:hAnsi="仿宋" w:eastAsia="仿宋" w:cs="仿宋"/>
                <w:kern w:val="0"/>
                <w:highlight w:val="none"/>
              </w:rPr>
            </w:pPr>
            <w:r>
              <w:rPr>
                <w:rFonts w:hint="eastAsia" w:ascii="仿宋" w:hAnsi="仿宋" w:eastAsia="仿宋" w:cs="仿宋"/>
                <w:kern w:val="0"/>
                <w:highlight w:val="none"/>
              </w:rPr>
              <w:t>100</w:t>
            </w:r>
          </w:p>
        </w:tc>
        <w:tc>
          <w:tcPr>
            <w:tcW w:w="447" w:type="pct"/>
            <w:vAlign w:val="center"/>
          </w:tcPr>
          <w:p>
            <w:pPr>
              <w:jc w:val="center"/>
              <w:rPr>
                <w:rFonts w:ascii="仿宋" w:hAnsi="仿宋" w:eastAsia="仿宋" w:cs="仿宋"/>
                <w:kern w:val="0"/>
                <w:highlight w:val="none"/>
              </w:rPr>
            </w:pPr>
            <w:r>
              <w:rPr>
                <w:rFonts w:hint="eastAsia" w:ascii="仿宋" w:hAnsi="仿宋" w:eastAsia="仿宋" w:cs="仿宋"/>
                <w:kern w:val="0"/>
                <w:highlight w:val="none"/>
              </w:rPr>
              <w:t>100</w:t>
            </w:r>
          </w:p>
        </w:tc>
        <w:tc>
          <w:tcPr>
            <w:tcW w:w="25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达标</w:t>
            </w:r>
          </w:p>
        </w:tc>
        <w:tc>
          <w:tcPr>
            <w:tcW w:w="374" w:type="pct"/>
            <w:vMerge w:val="continue"/>
            <w:vAlign w:val="center"/>
          </w:tcPr>
          <w:p>
            <w:pPr>
              <w:jc w:val="center"/>
              <w:rPr>
                <w:rFonts w:ascii="仿宋" w:hAnsi="仿宋" w:eastAsia="仿宋" w:cs="仿宋"/>
                <w:color w:val="000000"/>
                <w:highlight w:val="none"/>
              </w:rPr>
            </w:pPr>
          </w:p>
        </w:tc>
        <w:tc>
          <w:tcPr>
            <w:tcW w:w="372" w:type="pct"/>
            <w:vMerge w:val="continue"/>
            <w:vAlign w:val="center"/>
          </w:tcPr>
          <w:p>
            <w:pPr>
              <w:jc w:val="center"/>
              <w:rPr>
                <w:rFonts w:ascii="仿宋" w:hAnsi="仿宋" w:eastAsia="仿宋" w:cs="仿宋"/>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209" w:type="pct"/>
            <w:vMerge w:val="continue"/>
            <w:vAlign w:val="center"/>
          </w:tcPr>
          <w:p>
            <w:pPr>
              <w:jc w:val="center"/>
              <w:rPr>
                <w:rFonts w:ascii="仿宋" w:hAnsi="仿宋" w:eastAsia="仿宋" w:cs="仿宋"/>
                <w:color w:val="000000"/>
                <w:highlight w:val="none"/>
              </w:rPr>
            </w:pPr>
          </w:p>
        </w:tc>
        <w:tc>
          <w:tcPr>
            <w:tcW w:w="221" w:type="pct"/>
            <w:vMerge w:val="restar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生态系统保护</w:t>
            </w:r>
          </w:p>
        </w:tc>
        <w:tc>
          <w:tcPr>
            <w:tcW w:w="221"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9</w:t>
            </w:r>
          </w:p>
        </w:tc>
        <w:tc>
          <w:tcPr>
            <w:tcW w:w="890" w:type="pct"/>
            <w:gridSpan w:val="2"/>
            <w:vAlign w:val="center"/>
          </w:tcPr>
          <w:p>
            <w:pPr>
              <w:rPr>
                <w:rFonts w:ascii="仿宋" w:hAnsi="仿宋" w:eastAsia="仿宋" w:cs="仿宋"/>
                <w:color w:val="000000"/>
                <w:highlight w:val="none"/>
              </w:rPr>
            </w:pPr>
            <w:r>
              <w:rPr>
                <w:rFonts w:hint="eastAsia" w:ascii="仿宋" w:hAnsi="仿宋" w:eastAsia="仿宋" w:cs="仿宋"/>
                <w:color w:val="000000"/>
                <w:highlight w:val="none"/>
              </w:rPr>
              <w:t>生态环境状况指数（EI）</w:t>
            </w:r>
          </w:p>
        </w:tc>
        <w:tc>
          <w:tcPr>
            <w:tcW w:w="233"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w:t>
            </w:r>
          </w:p>
        </w:tc>
        <w:tc>
          <w:tcPr>
            <w:tcW w:w="57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≥57</w:t>
            </w:r>
          </w:p>
        </w:tc>
        <w:tc>
          <w:tcPr>
            <w:tcW w:w="26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约束性</w:t>
            </w:r>
          </w:p>
        </w:tc>
        <w:tc>
          <w:tcPr>
            <w:tcW w:w="473" w:type="pct"/>
            <w:vAlign w:val="center"/>
          </w:tcPr>
          <w:p>
            <w:pPr>
              <w:jc w:val="center"/>
              <w:rPr>
                <w:rFonts w:hint="default" w:ascii="仿宋" w:hAnsi="仿宋" w:eastAsia="仿宋" w:cs="仿宋"/>
                <w:color w:val="000000"/>
                <w:highlight w:val="none"/>
                <w:lang w:val="en-US" w:eastAsia="zh-CN"/>
              </w:rPr>
            </w:pPr>
            <w:r>
              <w:rPr>
                <w:rFonts w:hint="eastAsia" w:ascii="仿宋" w:hAnsi="仿宋" w:eastAsia="仿宋" w:cs="仿宋"/>
                <w:color w:val="000000"/>
                <w:highlight w:val="none"/>
                <w:lang w:val="en-US" w:eastAsia="zh-CN"/>
              </w:rPr>
              <w:t>57.36</w:t>
            </w:r>
          </w:p>
        </w:tc>
        <w:tc>
          <w:tcPr>
            <w:tcW w:w="462"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56.63</w:t>
            </w:r>
          </w:p>
        </w:tc>
        <w:tc>
          <w:tcPr>
            <w:tcW w:w="447" w:type="pct"/>
            <w:vAlign w:val="center"/>
          </w:tcPr>
          <w:p>
            <w:pPr>
              <w:jc w:val="center"/>
              <w:rPr>
                <w:rFonts w:hint="eastAsia" w:ascii="仿宋" w:hAnsi="仿宋" w:eastAsia="仿宋" w:cs="仿宋"/>
                <w:color w:val="000000"/>
                <w:highlight w:val="none"/>
                <w:lang w:val="en-US" w:eastAsia="zh-CN"/>
              </w:rPr>
            </w:pPr>
            <w:r>
              <w:rPr>
                <w:rFonts w:hint="eastAsia" w:ascii="仿宋" w:hAnsi="仿宋" w:eastAsia="仿宋" w:cs="仿宋"/>
                <w:color w:val="000000"/>
                <w:highlight w:val="none"/>
              </w:rPr>
              <w:t>55.8</w:t>
            </w:r>
            <w:r>
              <w:rPr>
                <w:rFonts w:hint="eastAsia" w:ascii="仿宋" w:hAnsi="仿宋" w:eastAsia="仿宋" w:cs="仿宋"/>
                <w:color w:val="000000"/>
                <w:highlight w:val="none"/>
                <w:lang w:val="en-US" w:eastAsia="zh-CN"/>
              </w:rPr>
              <w:t>0</w:t>
            </w:r>
          </w:p>
        </w:tc>
        <w:tc>
          <w:tcPr>
            <w:tcW w:w="25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达标</w:t>
            </w:r>
          </w:p>
        </w:tc>
        <w:tc>
          <w:tcPr>
            <w:tcW w:w="1156" w:type="dxa"/>
            <w:vAlign w:val="center"/>
          </w:tcPr>
          <w:p>
            <w:pPr>
              <w:widowControl w:val="0"/>
              <w:spacing w:after="0"/>
              <w:jc w:val="center"/>
              <w:rPr>
                <w:rFonts w:ascii="仿宋" w:hAnsi="仿宋" w:eastAsia="仿宋" w:cs="仿宋"/>
                <w:color w:val="000000"/>
                <w:highlight w:val="none"/>
              </w:rPr>
            </w:pPr>
            <w:r>
              <w:rPr>
                <w:rFonts w:hint="eastAsia" w:ascii="仿宋" w:hAnsi="仿宋" w:eastAsia="仿宋" w:cs="Times New Roman"/>
                <w:highlight w:val="none"/>
                <w14:ligatures w14:val="none"/>
              </w:rPr>
              <w:t>保持稳定或持续改善</w:t>
            </w:r>
          </w:p>
        </w:tc>
        <w:tc>
          <w:tcPr>
            <w:tcW w:w="1150" w:type="dxa"/>
            <w:vAlign w:val="center"/>
          </w:tcPr>
          <w:p>
            <w:pPr>
              <w:widowControl w:val="0"/>
              <w:spacing w:after="0"/>
              <w:jc w:val="center"/>
              <w:rPr>
                <w:rFonts w:ascii="仿宋" w:hAnsi="仿宋" w:eastAsia="仿宋" w:cs="仿宋"/>
                <w:color w:val="000000"/>
                <w:highlight w:val="none"/>
              </w:rPr>
            </w:pPr>
            <w:r>
              <w:rPr>
                <w:rFonts w:hint="eastAsia" w:ascii="仿宋" w:hAnsi="仿宋" w:eastAsia="仿宋" w:cs="Times New Roman"/>
                <w:highlight w:val="none"/>
                <w14:ligatures w14:val="none"/>
              </w:rPr>
              <w:t>保持稳定或持续改善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209" w:type="pct"/>
            <w:vMerge w:val="continue"/>
            <w:vAlign w:val="center"/>
          </w:tcPr>
          <w:p>
            <w:pPr>
              <w:jc w:val="center"/>
              <w:rPr>
                <w:rFonts w:ascii="仿宋" w:hAnsi="仿宋" w:eastAsia="仿宋" w:cs="仿宋"/>
                <w:color w:val="000000"/>
                <w:highlight w:val="none"/>
              </w:rPr>
            </w:pPr>
          </w:p>
        </w:tc>
        <w:tc>
          <w:tcPr>
            <w:tcW w:w="221" w:type="pct"/>
            <w:vMerge w:val="continue"/>
            <w:vAlign w:val="center"/>
          </w:tcPr>
          <w:p>
            <w:pPr>
              <w:jc w:val="center"/>
              <w:rPr>
                <w:rFonts w:ascii="仿宋" w:hAnsi="仿宋" w:eastAsia="仿宋" w:cs="仿宋"/>
                <w:color w:val="000000"/>
                <w:highlight w:val="none"/>
              </w:rPr>
            </w:pPr>
          </w:p>
        </w:tc>
        <w:tc>
          <w:tcPr>
            <w:tcW w:w="221"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10</w:t>
            </w:r>
          </w:p>
        </w:tc>
        <w:tc>
          <w:tcPr>
            <w:tcW w:w="890" w:type="pct"/>
            <w:gridSpan w:val="2"/>
            <w:vAlign w:val="center"/>
          </w:tcPr>
          <w:p>
            <w:pPr>
              <w:rPr>
                <w:rFonts w:ascii="仿宋" w:hAnsi="仿宋" w:eastAsia="仿宋" w:cs="仿宋"/>
                <w:color w:val="000000"/>
                <w:highlight w:val="none"/>
              </w:rPr>
            </w:pPr>
            <w:r>
              <w:rPr>
                <w:rFonts w:hint="eastAsia" w:ascii="仿宋" w:hAnsi="仿宋" w:eastAsia="仿宋" w:cs="仿宋"/>
                <w:color w:val="000000"/>
                <w:highlight w:val="none"/>
              </w:rPr>
              <w:t>生态质量指数（EQI）</w:t>
            </w:r>
          </w:p>
        </w:tc>
        <w:tc>
          <w:tcPr>
            <w:tcW w:w="719" w:type="dxa"/>
            <w:vAlign w:val="center"/>
          </w:tcPr>
          <w:p>
            <w:pPr>
              <w:widowControl w:val="0"/>
              <w:adjustRightInd w:val="0"/>
              <w:spacing w:after="0"/>
              <w:jc w:val="center"/>
              <w:rPr>
                <w:rFonts w:ascii="仿宋" w:hAnsi="仿宋" w:eastAsia="仿宋" w:cs="仿宋"/>
                <w:color w:val="000000"/>
                <w:highlight w:val="none"/>
              </w:rPr>
            </w:pPr>
            <w:r>
              <w:rPr>
                <w:rFonts w:hint="eastAsia" w:ascii="仿宋" w:hAnsi="仿宋" w:eastAsia="仿宋" w:cs="Times New Roman"/>
                <w:highlight w:val="none"/>
                <w14:ligatures w14:val="none"/>
              </w:rPr>
              <w:t>-</w:t>
            </w:r>
          </w:p>
        </w:tc>
        <w:tc>
          <w:tcPr>
            <w:tcW w:w="1775" w:type="dxa"/>
            <w:vAlign w:val="center"/>
          </w:tcPr>
          <w:p>
            <w:pPr>
              <w:widowControl w:val="0"/>
              <w:adjustRightInd w:val="0"/>
              <w:spacing w:after="0"/>
              <w:jc w:val="center"/>
              <w:rPr>
                <w:rFonts w:ascii="仿宋" w:hAnsi="仿宋" w:eastAsia="仿宋" w:cs="仿宋"/>
                <w:color w:val="000000"/>
                <w:highlight w:val="none"/>
              </w:rPr>
            </w:pPr>
            <w:r>
              <w:rPr>
                <w:rFonts w:hint="eastAsia" w:ascii="仿宋" w:hAnsi="仿宋" w:eastAsia="仿宋" w:cs="Times New Roman"/>
                <w:highlight w:val="none"/>
                <w14:ligatures w14:val="none"/>
              </w:rPr>
              <w:t>△EQI</w:t>
            </w:r>
            <w:r>
              <w:rPr>
                <w:rFonts w:ascii="仿宋" w:hAnsi="仿宋" w:eastAsia="仿宋" w:cs="Times New Roman"/>
                <w:highlight w:val="none"/>
                <w14:ligatures w14:val="none"/>
              </w:rPr>
              <w:t>≥</w:t>
            </w:r>
            <w:r>
              <w:rPr>
                <w:rFonts w:hint="eastAsia" w:ascii="仿宋" w:hAnsi="仿宋" w:eastAsia="仿宋" w:cs="Times New Roman"/>
                <w:highlight w:val="none"/>
                <w14:ligatures w14:val="none"/>
              </w:rPr>
              <w:t>-1</w:t>
            </w:r>
          </w:p>
        </w:tc>
        <w:tc>
          <w:tcPr>
            <w:tcW w:w="26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约束性</w:t>
            </w:r>
          </w:p>
        </w:tc>
        <w:tc>
          <w:tcPr>
            <w:tcW w:w="473"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w:t>
            </w:r>
          </w:p>
        </w:tc>
        <w:tc>
          <w:tcPr>
            <w:tcW w:w="462"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0.33</w:t>
            </w:r>
          </w:p>
        </w:tc>
        <w:tc>
          <w:tcPr>
            <w:tcW w:w="447"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-0.08</w:t>
            </w:r>
          </w:p>
        </w:tc>
        <w:tc>
          <w:tcPr>
            <w:tcW w:w="25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达标</w:t>
            </w:r>
          </w:p>
        </w:tc>
        <w:tc>
          <w:tcPr>
            <w:tcW w:w="1156" w:type="dxa"/>
            <w:vAlign w:val="center"/>
          </w:tcPr>
          <w:p>
            <w:pPr>
              <w:widowControl w:val="0"/>
              <w:spacing w:after="0"/>
              <w:jc w:val="center"/>
              <w:rPr>
                <w:rFonts w:ascii="仿宋" w:hAnsi="仿宋" w:eastAsia="仿宋" w:cs="仿宋"/>
                <w:color w:val="000000"/>
                <w:highlight w:val="none"/>
              </w:rPr>
            </w:pPr>
            <w:r>
              <w:rPr>
                <w:rFonts w:hint="eastAsia" w:ascii="仿宋" w:hAnsi="仿宋" w:eastAsia="仿宋" w:cs="Times New Roman"/>
                <w:highlight w:val="none"/>
                <w14:ligatures w14:val="none"/>
              </w:rPr>
              <w:t>保持稳定或持续改善</w:t>
            </w:r>
          </w:p>
        </w:tc>
        <w:tc>
          <w:tcPr>
            <w:tcW w:w="1150" w:type="dxa"/>
            <w:vAlign w:val="center"/>
          </w:tcPr>
          <w:p>
            <w:pPr>
              <w:widowControl w:val="0"/>
              <w:spacing w:after="0"/>
              <w:jc w:val="center"/>
              <w:rPr>
                <w:rFonts w:ascii="仿宋" w:hAnsi="仿宋" w:eastAsia="仿宋" w:cs="仿宋"/>
                <w:color w:val="000000"/>
                <w:highlight w:val="none"/>
              </w:rPr>
            </w:pPr>
            <w:r>
              <w:rPr>
                <w:rFonts w:hint="eastAsia" w:ascii="仿宋" w:hAnsi="仿宋" w:eastAsia="仿宋" w:cs="Times New Roman"/>
                <w:highlight w:val="none"/>
                <w14:ligatures w14:val="none"/>
              </w:rPr>
              <w:t>保持稳定或持续改善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209" w:type="pct"/>
            <w:vMerge w:val="continue"/>
            <w:vAlign w:val="center"/>
          </w:tcPr>
          <w:p>
            <w:pPr>
              <w:jc w:val="center"/>
              <w:rPr>
                <w:rFonts w:ascii="仿宋" w:hAnsi="仿宋" w:eastAsia="仿宋" w:cs="仿宋"/>
                <w:color w:val="000000"/>
                <w:highlight w:val="none"/>
              </w:rPr>
            </w:pPr>
          </w:p>
        </w:tc>
        <w:tc>
          <w:tcPr>
            <w:tcW w:w="221" w:type="pct"/>
            <w:vMerge w:val="continue"/>
            <w:vAlign w:val="center"/>
          </w:tcPr>
          <w:p>
            <w:pPr>
              <w:jc w:val="center"/>
              <w:rPr>
                <w:rFonts w:ascii="仿宋" w:hAnsi="仿宋" w:eastAsia="仿宋" w:cs="仿宋"/>
                <w:color w:val="000000"/>
                <w:highlight w:val="none"/>
              </w:rPr>
            </w:pPr>
          </w:p>
        </w:tc>
        <w:tc>
          <w:tcPr>
            <w:tcW w:w="221"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11</w:t>
            </w:r>
          </w:p>
        </w:tc>
        <w:tc>
          <w:tcPr>
            <w:tcW w:w="890" w:type="pct"/>
            <w:gridSpan w:val="2"/>
            <w:vAlign w:val="center"/>
          </w:tcPr>
          <w:p>
            <w:pPr>
              <w:rPr>
                <w:rFonts w:ascii="仿宋" w:hAnsi="仿宋" w:eastAsia="仿宋" w:cs="仿宋"/>
                <w:color w:val="000000"/>
                <w:highlight w:val="none"/>
              </w:rPr>
            </w:pPr>
            <w:r>
              <w:rPr>
                <w:rFonts w:hint="eastAsia" w:ascii="仿宋" w:hAnsi="仿宋" w:eastAsia="仿宋" w:cs="仿宋"/>
                <w:color w:val="000000"/>
                <w:highlight w:val="none"/>
              </w:rPr>
              <w:t>林草覆盖率</w:t>
            </w:r>
          </w:p>
          <w:p>
            <w:pPr>
              <w:ind w:firstLine="210" w:firstLineChars="100"/>
              <w:rPr>
                <w:rFonts w:ascii="仿宋" w:hAnsi="仿宋" w:eastAsia="仿宋" w:cs="仿宋"/>
                <w:highlight w:val="none"/>
              </w:rPr>
            </w:pPr>
            <w:r>
              <w:rPr>
                <w:rFonts w:hint="eastAsia" w:ascii="仿宋" w:hAnsi="仿宋" w:eastAsia="仿宋" w:cs="仿宋"/>
                <w:color w:val="000000"/>
                <w:highlight w:val="none"/>
              </w:rPr>
              <w:t>丘陵地区</w:t>
            </w:r>
          </w:p>
        </w:tc>
        <w:tc>
          <w:tcPr>
            <w:tcW w:w="233"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w:t>
            </w:r>
          </w:p>
        </w:tc>
        <w:tc>
          <w:tcPr>
            <w:tcW w:w="575" w:type="pct"/>
            <w:vAlign w:val="center"/>
          </w:tcPr>
          <w:p>
            <w:pPr>
              <w:jc w:val="center"/>
              <w:rPr>
                <w:rFonts w:ascii="仿宋" w:hAnsi="仿宋" w:eastAsia="仿宋" w:cs="仿宋"/>
                <w:highlight w:val="none"/>
              </w:rPr>
            </w:pPr>
          </w:p>
          <w:p>
            <w:pPr>
              <w:jc w:val="center"/>
              <w:rPr>
                <w:rFonts w:ascii="仿宋" w:hAnsi="仿宋" w:eastAsia="仿宋" w:cs="仿宋"/>
                <w:highlight w:val="none"/>
              </w:rPr>
            </w:pPr>
            <w:r>
              <w:rPr>
                <w:rFonts w:hint="eastAsia" w:ascii="仿宋" w:hAnsi="仿宋" w:eastAsia="仿宋" w:cs="仿宋"/>
                <w:highlight w:val="none"/>
              </w:rPr>
              <w:t>≥40</w:t>
            </w:r>
          </w:p>
        </w:tc>
        <w:tc>
          <w:tcPr>
            <w:tcW w:w="26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参考性</w:t>
            </w:r>
          </w:p>
        </w:tc>
        <w:tc>
          <w:tcPr>
            <w:tcW w:w="473" w:type="pct"/>
            <w:vAlign w:val="center"/>
          </w:tcPr>
          <w:p>
            <w:pPr>
              <w:jc w:val="center"/>
              <w:rPr>
                <w:rFonts w:ascii="仿宋" w:hAnsi="仿宋" w:eastAsia="仿宋" w:cs="仿宋"/>
                <w:highlight w:val="none"/>
              </w:rPr>
            </w:pPr>
            <w:r>
              <w:rPr>
                <w:rFonts w:hint="eastAsia" w:ascii="仿宋" w:hAnsi="仿宋" w:eastAsia="仿宋" w:cs="仿宋"/>
                <w:highlight w:val="none"/>
              </w:rPr>
              <w:t>35.64</w:t>
            </w:r>
          </w:p>
        </w:tc>
        <w:tc>
          <w:tcPr>
            <w:tcW w:w="462"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31.05</w:t>
            </w:r>
          </w:p>
        </w:tc>
        <w:tc>
          <w:tcPr>
            <w:tcW w:w="447"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33.55</w:t>
            </w:r>
          </w:p>
        </w:tc>
        <w:tc>
          <w:tcPr>
            <w:tcW w:w="25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达标</w:t>
            </w:r>
          </w:p>
        </w:tc>
        <w:tc>
          <w:tcPr>
            <w:tcW w:w="1156" w:type="dxa"/>
            <w:vAlign w:val="center"/>
          </w:tcPr>
          <w:p>
            <w:pPr>
              <w:widowControl w:val="0"/>
              <w:spacing w:after="0"/>
              <w:jc w:val="center"/>
              <w:rPr>
                <w:rFonts w:ascii="仿宋" w:hAnsi="仿宋" w:eastAsia="仿宋" w:cs="仿宋"/>
                <w:color w:val="000000"/>
                <w:highlight w:val="none"/>
              </w:rPr>
            </w:pPr>
            <w:r>
              <w:rPr>
                <w:rFonts w:hint="eastAsia" w:ascii="仿宋" w:hAnsi="仿宋" w:eastAsia="仿宋" w:cs="Times New Roman"/>
                <w:highlight w:val="none"/>
                <w14:ligatures w14:val="none"/>
              </w:rPr>
              <w:t>保持稳定或持续改善</w:t>
            </w:r>
          </w:p>
        </w:tc>
        <w:tc>
          <w:tcPr>
            <w:tcW w:w="1150" w:type="dxa"/>
            <w:vAlign w:val="center"/>
          </w:tcPr>
          <w:p>
            <w:pPr>
              <w:widowControl w:val="0"/>
              <w:spacing w:after="0"/>
              <w:jc w:val="center"/>
              <w:rPr>
                <w:rFonts w:ascii="仿宋" w:hAnsi="仿宋" w:eastAsia="仿宋" w:cs="仿宋"/>
                <w:color w:val="000000"/>
                <w:highlight w:val="none"/>
              </w:rPr>
            </w:pPr>
            <w:r>
              <w:rPr>
                <w:rFonts w:hint="eastAsia" w:ascii="仿宋" w:hAnsi="仿宋" w:eastAsia="仿宋" w:cs="Times New Roman"/>
                <w:highlight w:val="none"/>
                <w14:ligatures w14:val="none"/>
              </w:rPr>
              <w:t>保持稳定或持续改善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209" w:type="pct"/>
            <w:vMerge w:val="continue"/>
            <w:vAlign w:val="center"/>
          </w:tcPr>
          <w:p>
            <w:pPr>
              <w:jc w:val="center"/>
              <w:rPr>
                <w:rFonts w:ascii="仿宋" w:hAnsi="仿宋" w:eastAsia="仿宋" w:cs="仿宋"/>
                <w:color w:val="000000"/>
                <w:highlight w:val="none"/>
              </w:rPr>
            </w:pPr>
          </w:p>
        </w:tc>
        <w:tc>
          <w:tcPr>
            <w:tcW w:w="221" w:type="pct"/>
            <w:vMerge w:val="continue"/>
            <w:vAlign w:val="center"/>
          </w:tcPr>
          <w:p>
            <w:pPr>
              <w:jc w:val="center"/>
              <w:rPr>
                <w:rFonts w:ascii="仿宋" w:hAnsi="仿宋" w:eastAsia="仿宋" w:cs="仿宋"/>
                <w:color w:val="000000"/>
                <w:highlight w:val="none"/>
              </w:rPr>
            </w:pPr>
          </w:p>
        </w:tc>
        <w:tc>
          <w:tcPr>
            <w:tcW w:w="221" w:type="pct"/>
            <w:vMerge w:val="restar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12</w:t>
            </w:r>
          </w:p>
        </w:tc>
        <w:tc>
          <w:tcPr>
            <w:tcW w:w="256" w:type="pct"/>
            <w:vMerge w:val="restart"/>
            <w:vAlign w:val="center"/>
          </w:tcPr>
          <w:p>
            <w:pPr>
              <w:rPr>
                <w:rFonts w:ascii="仿宋" w:hAnsi="仿宋" w:eastAsia="仿宋" w:cs="仿宋"/>
                <w:color w:val="000000"/>
                <w:highlight w:val="none"/>
              </w:rPr>
            </w:pPr>
            <w:r>
              <w:rPr>
                <w:rFonts w:hint="eastAsia" w:ascii="仿宋" w:hAnsi="仿宋" w:eastAsia="仿宋" w:cs="仿宋"/>
                <w:color w:val="000000"/>
                <w:highlight w:val="none"/>
              </w:rPr>
              <w:t>生物多样性保护</w:t>
            </w:r>
          </w:p>
        </w:tc>
        <w:tc>
          <w:tcPr>
            <w:tcW w:w="634" w:type="pct"/>
            <w:vAlign w:val="center"/>
          </w:tcPr>
          <w:p>
            <w:pPr>
              <w:rPr>
                <w:rFonts w:ascii="仿宋" w:hAnsi="仿宋" w:eastAsia="仿宋" w:cs="仿宋"/>
                <w:color w:val="000000"/>
                <w:highlight w:val="none"/>
              </w:rPr>
            </w:pPr>
            <w:r>
              <w:rPr>
                <w:rFonts w:hint="eastAsia" w:ascii="仿宋" w:hAnsi="仿宋" w:eastAsia="仿宋" w:cs="仿宋"/>
                <w:color w:val="000000"/>
                <w:highlight w:val="none"/>
              </w:rPr>
              <w:t>国家重点保护野生动植物保护率</w:t>
            </w:r>
          </w:p>
        </w:tc>
        <w:tc>
          <w:tcPr>
            <w:tcW w:w="233"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w:t>
            </w:r>
          </w:p>
        </w:tc>
        <w:tc>
          <w:tcPr>
            <w:tcW w:w="57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≥95</w:t>
            </w:r>
          </w:p>
        </w:tc>
        <w:tc>
          <w:tcPr>
            <w:tcW w:w="265" w:type="pct"/>
            <w:vMerge w:val="restar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参考性</w:t>
            </w:r>
          </w:p>
        </w:tc>
        <w:tc>
          <w:tcPr>
            <w:tcW w:w="473"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100</w:t>
            </w:r>
          </w:p>
        </w:tc>
        <w:tc>
          <w:tcPr>
            <w:tcW w:w="462"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100</w:t>
            </w:r>
          </w:p>
        </w:tc>
        <w:tc>
          <w:tcPr>
            <w:tcW w:w="447"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100</w:t>
            </w:r>
          </w:p>
        </w:tc>
        <w:tc>
          <w:tcPr>
            <w:tcW w:w="25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达标</w:t>
            </w:r>
          </w:p>
        </w:tc>
        <w:tc>
          <w:tcPr>
            <w:tcW w:w="374"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100</w:t>
            </w:r>
          </w:p>
        </w:tc>
        <w:tc>
          <w:tcPr>
            <w:tcW w:w="372"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209" w:type="pct"/>
            <w:vMerge w:val="continue"/>
            <w:vAlign w:val="center"/>
          </w:tcPr>
          <w:p>
            <w:pPr>
              <w:jc w:val="center"/>
              <w:rPr>
                <w:rFonts w:ascii="仿宋" w:hAnsi="仿宋" w:eastAsia="仿宋" w:cs="仿宋"/>
                <w:color w:val="000000"/>
                <w:highlight w:val="none"/>
              </w:rPr>
            </w:pPr>
          </w:p>
        </w:tc>
        <w:tc>
          <w:tcPr>
            <w:tcW w:w="221" w:type="pct"/>
            <w:vMerge w:val="continue"/>
            <w:vAlign w:val="center"/>
          </w:tcPr>
          <w:p>
            <w:pPr>
              <w:jc w:val="center"/>
              <w:rPr>
                <w:rFonts w:ascii="仿宋" w:hAnsi="仿宋" w:eastAsia="仿宋" w:cs="仿宋"/>
                <w:color w:val="000000"/>
                <w:highlight w:val="none"/>
              </w:rPr>
            </w:pPr>
          </w:p>
        </w:tc>
        <w:tc>
          <w:tcPr>
            <w:tcW w:w="221" w:type="pct"/>
            <w:vMerge w:val="continue"/>
            <w:vAlign w:val="center"/>
          </w:tcPr>
          <w:p>
            <w:pPr>
              <w:jc w:val="center"/>
              <w:rPr>
                <w:rFonts w:ascii="仿宋" w:hAnsi="仿宋" w:eastAsia="仿宋" w:cs="仿宋"/>
                <w:color w:val="000000"/>
                <w:highlight w:val="none"/>
              </w:rPr>
            </w:pPr>
          </w:p>
        </w:tc>
        <w:tc>
          <w:tcPr>
            <w:tcW w:w="256" w:type="pct"/>
            <w:vMerge w:val="continue"/>
            <w:vAlign w:val="center"/>
          </w:tcPr>
          <w:p>
            <w:pPr>
              <w:rPr>
                <w:rFonts w:ascii="仿宋" w:hAnsi="仿宋" w:eastAsia="仿宋" w:cs="仿宋"/>
                <w:color w:val="000000"/>
                <w:highlight w:val="none"/>
              </w:rPr>
            </w:pPr>
          </w:p>
        </w:tc>
        <w:tc>
          <w:tcPr>
            <w:tcW w:w="634" w:type="pct"/>
            <w:vAlign w:val="center"/>
          </w:tcPr>
          <w:p>
            <w:pPr>
              <w:rPr>
                <w:rFonts w:ascii="仿宋" w:hAnsi="仿宋" w:eastAsia="仿宋" w:cs="仿宋"/>
                <w:color w:val="000000"/>
                <w:highlight w:val="none"/>
              </w:rPr>
            </w:pPr>
            <w:r>
              <w:rPr>
                <w:rFonts w:hint="eastAsia" w:ascii="仿宋" w:hAnsi="仿宋" w:eastAsia="仿宋" w:cs="仿宋"/>
                <w:color w:val="000000"/>
                <w:highlight w:val="none"/>
              </w:rPr>
              <w:t>外来物种入侵</w:t>
            </w:r>
          </w:p>
        </w:tc>
        <w:tc>
          <w:tcPr>
            <w:tcW w:w="233"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w:t>
            </w:r>
          </w:p>
        </w:tc>
        <w:tc>
          <w:tcPr>
            <w:tcW w:w="57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有效遏制</w:t>
            </w:r>
          </w:p>
        </w:tc>
        <w:tc>
          <w:tcPr>
            <w:tcW w:w="265" w:type="pct"/>
            <w:vMerge w:val="continue"/>
            <w:vAlign w:val="center"/>
          </w:tcPr>
          <w:p>
            <w:pPr>
              <w:rPr>
                <w:rFonts w:ascii="仿宋" w:hAnsi="仿宋" w:eastAsia="仿宋" w:cs="仿宋"/>
                <w:color w:val="000000"/>
                <w:highlight w:val="none"/>
              </w:rPr>
            </w:pPr>
          </w:p>
        </w:tc>
        <w:tc>
          <w:tcPr>
            <w:tcW w:w="473"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有效遏制</w:t>
            </w:r>
          </w:p>
        </w:tc>
        <w:tc>
          <w:tcPr>
            <w:tcW w:w="462"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有效遏制</w:t>
            </w:r>
          </w:p>
        </w:tc>
        <w:tc>
          <w:tcPr>
            <w:tcW w:w="447"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有效遏制</w:t>
            </w:r>
          </w:p>
        </w:tc>
        <w:tc>
          <w:tcPr>
            <w:tcW w:w="25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达标</w:t>
            </w:r>
          </w:p>
        </w:tc>
        <w:tc>
          <w:tcPr>
            <w:tcW w:w="374"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有效遏制</w:t>
            </w:r>
          </w:p>
        </w:tc>
        <w:tc>
          <w:tcPr>
            <w:tcW w:w="372"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有效遏制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209" w:type="pct"/>
            <w:vMerge w:val="continue"/>
            <w:vAlign w:val="center"/>
          </w:tcPr>
          <w:p>
            <w:pPr>
              <w:jc w:val="center"/>
              <w:rPr>
                <w:rFonts w:ascii="仿宋" w:hAnsi="仿宋" w:eastAsia="仿宋" w:cs="仿宋"/>
                <w:color w:val="000000"/>
                <w:highlight w:val="none"/>
              </w:rPr>
            </w:pPr>
          </w:p>
        </w:tc>
        <w:tc>
          <w:tcPr>
            <w:tcW w:w="221" w:type="pct"/>
            <w:vMerge w:val="continue"/>
            <w:vAlign w:val="center"/>
          </w:tcPr>
          <w:p>
            <w:pPr>
              <w:jc w:val="center"/>
              <w:rPr>
                <w:rFonts w:ascii="仿宋" w:hAnsi="仿宋" w:eastAsia="仿宋" w:cs="仿宋"/>
                <w:color w:val="000000"/>
                <w:highlight w:val="none"/>
              </w:rPr>
            </w:pPr>
          </w:p>
        </w:tc>
        <w:tc>
          <w:tcPr>
            <w:tcW w:w="221" w:type="pct"/>
            <w:vMerge w:val="continue"/>
            <w:vAlign w:val="center"/>
          </w:tcPr>
          <w:p>
            <w:pPr>
              <w:jc w:val="center"/>
              <w:rPr>
                <w:rFonts w:ascii="仿宋" w:hAnsi="仿宋" w:eastAsia="仿宋" w:cs="仿宋"/>
                <w:color w:val="000000"/>
                <w:highlight w:val="none"/>
              </w:rPr>
            </w:pPr>
          </w:p>
        </w:tc>
        <w:tc>
          <w:tcPr>
            <w:tcW w:w="256" w:type="pct"/>
            <w:vMerge w:val="continue"/>
            <w:vAlign w:val="center"/>
          </w:tcPr>
          <w:p>
            <w:pPr>
              <w:rPr>
                <w:rFonts w:ascii="仿宋" w:hAnsi="仿宋" w:eastAsia="仿宋" w:cs="仿宋"/>
                <w:color w:val="000000"/>
                <w:highlight w:val="none"/>
              </w:rPr>
            </w:pPr>
          </w:p>
        </w:tc>
        <w:tc>
          <w:tcPr>
            <w:tcW w:w="634" w:type="pct"/>
            <w:vAlign w:val="center"/>
          </w:tcPr>
          <w:p>
            <w:pPr>
              <w:rPr>
                <w:rFonts w:ascii="仿宋" w:hAnsi="仿宋" w:eastAsia="仿宋" w:cs="仿宋"/>
                <w:color w:val="000000"/>
                <w:highlight w:val="none"/>
              </w:rPr>
            </w:pPr>
            <w:r>
              <w:rPr>
                <w:rFonts w:hint="eastAsia" w:ascii="仿宋" w:hAnsi="仿宋" w:eastAsia="仿宋" w:cs="仿宋"/>
                <w:color w:val="000000"/>
                <w:highlight w:val="none"/>
              </w:rPr>
              <w:t>特有性或指示性水生物种保持率</w:t>
            </w:r>
          </w:p>
        </w:tc>
        <w:tc>
          <w:tcPr>
            <w:tcW w:w="233"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w:t>
            </w:r>
          </w:p>
        </w:tc>
        <w:tc>
          <w:tcPr>
            <w:tcW w:w="57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不降低</w:t>
            </w:r>
          </w:p>
        </w:tc>
        <w:tc>
          <w:tcPr>
            <w:tcW w:w="265" w:type="pct"/>
            <w:vMerge w:val="continue"/>
            <w:vAlign w:val="center"/>
          </w:tcPr>
          <w:p>
            <w:pPr>
              <w:rPr>
                <w:rFonts w:ascii="仿宋" w:hAnsi="仿宋" w:eastAsia="仿宋" w:cs="仿宋"/>
                <w:color w:val="000000"/>
                <w:highlight w:val="none"/>
              </w:rPr>
            </w:pPr>
          </w:p>
        </w:tc>
        <w:tc>
          <w:tcPr>
            <w:tcW w:w="473"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不降低</w:t>
            </w:r>
          </w:p>
        </w:tc>
        <w:tc>
          <w:tcPr>
            <w:tcW w:w="462"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不降低</w:t>
            </w:r>
          </w:p>
        </w:tc>
        <w:tc>
          <w:tcPr>
            <w:tcW w:w="447"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不降低</w:t>
            </w:r>
          </w:p>
        </w:tc>
        <w:tc>
          <w:tcPr>
            <w:tcW w:w="25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达标</w:t>
            </w:r>
          </w:p>
        </w:tc>
        <w:tc>
          <w:tcPr>
            <w:tcW w:w="374"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不降低</w:t>
            </w:r>
          </w:p>
        </w:tc>
        <w:tc>
          <w:tcPr>
            <w:tcW w:w="372"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不降低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209" w:type="pct"/>
            <w:vMerge w:val="continue"/>
            <w:vAlign w:val="center"/>
          </w:tcPr>
          <w:p>
            <w:pPr>
              <w:jc w:val="center"/>
              <w:rPr>
                <w:rFonts w:ascii="仿宋" w:hAnsi="仿宋" w:eastAsia="仿宋" w:cs="仿宋"/>
                <w:color w:val="000000"/>
                <w:highlight w:val="none"/>
              </w:rPr>
            </w:pPr>
          </w:p>
        </w:tc>
        <w:tc>
          <w:tcPr>
            <w:tcW w:w="221" w:type="pct"/>
            <w:vMerge w:val="restar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环境风险防范</w:t>
            </w:r>
          </w:p>
        </w:tc>
        <w:tc>
          <w:tcPr>
            <w:tcW w:w="221"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13</w:t>
            </w:r>
          </w:p>
        </w:tc>
        <w:tc>
          <w:tcPr>
            <w:tcW w:w="890" w:type="pct"/>
            <w:gridSpan w:val="2"/>
            <w:vAlign w:val="center"/>
          </w:tcPr>
          <w:p>
            <w:pPr>
              <w:rPr>
                <w:rFonts w:ascii="仿宋" w:hAnsi="仿宋" w:eastAsia="仿宋" w:cs="仿宋"/>
                <w:color w:val="000000"/>
                <w:highlight w:val="none"/>
              </w:rPr>
            </w:pPr>
            <w:r>
              <w:rPr>
                <w:rFonts w:hint="eastAsia" w:ascii="仿宋" w:hAnsi="仿宋" w:eastAsia="仿宋" w:cs="仿宋"/>
                <w:color w:val="000000"/>
                <w:highlight w:val="none"/>
              </w:rPr>
              <w:t>危险废物利用处置率</w:t>
            </w:r>
          </w:p>
        </w:tc>
        <w:tc>
          <w:tcPr>
            <w:tcW w:w="233"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w:t>
            </w:r>
          </w:p>
        </w:tc>
        <w:tc>
          <w:tcPr>
            <w:tcW w:w="57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100</w:t>
            </w:r>
          </w:p>
        </w:tc>
        <w:tc>
          <w:tcPr>
            <w:tcW w:w="26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约束性</w:t>
            </w:r>
          </w:p>
        </w:tc>
        <w:tc>
          <w:tcPr>
            <w:tcW w:w="473"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100</w:t>
            </w:r>
          </w:p>
        </w:tc>
        <w:tc>
          <w:tcPr>
            <w:tcW w:w="462"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100</w:t>
            </w:r>
          </w:p>
        </w:tc>
        <w:tc>
          <w:tcPr>
            <w:tcW w:w="447"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100</w:t>
            </w:r>
          </w:p>
        </w:tc>
        <w:tc>
          <w:tcPr>
            <w:tcW w:w="25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达标</w:t>
            </w:r>
          </w:p>
        </w:tc>
        <w:tc>
          <w:tcPr>
            <w:tcW w:w="374"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100</w:t>
            </w:r>
          </w:p>
        </w:tc>
        <w:tc>
          <w:tcPr>
            <w:tcW w:w="372"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209" w:type="pct"/>
            <w:vMerge w:val="continue"/>
            <w:vAlign w:val="center"/>
          </w:tcPr>
          <w:p>
            <w:pPr>
              <w:jc w:val="center"/>
              <w:rPr>
                <w:rFonts w:ascii="仿宋" w:hAnsi="仿宋" w:eastAsia="仿宋" w:cs="仿宋"/>
                <w:color w:val="000000"/>
                <w:highlight w:val="none"/>
              </w:rPr>
            </w:pPr>
          </w:p>
        </w:tc>
        <w:tc>
          <w:tcPr>
            <w:tcW w:w="221" w:type="pct"/>
            <w:vMerge w:val="continue"/>
            <w:vAlign w:val="center"/>
          </w:tcPr>
          <w:p>
            <w:pPr>
              <w:jc w:val="center"/>
              <w:rPr>
                <w:rFonts w:ascii="仿宋" w:hAnsi="仿宋" w:eastAsia="仿宋" w:cs="仿宋"/>
                <w:color w:val="000000"/>
                <w:highlight w:val="none"/>
              </w:rPr>
            </w:pPr>
          </w:p>
        </w:tc>
        <w:tc>
          <w:tcPr>
            <w:tcW w:w="221"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14</w:t>
            </w:r>
          </w:p>
        </w:tc>
        <w:tc>
          <w:tcPr>
            <w:tcW w:w="890" w:type="pct"/>
            <w:gridSpan w:val="2"/>
            <w:vAlign w:val="center"/>
          </w:tcPr>
          <w:p>
            <w:pPr>
              <w:rPr>
                <w:rFonts w:ascii="仿宋" w:hAnsi="仿宋" w:eastAsia="仿宋" w:cs="仿宋"/>
                <w:color w:val="000000"/>
                <w:highlight w:val="none"/>
              </w:rPr>
            </w:pPr>
            <w:r>
              <w:rPr>
                <w:rFonts w:hint="eastAsia" w:ascii="仿宋" w:hAnsi="仿宋" w:eastAsia="仿宋" w:cs="仿宋"/>
                <w:color w:val="000000"/>
                <w:highlight w:val="none"/>
              </w:rPr>
              <w:t>建设用地土壤污染风险管控和修复名录制度</w:t>
            </w:r>
          </w:p>
        </w:tc>
        <w:tc>
          <w:tcPr>
            <w:tcW w:w="233"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w:t>
            </w:r>
          </w:p>
        </w:tc>
        <w:tc>
          <w:tcPr>
            <w:tcW w:w="57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建立</w:t>
            </w:r>
          </w:p>
        </w:tc>
        <w:tc>
          <w:tcPr>
            <w:tcW w:w="26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参考性</w:t>
            </w:r>
          </w:p>
        </w:tc>
        <w:tc>
          <w:tcPr>
            <w:tcW w:w="473"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建立</w:t>
            </w:r>
          </w:p>
        </w:tc>
        <w:tc>
          <w:tcPr>
            <w:tcW w:w="462"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建立</w:t>
            </w:r>
          </w:p>
        </w:tc>
        <w:tc>
          <w:tcPr>
            <w:tcW w:w="447"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建立</w:t>
            </w:r>
          </w:p>
        </w:tc>
        <w:tc>
          <w:tcPr>
            <w:tcW w:w="25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达标</w:t>
            </w:r>
          </w:p>
        </w:tc>
        <w:tc>
          <w:tcPr>
            <w:tcW w:w="374"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建立</w:t>
            </w:r>
          </w:p>
        </w:tc>
        <w:tc>
          <w:tcPr>
            <w:tcW w:w="372"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建立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209" w:type="pct"/>
            <w:vMerge w:val="continue"/>
            <w:vAlign w:val="center"/>
          </w:tcPr>
          <w:p>
            <w:pPr>
              <w:jc w:val="center"/>
              <w:rPr>
                <w:rFonts w:ascii="仿宋" w:hAnsi="仿宋" w:eastAsia="仿宋" w:cs="仿宋"/>
                <w:color w:val="000000"/>
                <w:highlight w:val="none"/>
              </w:rPr>
            </w:pPr>
          </w:p>
        </w:tc>
        <w:tc>
          <w:tcPr>
            <w:tcW w:w="221" w:type="pct"/>
            <w:vMerge w:val="continue"/>
            <w:vAlign w:val="center"/>
          </w:tcPr>
          <w:p>
            <w:pPr>
              <w:jc w:val="center"/>
              <w:rPr>
                <w:rFonts w:ascii="仿宋" w:hAnsi="仿宋" w:eastAsia="仿宋" w:cs="仿宋"/>
                <w:color w:val="000000"/>
                <w:highlight w:val="none"/>
              </w:rPr>
            </w:pPr>
          </w:p>
        </w:tc>
        <w:tc>
          <w:tcPr>
            <w:tcW w:w="221"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15</w:t>
            </w:r>
          </w:p>
        </w:tc>
        <w:tc>
          <w:tcPr>
            <w:tcW w:w="890" w:type="pct"/>
            <w:gridSpan w:val="2"/>
            <w:vAlign w:val="center"/>
          </w:tcPr>
          <w:p>
            <w:pPr>
              <w:rPr>
                <w:rFonts w:ascii="仿宋" w:hAnsi="仿宋" w:eastAsia="仿宋" w:cs="仿宋"/>
                <w:color w:val="000000"/>
                <w:highlight w:val="none"/>
              </w:rPr>
            </w:pPr>
            <w:r>
              <w:rPr>
                <w:rFonts w:hint="eastAsia" w:ascii="仿宋" w:hAnsi="仿宋" w:eastAsia="仿宋" w:cs="仿宋"/>
                <w:color w:val="000000"/>
                <w:highlight w:val="none"/>
              </w:rPr>
              <w:t>突发环境事件应急管理机制</w:t>
            </w:r>
          </w:p>
        </w:tc>
        <w:tc>
          <w:tcPr>
            <w:tcW w:w="233"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w:t>
            </w:r>
          </w:p>
        </w:tc>
        <w:tc>
          <w:tcPr>
            <w:tcW w:w="57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建立</w:t>
            </w:r>
          </w:p>
        </w:tc>
        <w:tc>
          <w:tcPr>
            <w:tcW w:w="26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约束性</w:t>
            </w:r>
          </w:p>
        </w:tc>
        <w:tc>
          <w:tcPr>
            <w:tcW w:w="473"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建立</w:t>
            </w:r>
          </w:p>
        </w:tc>
        <w:tc>
          <w:tcPr>
            <w:tcW w:w="462"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建立</w:t>
            </w:r>
          </w:p>
        </w:tc>
        <w:tc>
          <w:tcPr>
            <w:tcW w:w="447"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建立</w:t>
            </w:r>
          </w:p>
        </w:tc>
        <w:tc>
          <w:tcPr>
            <w:tcW w:w="25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达标</w:t>
            </w:r>
          </w:p>
        </w:tc>
        <w:tc>
          <w:tcPr>
            <w:tcW w:w="374"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建立</w:t>
            </w:r>
          </w:p>
        </w:tc>
        <w:tc>
          <w:tcPr>
            <w:tcW w:w="372"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建立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209" w:type="pct"/>
            <w:vMerge w:val="restar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生态空间</w:t>
            </w:r>
          </w:p>
        </w:tc>
        <w:tc>
          <w:tcPr>
            <w:tcW w:w="221" w:type="pct"/>
            <w:vMerge w:val="restar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空间格局优化</w:t>
            </w:r>
          </w:p>
        </w:tc>
        <w:tc>
          <w:tcPr>
            <w:tcW w:w="221" w:type="pct"/>
            <w:vMerge w:val="restar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16</w:t>
            </w:r>
          </w:p>
        </w:tc>
        <w:tc>
          <w:tcPr>
            <w:tcW w:w="256" w:type="pct"/>
            <w:vMerge w:val="restart"/>
            <w:vAlign w:val="center"/>
          </w:tcPr>
          <w:p>
            <w:pPr>
              <w:rPr>
                <w:rFonts w:ascii="仿宋" w:hAnsi="仿宋" w:eastAsia="仿宋" w:cs="仿宋"/>
                <w:color w:val="000000"/>
                <w:highlight w:val="none"/>
              </w:rPr>
            </w:pPr>
            <w:r>
              <w:rPr>
                <w:rFonts w:hint="eastAsia" w:ascii="仿宋" w:hAnsi="仿宋" w:eastAsia="仿宋" w:cs="仿宋"/>
                <w:color w:val="000000"/>
                <w:highlight w:val="none"/>
              </w:rPr>
              <w:t>自然生态空间</w:t>
            </w:r>
          </w:p>
        </w:tc>
        <w:tc>
          <w:tcPr>
            <w:tcW w:w="634" w:type="pct"/>
            <w:vAlign w:val="center"/>
          </w:tcPr>
          <w:p>
            <w:pPr>
              <w:rPr>
                <w:rFonts w:ascii="仿宋" w:hAnsi="仿宋" w:eastAsia="仿宋" w:cs="仿宋"/>
                <w:color w:val="000000"/>
                <w:highlight w:val="none"/>
              </w:rPr>
            </w:pPr>
            <w:r>
              <w:rPr>
                <w:rFonts w:hint="eastAsia" w:ascii="仿宋" w:hAnsi="仿宋" w:eastAsia="仿宋" w:cs="仿宋"/>
                <w:color w:val="000000"/>
                <w:highlight w:val="none"/>
              </w:rPr>
              <w:t>生态保护红线</w:t>
            </w:r>
          </w:p>
        </w:tc>
        <w:tc>
          <w:tcPr>
            <w:tcW w:w="233"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w:t>
            </w:r>
          </w:p>
        </w:tc>
        <w:tc>
          <w:tcPr>
            <w:tcW w:w="575" w:type="pct"/>
            <w:vMerge w:val="restar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面积不减少，性质不改变，功能不降低</w:t>
            </w:r>
          </w:p>
        </w:tc>
        <w:tc>
          <w:tcPr>
            <w:tcW w:w="265" w:type="pct"/>
            <w:vMerge w:val="restar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约束性</w:t>
            </w:r>
          </w:p>
        </w:tc>
        <w:tc>
          <w:tcPr>
            <w:tcW w:w="473"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面积不减少，性质不改变，功能不降低</w:t>
            </w:r>
          </w:p>
        </w:tc>
        <w:tc>
          <w:tcPr>
            <w:tcW w:w="462"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面积不减少，性质不改变，功能不降低</w:t>
            </w:r>
          </w:p>
        </w:tc>
        <w:tc>
          <w:tcPr>
            <w:tcW w:w="447"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面积不减少，性质不改变，功能不降低</w:t>
            </w:r>
          </w:p>
        </w:tc>
        <w:tc>
          <w:tcPr>
            <w:tcW w:w="255" w:type="pct"/>
            <w:vMerge w:val="restar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达标</w:t>
            </w:r>
          </w:p>
        </w:tc>
        <w:tc>
          <w:tcPr>
            <w:tcW w:w="374" w:type="pct"/>
            <w:vMerge w:val="restart"/>
            <w:vAlign w:val="center"/>
          </w:tcPr>
          <w:p>
            <w:pPr>
              <w:jc w:val="center"/>
              <w:rPr>
                <w:rFonts w:ascii="仿宋" w:hAnsi="仿宋" w:eastAsia="仿宋" w:cs="仿宋"/>
                <w:color w:val="000000"/>
                <w:highlight w:val="none"/>
              </w:rPr>
            </w:pPr>
          </w:p>
          <w:p>
            <w:pPr>
              <w:jc w:val="center"/>
              <w:rPr>
                <w:rFonts w:ascii="仿宋" w:hAnsi="仿宋" w:eastAsia="仿宋" w:cs="仿宋"/>
                <w:color w:val="000000"/>
                <w:highlight w:val="none"/>
              </w:rPr>
            </w:pPr>
            <w:r>
              <w:rPr>
                <w:rFonts w:hint="eastAsia" w:ascii="仿宋" w:hAnsi="仿宋" w:eastAsia="仿宋" w:cs="仿宋"/>
                <w:color w:val="000000"/>
                <w:highlight w:val="none"/>
              </w:rPr>
              <w:t>面积不减少，性质不改变，功能不降低</w:t>
            </w:r>
          </w:p>
        </w:tc>
        <w:tc>
          <w:tcPr>
            <w:tcW w:w="372" w:type="pct"/>
            <w:vMerge w:val="restart"/>
            <w:vAlign w:val="center"/>
          </w:tcPr>
          <w:p>
            <w:pPr>
              <w:jc w:val="center"/>
              <w:rPr>
                <w:rFonts w:ascii="仿宋" w:hAnsi="仿宋" w:eastAsia="仿宋" w:cs="仿宋"/>
                <w:color w:val="000000"/>
                <w:highlight w:val="none"/>
              </w:rPr>
            </w:pPr>
          </w:p>
          <w:p>
            <w:pPr>
              <w:jc w:val="center"/>
              <w:rPr>
                <w:rFonts w:ascii="仿宋" w:hAnsi="仿宋" w:eastAsia="仿宋" w:cs="仿宋"/>
                <w:color w:val="000000"/>
                <w:highlight w:val="none"/>
              </w:rPr>
            </w:pPr>
            <w:r>
              <w:rPr>
                <w:rFonts w:hint="eastAsia" w:ascii="仿宋" w:hAnsi="仿宋" w:eastAsia="仿宋" w:cs="仿宋"/>
                <w:color w:val="000000"/>
                <w:highlight w:val="none"/>
              </w:rPr>
              <w:t>面积不减少，性质不改变，功能不降低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209" w:type="pct"/>
            <w:vMerge w:val="continue"/>
            <w:vAlign w:val="center"/>
          </w:tcPr>
          <w:p>
            <w:pPr>
              <w:jc w:val="center"/>
              <w:rPr>
                <w:rFonts w:ascii="仿宋" w:hAnsi="仿宋" w:eastAsia="仿宋" w:cs="仿宋"/>
                <w:color w:val="000000"/>
                <w:highlight w:val="none"/>
              </w:rPr>
            </w:pPr>
          </w:p>
        </w:tc>
        <w:tc>
          <w:tcPr>
            <w:tcW w:w="221" w:type="pct"/>
            <w:vMerge w:val="continue"/>
            <w:vAlign w:val="center"/>
          </w:tcPr>
          <w:p>
            <w:pPr>
              <w:jc w:val="center"/>
              <w:rPr>
                <w:rFonts w:ascii="仿宋" w:hAnsi="仿宋" w:eastAsia="仿宋" w:cs="仿宋"/>
                <w:color w:val="000000"/>
                <w:highlight w:val="none"/>
              </w:rPr>
            </w:pPr>
          </w:p>
        </w:tc>
        <w:tc>
          <w:tcPr>
            <w:tcW w:w="221" w:type="pct"/>
            <w:vMerge w:val="continue"/>
            <w:vAlign w:val="center"/>
          </w:tcPr>
          <w:p>
            <w:pPr>
              <w:jc w:val="center"/>
              <w:rPr>
                <w:rFonts w:ascii="仿宋" w:hAnsi="仿宋" w:eastAsia="仿宋" w:cs="仿宋"/>
                <w:color w:val="000000"/>
                <w:highlight w:val="none"/>
              </w:rPr>
            </w:pPr>
          </w:p>
        </w:tc>
        <w:tc>
          <w:tcPr>
            <w:tcW w:w="256" w:type="pct"/>
            <w:vMerge w:val="continue"/>
            <w:vAlign w:val="center"/>
          </w:tcPr>
          <w:p>
            <w:pPr>
              <w:rPr>
                <w:rFonts w:ascii="仿宋" w:hAnsi="仿宋" w:eastAsia="仿宋" w:cs="仿宋"/>
                <w:color w:val="000000"/>
                <w:highlight w:val="none"/>
              </w:rPr>
            </w:pPr>
          </w:p>
        </w:tc>
        <w:tc>
          <w:tcPr>
            <w:tcW w:w="634" w:type="pct"/>
            <w:vAlign w:val="center"/>
          </w:tcPr>
          <w:p>
            <w:pPr>
              <w:rPr>
                <w:rFonts w:ascii="仿宋" w:hAnsi="仿宋" w:eastAsia="仿宋" w:cs="仿宋"/>
                <w:color w:val="000000"/>
                <w:highlight w:val="none"/>
              </w:rPr>
            </w:pPr>
            <w:r>
              <w:rPr>
                <w:rFonts w:hint="eastAsia" w:ascii="仿宋" w:hAnsi="仿宋" w:eastAsia="仿宋" w:cs="仿宋"/>
                <w:color w:val="000000"/>
                <w:highlight w:val="none"/>
              </w:rPr>
              <w:t>自然保护地</w:t>
            </w:r>
          </w:p>
        </w:tc>
        <w:tc>
          <w:tcPr>
            <w:tcW w:w="233"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w:t>
            </w:r>
          </w:p>
        </w:tc>
        <w:tc>
          <w:tcPr>
            <w:tcW w:w="575" w:type="pct"/>
            <w:vMerge w:val="continue"/>
            <w:vAlign w:val="center"/>
          </w:tcPr>
          <w:p>
            <w:pPr>
              <w:rPr>
                <w:rFonts w:ascii="仿宋" w:hAnsi="仿宋" w:eastAsia="仿宋" w:cs="仿宋"/>
                <w:color w:val="000000"/>
                <w:highlight w:val="none"/>
              </w:rPr>
            </w:pPr>
          </w:p>
        </w:tc>
        <w:tc>
          <w:tcPr>
            <w:tcW w:w="265" w:type="pct"/>
            <w:vMerge w:val="continue"/>
            <w:vAlign w:val="center"/>
          </w:tcPr>
          <w:p>
            <w:pPr>
              <w:jc w:val="center"/>
              <w:rPr>
                <w:rFonts w:ascii="仿宋" w:hAnsi="仿宋" w:eastAsia="仿宋" w:cs="仿宋"/>
                <w:color w:val="000000"/>
                <w:highlight w:val="none"/>
              </w:rPr>
            </w:pPr>
          </w:p>
        </w:tc>
        <w:tc>
          <w:tcPr>
            <w:tcW w:w="473"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面积不减少，性质不改变，功能不降低</w:t>
            </w:r>
          </w:p>
        </w:tc>
        <w:tc>
          <w:tcPr>
            <w:tcW w:w="462"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面积不减少，性质不改变，功能不降低</w:t>
            </w:r>
          </w:p>
        </w:tc>
        <w:tc>
          <w:tcPr>
            <w:tcW w:w="447"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面积不减少，性质不改变，功能不降低</w:t>
            </w:r>
          </w:p>
        </w:tc>
        <w:tc>
          <w:tcPr>
            <w:tcW w:w="255" w:type="pct"/>
            <w:vMerge w:val="continue"/>
            <w:vAlign w:val="center"/>
          </w:tcPr>
          <w:p>
            <w:pPr>
              <w:jc w:val="center"/>
              <w:rPr>
                <w:rFonts w:ascii="仿宋" w:hAnsi="仿宋" w:eastAsia="仿宋" w:cs="仿宋"/>
                <w:color w:val="000000"/>
                <w:highlight w:val="none"/>
              </w:rPr>
            </w:pPr>
          </w:p>
        </w:tc>
        <w:tc>
          <w:tcPr>
            <w:tcW w:w="374" w:type="pct"/>
            <w:vMerge w:val="continue"/>
            <w:vAlign w:val="center"/>
          </w:tcPr>
          <w:p>
            <w:pPr>
              <w:jc w:val="center"/>
              <w:rPr>
                <w:rFonts w:ascii="仿宋" w:hAnsi="仿宋" w:eastAsia="仿宋" w:cs="仿宋"/>
                <w:color w:val="000000"/>
                <w:highlight w:val="none"/>
              </w:rPr>
            </w:pPr>
          </w:p>
        </w:tc>
        <w:tc>
          <w:tcPr>
            <w:tcW w:w="372" w:type="pct"/>
            <w:vMerge w:val="continue"/>
            <w:vAlign w:val="center"/>
          </w:tcPr>
          <w:p>
            <w:pPr>
              <w:jc w:val="center"/>
              <w:rPr>
                <w:rFonts w:ascii="仿宋" w:hAnsi="仿宋" w:eastAsia="仿宋" w:cs="仿宋"/>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209" w:type="pct"/>
            <w:vMerge w:val="continue"/>
            <w:vAlign w:val="center"/>
          </w:tcPr>
          <w:p>
            <w:pPr>
              <w:jc w:val="center"/>
              <w:rPr>
                <w:rFonts w:ascii="仿宋" w:hAnsi="仿宋" w:eastAsia="仿宋" w:cs="仿宋"/>
                <w:color w:val="000000"/>
                <w:highlight w:val="none"/>
              </w:rPr>
            </w:pPr>
          </w:p>
        </w:tc>
        <w:tc>
          <w:tcPr>
            <w:tcW w:w="221" w:type="pct"/>
            <w:vMerge w:val="continue"/>
            <w:vAlign w:val="center"/>
          </w:tcPr>
          <w:p>
            <w:pPr>
              <w:jc w:val="center"/>
              <w:rPr>
                <w:rFonts w:ascii="仿宋" w:hAnsi="仿宋" w:eastAsia="仿宋" w:cs="仿宋"/>
                <w:color w:val="000000"/>
                <w:highlight w:val="none"/>
              </w:rPr>
            </w:pPr>
          </w:p>
        </w:tc>
        <w:tc>
          <w:tcPr>
            <w:tcW w:w="221"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17</w:t>
            </w:r>
          </w:p>
        </w:tc>
        <w:tc>
          <w:tcPr>
            <w:tcW w:w="890" w:type="pct"/>
            <w:gridSpan w:val="2"/>
            <w:vAlign w:val="center"/>
          </w:tcPr>
          <w:p>
            <w:pPr>
              <w:rPr>
                <w:rFonts w:ascii="仿宋" w:hAnsi="仿宋" w:eastAsia="仿宋" w:cs="仿宋"/>
                <w:color w:val="000000"/>
                <w:highlight w:val="none"/>
              </w:rPr>
            </w:pPr>
            <w:r>
              <w:rPr>
                <w:rFonts w:hint="eastAsia" w:ascii="仿宋" w:hAnsi="仿宋" w:eastAsia="仿宋" w:cs="仿宋"/>
                <w:color w:val="000000"/>
                <w:highlight w:val="none"/>
              </w:rPr>
              <w:t>河湖岸线保有率</w:t>
            </w:r>
          </w:p>
        </w:tc>
        <w:tc>
          <w:tcPr>
            <w:tcW w:w="233"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w:t>
            </w:r>
          </w:p>
        </w:tc>
        <w:tc>
          <w:tcPr>
            <w:tcW w:w="57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完成上级管控目标</w:t>
            </w:r>
          </w:p>
        </w:tc>
        <w:tc>
          <w:tcPr>
            <w:tcW w:w="26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参考性</w:t>
            </w:r>
          </w:p>
        </w:tc>
        <w:tc>
          <w:tcPr>
            <w:tcW w:w="473"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完成上级管控目标</w:t>
            </w:r>
          </w:p>
        </w:tc>
        <w:tc>
          <w:tcPr>
            <w:tcW w:w="462"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完成上级管控目标</w:t>
            </w:r>
          </w:p>
        </w:tc>
        <w:tc>
          <w:tcPr>
            <w:tcW w:w="447"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完成上级管控目标</w:t>
            </w:r>
          </w:p>
        </w:tc>
        <w:tc>
          <w:tcPr>
            <w:tcW w:w="25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达标</w:t>
            </w:r>
          </w:p>
        </w:tc>
        <w:tc>
          <w:tcPr>
            <w:tcW w:w="374"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完成上级管控目标</w:t>
            </w:r>
          </w:p>
        </w:tc>
        <w:tc>
          <w:tcPr>
            <w:tcW w:w="372"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完成上级管控目标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209" w:type="pct"/>
            <w:vMerge w:val="restar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生态经济</w:t>
            </w:r>
          </w:p>
        </w:tc>
        <w:tc>
          <w:tcPr>
            <w:tcW w:w="221" w:type="pct"/>
            <w:vMerge w:val="restar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资源节约与利用</w:t>
            </w:r>
          </w:p>
        </w:tc>
        <w:tc>
          <w:tcPr>
            <w:tcW w:w="221"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18</w:t>
            </w:r>
          </w:p>
        </w:tc>
        <w:tc>
          <w:tcPr>
            <w:tcW w:w="890" w:type="pct"/>
            <w:gridSpan w:val="2"/>
            <w:vAlign w:val="center"/>
          </w:tcPr>
          <w:p>
            <w:pPr>
              <w:rPr>
                <w:rFonts w:ascii="仿宋" w:hAnsi="仿宋" w:eastAsia="仿宋" w:cs="仿宋"/>
                <w:color w:val="000000"/>
                <w:highlight w:val="none"/>
              </w:rPr>
            </w:pPr>
            <w:r>
              <w:rPr>
                <w:rFonts w:hint="eastAsia" w:ascii="仿宋" w:hAnsi="仿宋" w:eastAsia="仿宋" w:cs="仿宋"/>
                <w:color w:val="000000"/>
                <w:highlight w:val="none"/>
              </w:rPr>
              <w:t>单位地区生产总值能耗</w:t>
            </w:r>
          </w:p>
        </w:tc>
        <w:tc>
          <w:tcPr>
            <w:tcW w:w="233"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吨标准煤/万元</w:t>
            </w:r>
          </w:p>
        </w:tc>
        <w:tc>
          <w:tcPr>
            <w:tcW w:w="57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完成上级规定的目标任务；保持稳定或持续改善</w:t>
            </w:r>
          </w:p>
        </w:tc>
        <w:tc>
          <w:tcPr>
            <w:tcW w:w="26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约束性</w:t>
            </w:r>
          </w:p>
        </w:tc>
        <w:tc>
          <w:tcPr>
            <w:tcW w:w="473"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单位GDP能耗下降率为2.98%</w:t>
            </w:r>
          </w:p>
        </w:tc>
        <w:tc>
          <w:tcPr>
            <w:tcW w:w="462"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单位GDP能耗下降率为4.14%</w:t>
            </w:r>
          </w:p>
        </w:tc>
        <w:tc>
          <w:tcPr>
            <w:tcW w:w="447"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单位GDP能耗下降率为8.76</w:t>
            </w:r>
          </w:p>
        </w:tc>
        <w:tc>
          <w:tcPr>
            <w:tcW w:w="25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达标</w:t>
            </w:r>
          </w:p>
        </w:tc>
        <w:tc>
          <w:tcPr>
            <w:tcW w:w="374" w:type="pct"/>
            <w:vAlign w:val="center"/>
          </w:tcPr>
          <w:p>
            <w:pPr>
              <w:jc w:val="center"/>
              <w:rPr>
                <w:rFonts w:ascii="仿宋" w:hAnsi="仿宋" w:eastAsia="仿宋" w:cs="仿宋"/>
                <w:color w:val="000000"/>
                <w:highlight w:val="none"/>
              </w:rPr>
            </w:pPr>
            <w:r>
              <w:rPr>
                <w:rFonts w:hint="eastAsia" w:ascii="仿宋" w:hAnsi="仿宋" w:eastAsia="仿宋" w:cs="Times New Roman"/>
                <w:highlight w:val="none"/>
                <w14:ligatures w14:val="none"/>
              </w:rPr>
              <w:t>完成上级</w:t>
            </w:r>
            <w:r>
              <w:rPr>
                <w:rFonts w:ascii="仿宋" w:hAnsi="仿宋" w:eastAsia="仿宋" w:cs="Times New Roman"/>
                <w:highlight w:val="none"/>
                <w14:ligatures w14:val="none"/>
              </w:rPr>
              <w:t>管控目标</w:t>
            </w:r>
          </w:p>
        </w:tc>
        <w:tc>
          <w:tcPr>
            <w:tcW w:w="372" w:type="pct"/>
            <w:vAlign w:val="center"/>
          </w:tcPr>
          <w:p>
            <w:pPr>
              <w:jc w:val="center"/>
              <w:rPr>
                <w:rFonts w:ascii="仿宋" w:hAnsi="仿宋" w:eastAsia="仿宋" w:cs="仿宋"/>
                <w:color w:val="000000"/>
                <w:highlight w:val="none"/>
              </w:rPr>
            </w:pPr>
            <w:r>
              <w:rPr>
                <w:rFonts w:hint="eastAsia" w:ascii="仿宋" w:hAnsi="仿宋" w:eastAsia="仿宋" w:cs="Times New Roman"/>
                <w:highlight w:val="none"/>
                <w14:ligatures w14:val="none"/>
              </w:rPr>
              <w:t>完成上级</w:t>
            </w:r>
            <w:r>
              <w:rPr>
                <w:rFonts w:ascii="仿宋" w:hAnsi="仿宋" w:eastAsia="仿宋" w:cs="Times New Roman"/>
                <w:highlight w:val="none"/>
                <w14:ligatures w14:val="none"/>
              </w:rPr>
              <w:t>管控目标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209" w:type="pct"/>
            <w:vMerge w:val="continue"/>
            <w:vAlign w:val="center"/>
          </w:tcPr>
          <w:p>
            <w:pPr>
              <w:jc w:val="center"/>
              <w:rPr>
                <w:rFonts w:ascii="仿宋" w:hAnsi="仿宋" w:eastAsia="仿宋" w:cs="仿宋"/>
                <w:color w:val="000000"/>
                <w:highlight w:val="none"/>
              </w:rPr>
            </w:pPr>
          </w:p>
        </w:tc>
        <w:tc>
          <w:tcPr>
            <w:tcW w:w="221" w:type="pct"/>
            <w:vMerge w:val="continue"/>
            <w:vAlign w:val="center"/>
          </w:tcPr>
          <w:p>
            <w:pPr>
              <w:jc w:val="center"/>
              <w:rPr>
                <w:rFonts w:ascii="仿宋" w:hAnsi="仿宋" w:eastAsia="仿宋" w:cs="仿宋"/>
                <w:color w:val="000000"/>
                <w:highlight w:val="none"/>
              </w:rPr>
            </w:pPr>
          </w:p>
        </w:tc>
        <w:tc>
          <w:tcPr>
            <w:tcW w:w="221"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19</w:t>
            </w:r>
          </w:p>
        </w:tc>
        <w:tc>
          <w:tcPr>
            <w:tcW w:w="890" w:type="pct"/>
            <w:gridSpan w:val="2"/>
            <w:vAlign w:val="center"/>
          </w:tcPr>
          <w:p>
            <w:pPr>
              <w:rPr>
                <w:rFonts w:ascii="仿宋" w:hAnsi="仿宋" w:eastAsia="仿宋" w:cs="仿宋"/>
                <w:color w:val="000000"/>
                <w:highlight w:val="none"/>
              </w:rPr>
            </w:pPr>
            <w:r>
              <w:rPr>
                <w:rFonts w:hint="eastAsia" w:ascii="仿宋" w:hAnsi="仿宋" w:eastAsia="仿宋" w:cs="仿宋"/>
                <w:color w:val="000000"/>
                <w:highlight w:val="none"/>
              </w:rPr>
              <w:t>单位地区生产总值用水量</w:t>
            </w:r>
          </w:p>
        </w:tc>
        <w:tc>
          <w:tcPr>
            <w:tcW w:w="233"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立方米/万元</w:t>
            </w:r>
          </w:p>
        </w:tc>
        <w:tc>
          <w:tcPr>
            <w:tcW w:w="57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完成上级规定的目标任务；保持稳定或持续改善</w:t>
            </w:r>
          </w:p>
        </w:tc>
        <w:tc>
          <w:tcPr>
            <w:tcW w:w="26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约束性</w:t>
            </w:r>
          </w:p>
        </w:tc>
        <w:tc>
          <w:tcPr>
            <w:tcW w:w="473" w:type="pct"/>
            <w:vAlign w:val="center"/>
          </w:tcPr>
          <w:p>
            <w:pPr>
              <w:jc w:val="center"/>
              <w:rPr>
                <w:rFonts w:hint="default" w:ascii="仿宋" w:hAnsi="仿宋" w:eastAsia="仿宋" w:cs="仿宋"/>
                <w:color w:val="000000"/>
                <w:highlight w:val="none"/>
                <w:lang w:val="en-US" w:eastAsia="zh-CN"/>
              </w:rPr>
            </w:pPr>
            <w:r>
              <w:rPr>
                <w:rFonts w:hint="eastAsia" w:ascii="仿宋" w:hAnsi="仿宋" w:eastAsia="仿宋" w:cs="仿宋"/>
                <w:color w:val="000000"/>
                <w:highlight w:val="none"/>
              </w:rPr>
              <w:t>4</w:t>
            </w:r>
            <w:r>
              <w:rPr>
                <w:rFonts w:hint="eastAsia" w:ascii="仿宋" w:hAnsi="仿宋" w:eastAsia="仿宋" w:cs="仿宋"/>
                <w:color w:val="000000"/>
                <w:highlight w:val="none"/>
                <w:lang w:val="en-US" w:eastAsia="zh-CN"/>
              </w:rPr>
              <w:t>8.07</w:t>
            </w:r>
          </w:p>
        </w:tc>
        <w:tc>
          <w:tcPr>
            <w:tcW w:w="462"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44.72</w:t>
            </w:r>
          </w:p>
        </w:tc>
        <w:tc>
          <w:tcPr>
            <w:tcW w:w="447"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42.11</w:t>
            </w:r>
          </w:p>
        </w:tc>
        <w:tc>
          <w:tcPr>
            <w:tcW w:w="25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达标</w:t>
            </w:r>
          </w:p>
        </w:tc>
        <w:tc>
          <w:tcPr>
            <w:tcW w:w="374" w:type="pct"/>
            <w:vAlign w:val="center"/>
          </w:tcPr>
          <w:p>
            <w:pPr>
              <w:jc w:val="center"/>
              <w:rPr>
                <w:rFonts w:ascii="仿宋" w:hAnsi="仿宋" w:eastAsia="仿宋" w:cs="仿宋"/>
                <w:color w:val="000000"/>
                <w:highlight w:val="none"/>
              </w:rPr>
            </w:pPr>
            <w:r>
              <w:rPr>
                <w:rFonts w:hint="eastAsia" w:ascii="仿宋" w:hAnsi="仿宋" w:eastAsia="仿宋" w:cs="Times New Roman"/>
                <w:highlight w:val="none"/>
                <w14:ligatures w14:val="none"/>
              </w:rPr>
              <w:t>完成上级</w:t>
            </w:r>
            <w:r>
              <w:rPr>
                <w:rFonts w:ascii="仿宋" w:hAnsi="仿宋" w:eastAsia="仿宋" w:cs="Times New Roman"/>
                <w:highlight w:val="none"/>
                <w14:ligatures w14:val="none"/>
              </w:rPr>
              <w:t>管控目标</w:t>
            </w:r>
          </w:p>
        </w:tc>
        <w:tc>
          <w:tcPr>
            <w:tcW w:w="372" w:type="pct"/>
            <w:vAlign w:val="center"/>
          </w:tcPr>
          <w:p>
            <w:pPr>
              <w:jc w:val="center"/>
              <w:rPr>
                <w:rFonts w:ascii="仿宋" w:hAnsi="仿宋" w:eastAsia="仿宋" w:cs="仿宋"/>
                <w:color w:val="000000"/>
                <w:highlight w:val="none"/>
              </w:rPr>
            </w:pPr>
            <w:r>
              <w:rPr>
                <w:rFonts w:hint="eastAsia" w:ascii="仿宋" w:hAnsi="仿宋" w:eastAsia="仿宋" w:cs="Times New Roman"/>
                <w:highlight w:val="none"/>
                <w14:ligatures w14:val="none"/>
              </w:rPr>
              <w:t>完成上级</w:t>
            </w:r>
            <w:r>
              <w:rPr>
                <w:rFonts w:ascii="仿宋" w:hAnsi="仿宋" w:eastAsia="仿宋" w:cs="Times New Roman"/>
                <w:highlight w:val="none"/>
                <w14:ligatures w14:val="none"/>
              </w:rPr>
              <w:t>管控目标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209" w:type="pct"/>
            <w:vMerge w:val="continue"/>
            <w:vAlign w:val="center"/>
          </w:tcPr>
          <w:p>
            <w:pPr>
              <w:jc w:val="center"/>
              <w:rPr>
                <w:rFonts w:ascii="仿宋" w:hAnsi="仿宋" w:eastAsia="仿宋" w:cs="仿宋"/>
                <w:color w:val="000000"/>
                <w:highlight w:val="none"/>
              </w:rPr>
            </w:pPr>
          </w:p>
        </w:tc>
        <w:tc>
          <w:tcPr>
            <w:tcW w:w="221" w:type="pct"/>
            <w:vMerge w:val="continue"/>
            <w:vAlign w:val="center"/>
          </w:tcPr>
          <w:p>
            <w:pPr>
              <w:jc w:val="center"/>
              <w:rPr>
                <w:rFonts w:ascii="仿宋" w:hAnsi="仿宋" w:eastAsia="仿宋" w:cs="仿宋"/>
                <w:color w:val="000000"/>
                <w:highlight w:val="none"/>
              </w:rPr>
            </w:pPr>
          </w:p>
        </w:tc>
        <w:tc>
          <w:tcPr>
            <w:tcW w:w="221"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20</w:t>
            </w:r>
          </w:p>
        </w:tc>
        <w:tc>
          <w:tcPr>
            <w:tcW w:w="890" w:type="pct"/>
            <w:gridSpan w:val="2"/>
            <w:vAlign w:val="center"/>
          </w:tcPr>
          <w:p>
            <w:pPr>
              <w:rPr>
                <w:rFonts w:ascii="仿宋" w:hAnsi="仿宋" w:eastAsia="仿宋" w:cs="仿宋"/>
                <w:color w:val="000000"/>
                <w:highlight w:val="none"/>
              </w:rPr>
            </w:pPr>
            <w:r>
              <w:rPr>
                <w:rFonts w:hint="eastAsia" w:ascii="仿宋" w:hAnsi="仿宋" w:eastAsia="仿宋" w:cs="仿宋"/>
                <w:color w:val="000000"/>
                <w:highlight w:val="none"/>
              </w:rPr>
              <w:t>单位国内生产总值建设用地使用面积下降率</w:t>
            </w:r>
          </w:p>
        </w:tc>
        <w:tc>
          <w:tcPr>
            <w:tcW w:w="233"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w:t>
            </w:r>
          </w:p>
        </w:tc>
        <w:tc>
          <w:tcPr>
            <w:tcW w:w="57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完成上级规定的目标任务</w:t>
            </w:r>
          </w:p>
        </w:tc>
        <w:tc>
          <w:tcPr>
            <w:tcW w:w="26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参考性</w:t>
            </w:r>
          </w:p>
        </w:tc>
        <w:tc>
          <w:tcPr>
            <w:tcW w:w="473"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3.99</w:t>
            </w:r>
          </w:p>
        </w:tc>
        <w:tc>
          <w:tcPr>
            <w:tcW w:w="462"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8.75</w:t>
            </w:r>
          </w:p>
        </w:tc>
        <w:tc>
          <w:tcPr>
            <w:tcW w:w="447" w:type="pct"/>
            <w:vAlign w:val="center"/>
          </w:tcPr>
          <w:p>
            <w:pPr>
              <w:jc w:val="center"/>
              <w:rPr>
                <w:rFonts w:ascii="仿宋" w:hAnsi="仿宋" w:eastAsia="仿宋" w:cs="仿宋"/>
                <w:color w:val="000000"/>
                <w:highlight w:val="none"/>
              </w:rPr>
            </w:pPr>
            <w:r>
              <w:rPr>
                <w:rFonts w:hint="eastAsia" w:ascii="仿宋" w:hAnsi="仿宋" w:eastAsia="仿宋" w:cs="仿宋"/>
                <w:highlight w:val="none"/>
                <w14:ligatures w14:val="none"/>
              </w:rPr>
              <w:t>成果数据国家暂未反馈</w:t>
            </w:r>
          </w:p>
        </w:tc>
        <w:tc>
          <w:tcPr>
            <w:tcW w:w="25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达标</w:t>
            </w:r>
          </w:p>
        </w:tc>
        <w:tc>
          <w:tcPr>
            <w:tcW w:w="1156" w:type="dxa"/>
            <w:vAlign w:val="center"/>
          </w:tcPr>
          <w:p>
            <w:pPr>
              <w:widowControl w:val="0"/>
              <w:spacing w:after="0"/>
              <w:jc w:val="both"/>
              <w:rPr>
                <w:rFonts w:ascii="仿宋" w:hAnsi="仿宋" w:eastAsia="仿宋" w:cs="仿宋"/>
                <w:color w:val="000000"/>
                <w:highlight w:val="none"/>
              </w:rPr>
            </w:pPr>
            <w:r>
              <w:rPr>
                <w:rFonts w:ascii="仿宋" w:hAnsi="仿宋" w:eastAsia="仿宋" w:cs="Times New Roman"/>
                <w:highlight w:val="none"/>
                <w14:ligatures w14:val="none"/>
              </w:rPr>
              <w:t>保持稳定或持续改善</w:t>
            </w:r>
          </w:p>
        </w:tc>
        <w:tc>
          <w:tcPr>
            <w:tcW w:w="1150" w:type="dxa"/>
            <w:vAlign w:val="center"/>
          </w:tcPr>
          <w:p>
            <w:pPr>
              <w:widowControl w:val="0"/>
              <w:spacing w:after="0"/>
              <w:jc w:val="both"/>
              <w:rPr>
                <w:rFonts w:ascii="仿宋" w:hAnsi="仿宋" w:eastAsia="仿宋" w:cs="仿宋"/>
                <w:color w:val="000000"/>
                <w:highlight w:val="none"/>
              </w:rPr>
            </w:pPr>
            <w:r>
              <w:rPr>
                <w:rFonts w:ascii="仿宋" w:hAnsi="仿宋" w:eastAsia="仿宋" w:cs="Times New Roman"/>
                <w:highlight w:val="none"/>
                <w14:ligatures w14:val="none"/>
              </w:rPr>
              <w:t>保持稳定或持续改善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209" w:type="pct"/>
            <w:vMerge w:val="continue"/>
            <w:vAlign w:val="center"/>
          </w:tcPr>
          <w:p>
            <w:pPr>
              <w:jc w:val="center"/>
              <w:rPr>
                <w:rFonts w:ascii="仿宋" w:hAnsi="仿宋" w:eastAsia="仿宋" w:cs="仿宋"/>
                <w:color w:val="000000"/>
                <w:highlight w:val="none"/>
              </w:rPr>
            </w:pPr>
          </w:p>
        </w:tc>
        <w:tc>
          <w:tcPr>
            <w:tcW w:w="221" w:type="pct"/>
            <w:vMerge w:val="continue"/>
            <w:vAlign w:val="center"/>
          </w:tcPr>
          <w:p>
            <w:pPr>
              <w:jc w:val="center"/>
              <w:rPr>
                <w:rFonts w:ascii="仿宋" w:hAnsi="仿宋" w:eastAsia="仿宋" w:cs="仿宋"/>
                <w:color w:val="000000"/>
                <w:highlight w:val="none"/>
              </w:rPr>
            </w:pPr>
          </w:p>
        </w:tc>
        <w:tc>
          <w:tcPr>
            <w:tcW w:w="221"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21</w:t>
            </w:r>
          </w:p>
        </w:tc>
        <w:tc>
          <w:tcPr>
            <w:tcW w:w="890" w:type="pct"/>
            <w:gridSpan w:val="2"/>
            <w:vAlign w:val="center"/>
          </w:tcPr>
          <w:p>
            <w:pPr>
              <w:rPr>
                <w:rFonts w:ascii="仿宋" w:hAnsi="仿宋" w:eastAsia="仿宋" w:cs="仿宋"/>
                <w:color w:val="000000"/>
                <w:highlight w:val="none"/>
              </w:rPr>
            </w:pPr>
            <w:r>
              <w:rPr>
                <w:rFonts w:hint="eastAsia" w:ascii="仿宋" w:hAnsi="仿宋" w:eastAsia="仿宋" w:cs="仿宋"/>
                <w:color w:val="000000"/>
                <w:highlight w:val="none"/>
              </w:rPr>
              <w:t>应当实施强制性清洁生产企业通过审核的比例</w:t>
            </w:r>
          </w:p>
        </w:tc>
        <w:tc>
          <w:tcPr>
            <w:tcW w:w="233"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w:t>
            </w:r>
          </w:p>
        </w:tc>
        <w:tc>
          <w:tcPr>
            <w:tcW w:w="575" w:type="pct"/>
            <w:vAlign w:val="center"/>
          </w:tcPr>
          <w:p>
            <w:pPr>
              <w:jc w:val="center"/>
              <w:rPr>
                <w:rFonts w:ascii="仿宋" w:hAnsi="仿宋" w:eastAsia="仿宋" w:cs="仿宋"/>
                <w:color w:val="FF0000"/>
                <w:highlight w:val="none"/>
              </w:rPr>
            </w:pPr>
            <w:r>
              <w:rPr>
                <w:rFonts w:hint="eastAsia" w:ascii="仿宋" w:hAnsi="仿宋" w:eastAsia="仿宋" w:cs="仿宋"/>
                <w:highlight w:val="none"/>
              </w:rPr>
              <w:t>完成年度审核计划</w:t>
            </w:r>
          </w:p>
        </w:tc>
        <w:tc>
          <w:tcPr>
            <w:tcW w:w="26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参考性</w:t>
            </w:r>
          </w:p>
        </w:tc>
        <w:tc>
          <w:tcPr>
            <w:tcW w:w="473" w:type="pct"/>
            <w:vAlign w:val="center"/>
          </w:tcPr>
          <w:p>
            <w:pPr>
              <w:jc w:val="center"/>
              <w:rPr>
                <w:rFonts w:ascii="仿宋" w:hAnsi="仿宋" w:eastAsia="仿宋" w:cs="仿宋"/>
                <w:color w:val="000000"/>
                <w:highlight w:val="none"/>
              </w:rPr>
            </w:pPr>
            <w:r>
              <w:rPr>
                <w:rFonts w:hint="eastAsia" w:ascii="仿宋" w:hAnsi="仿宋" w:eastAsia="仿宋" w:cs="仿宋"/>
                <w:highlight w:val="none"/>
              </w:rPr>
              <w:t>完成年度审核计划</w:t>
            </w:r>
          </w:p>
        </w:tc>
        <w:tc>
          <w:tcPr>
            <w:tcW w:w="462" w:type="pct"/>
            <w:vAlign w:val="center"/>
          </w:tcPr>
          <w:p>
            <w:pPr>
              <w:jc w:val="center"/>
              <w:rPr>
                <w:rFonts w:ascii="仿宋" w:hAnsi="仿宋" w:eastAsia="仿宋" w:cs="仿宋"/>
                <w:color w:val="000000"/>
                <w:highlight w:val="none"/>
              </w:rPr>
            </w:pPr>
            <w:r>
              <w:rPr>
                <w:rFonts w:hint="eastAsia" w:ascii="仿宋" w:hAnsi="仿宋" w:eastAsia="仿宋" w:cs="仿宋"/>
                <w:highlight w:val="none"/>
              </w:rPr>
              <w:t>完成年度审核计划</w:t>
            </w:r>
          </w:p>
        </w:tc>
        <w:tc>
          <w:tcPr>
            <w:tcW w:w="447" w:type="pct"/>
            <w:vAlign w:val="center"/>
          </w:tcPr>
          <w:p>
            <w:pPr>
              <w:jc w:val="center"/>
              <w:rPr>
                <w:rFonts w:ascii="仿宋" w:hAnsi="仿宋" w:eastAsia="仿宋" w:cs="仿宋"/>
                <w:color w:val="000000"/>
                <w:highlight w:val="none"/>
              </w:rPr>
            </w:pPr>
            <w:r>
              <w:rPr>
                <w:rFonts w:hint="eastAsia" w:ascii="仿宋" w:hAnsi="仿宋" w:eastAsia="仿宋" w:cs="仿宋"/>
                <w:highlight w:val="none"/>
              </w:rPr>
              <w:t>完成年度审核计划</w:t>
            </w:r>
          </w:p>
        </w:tc>
        <w:tc>
          <w:tcPr>
            <w:tcW w:w="25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达标</w:t>
            </w:r>
          </w:p>
        </w:tc>
        <w:tc>
          <w:tcPr>
            <w:tcW w:w="374" w:type="pct"/>
            <w:vAlign w:val="center"/>
          </w:tcPr>
          <w:p>
            <w:pPr>
              <w:jc w:val="center"/>
              <w:rPr>
                <w:rFonts w:ascii="仿宋" w:hAnsi="仿宋" w:eastAsia="仿宋" w:cs="仿宋"/>
                <w:color w:val="000000"/>
                <w:highlight w:val="none"/>
              </w:rPr>
            </w:pPr>
            <w:r>
              <w:rPr>
                <w:rFonts w:hint="eastAsia" w:ascii="仿宋" w:hAnsi="仿宋" w:eastAsia="仿宋" w:cs="仿宋"/>
                <w:highlight w:val="none"/>
              </w:rPr>
              <w:t>完成年度审核计划</w:t>
            </w:r>
          </w:p>
        </w:tc>
        <w:tc>
          <w:tcPr>
            <w:tcW w:w="372" w:type="pct"/>
            <w:vAlign w:val="center"/>
          </w:tcPr>
          <w:p>
            <w:pPr>
              <w:jc w:val="center"/>
              <w:rPr>
                <w:rFonts w:ascii="仿宋" w:hAnsi="仿宋" w:eastAsia="仿宋" w:cs="仿宋"/>
                <w:color w:val="000000"/>
                <w:highlight w:val="none"/>
              </w:rPr>
            </w:pPr>
            <w:r>
              <w:rPr>
                <w:rFonts w:hint="eastAsia" w:ascii="仿宋" w:hAnsi="仿宋" w:eastAsia="仿宋" w:cs="仿宋"/>
                <w:highlight w:val="none"/>
              </w:rPr>
              <w:t>完成年度审核计划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7" w:hRule="atLeast"/>
          <w:jc w:val="center"/>
        </w:trPr>
        <w:tc>
          <w:tcPr>
            <w:tcW w:w="209" w:type="pct"/>
            <w:vMerge w:val="continue"/>
            <w:vAlign w:val="center"/>
          </w:tcPr>
          <w:p>
            <w:pPr>
              <w:jc w:val="center"/>
              <w:rPr>
                <w:rFonts w:ascii="仿宋" w:hAnsi="仿宋" w:eastAsia="仿宋" w:cs="仿宋"/>
                <w:color w:val="000000"/>
                <w:highlight w:val="none"/>
              </w:rPr>
            </w:pPr>
          </w:p>
        </w:tc>
        <w:tc>
          <w:tcPr>
            <w:tcW w:w="221" w:type="pct"/>
            <w:vMerge w:val="continue"/>
            <w:vAlign w:val="center"/>
          </w:tcPr>
          <w:p>
            <w:pPr>
              <w:jc w:val="center"/>
              <w:rPr>
                <w:rFonts w:ascii="仿宋" w:hAnsi="仿宋" w:eastAsia="仿宋" w:cs="仿宋"/>
                <w:color w:val="000000"/>
                <w:highlight w:val="none"/>
              </w:rPr>
            </w:pPr>
          </w:p>
        </w:tc>
        <w:tc>
          <w:tcPr>
            <w:tcW w:w="221" w:type="pct"/>
            <w:vMerge w:val="restart"/>
            <w:vAlign w:val="center"/>
          </w:tcPr>
          <w:p>
            <w:pPr>
              <w:jc w:val="center"/>
              <w:rPr>
                <w:rFonts w:ascii="仿宋" w:hAnsi="仿宋" w:eastAsia="仿宋" w:cs="仿宋"/>
                <w:b/>
                <w:bCs/>
                <w:color w:val="000000"/>
                <w:highlight w:val="none"/>
              </w:rPr>
            </w:pPr>
            <w:r>
              <w:rPr>
                <w:rFonts w:hint="eastAsia" w:ascii="仿宋" w:hAnsi="仿宋" w:eastAsia="仿宋" w:cs="仿宋"/>
                <w:color w:val="000000"/>
                <w:highlight w:val="none"/>
              </w:rPr>
              <w:t>22</w:t>
            </w:r>
          </w:p>
        </w:tc>
        <w:tc>
          <w:tcPr>
            <w:tcW w:w="256" w:type="pct"/>
            <w:vMerge w:val="restar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化肥农药减量化</w:t>
            </w:r>
          </w:p>
        </w:tc>
        <w:tc>
          <w:tcPr>
            <w:tcW w:w="1958" w:type="dxa"/>
            <w:vAlign w:val="center"/>
          </w:tcPr>
          <w:p>
            <w:pPr>
              <w:widowControl w:val="0"/>
              <w:spacing w:after="0"/>
              <w:jc w:val="center"/>
              <w:rPr>
                <w:rFonts w:ascii="仿宋" w:hAnsi="仿宋" w:eastAsia="仿宋" w:cs="仿宋"/>
                <w:color w:val="000000"/>
                <w:highlight w:val="none"/>
              </w:rPr>
            </w:pPr>
            <w:r>
              <w:rPr>
                <w:rFonts w:hint="eastAsia" w:ascii="仿宋" w:hAnsi="仿宋" w:eastAsia="仿宋" w:cs="Times New Roman"/>
                <w:highlight w:val="none"/>
                <w14:ligatures w14:val="none"/>
              </w:rPr>
              <w:t>主要农作物化肥亩均施用量</w:t>
            </w:r>
          </w:p>
        </w:tc>
        <w:tc>
          <w:tcPr>
            <w:tcW w:w="719" w:type="dxa"/>
            <w:vMerge w:val="restart"/>
            <w:vAlign w:val="center"/>
          </w:tcPr>
          <w:p>
            <w:pPr>
              <w:widowControl w:val="0"/>
              <w:spacing w:after="0"/>
              <w:jc w:val="center"/>
              <w:rPr>
                <w:rFonts w:ascii="仿宋" w:hAnsi="仿宋" w:eastAsia="仿宋" w:cs="仿宋"/>
                <w:color w:val="000000"/>
                <w:highlight w:val="none"/>
              </w:rPr>
            </w:pPr>
            <w:r>
              <w:rPr>
                <w:rFonts w:hint="eastAsia" w:ascii="仿宋" w:hAnsi="仿宋" w:eastAsia="仿宋" w:cs="Times New Roman"/>
                <w:highlight w:val="none"/>
                <w14:ligatures w14:val="none"/>
              </w:rPr>
              <w:t>千克/亩</w:t>
            </w:r>
          </w:p>
        </w:tc>
        <w:tc>
          <w:tcPr>
            <w:tcW w:w="1775" w:type="dxa"/>
            <w:vMerge w:val="restart"/>
            <w:vAlign w:val="center"/>
          </w:tcPr>
          <w:p>
            <w:pPr>
              <w:widowControl w:val="0"/>
              <w:spacing w:after="0"/>
              <w:jc w:val="center"/>
              <w:rPr>
                <w:rFonts w:ascii="仿宋" w:hAnsi="仿宋" w:eastAsia="仿宋" w:cs="仿宋"/>
                <w:color w:val="000000"/>
                <w:highlight w:val="none"/>
              </w:rPr>
            </w:pPr>
            <w:r>
              <w:rPr>
                <w:rFonts w:hint="eastAsia" w:ascii="仿宋" w:hAnsi="仿宋" w:eastAsia="仿宋" w:cs="Times New Roman"/>
                <w:highlight w:val="none"/>
                <w14:ligatures w14:val="none"/>
              </w:rPr>
              <w:t>减少</w:t>
            </w:r>
          </w:p>
        </w:tc>
        <w:tc>
          <w:tcPr>
            <w:tcW w:w="265" w:type="pct"/>
            <w:vMerge w:val="restar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参考性</w:t>
            </w:r>
          </w:p>
        </w:tc>
        <w:tc>
          <w:tcPr>
            <w:tcW w:w="473"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24.2</w:t>
            </w:r>
          </w:p>
        </w:tc>
        <w:tc>
          <w:tcPr>
            <w:tcW w:w="462"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23.6</w:t>
            </w:r>
          </w:p>
        </w:tc>
        <w:tc>
          <w:tcPr>
            <w:tcW w:w="447"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22.4</w:t>
            </w:r>
          </w:p>
        </w:tc>
        <w:tc>
          <w:tcPr>
            <w:tcW w:w="25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达标</w:t>
            </w:r>
          </w:p>
        </w:tc>
        <w:tc>
          <w:tcPr>
            <w:tcW w:w="374" w:type="pct"/>
            <w:vAlign w:val="center"/>
          </w:tcPr>
          <w:p>
            <w:pPr>
              <w:jc w:val="center"/>
              <w:rPr>
                <w:rFonts w:ascii="仿宋" w:hAnsi="仿宋" w:eastAsia="仿宋" w:cs="仿宋"/>
                <w:b/>
                <w:bCs/>
                <w:color w:val="000000"/>
                <w:highlight w:val="none"/>
              </w:rPr>
            </w:pPr>
            <w:r>
              <w:rPr>
                <w:rFonts w:ascii="仿宋" w:hAnsi="仿宋" w:eastAsia="仿宋" w:cs="Times New Roman"/>
                <w:highlight w:val="none"/>
                <w14:ligatures w14:val="none"/>
              </w:rPr>
              <w:t>保持稳定或持续改善</w:t>
            </w:r>
          </w:p>
        </w:tc>
        <w:tc>
          <w:tcPr>
            <w:tcW w:w="372" w:type="pct"/>
            <w:vAlign w:val="center"/>
          </w:tcPr>
          <w:p>
            <w:pPr>
              <w:jc w:val="center"/>
              <w:rPr>
                <w:rFonts w:ascii="仿宋" w:hAnsi="仿宋" w:eastAsia="仿宋" w:cs="仿宋"/>
                <w:b/>
                <w:bCs/>
                <w:color w:val="000000"/>
                <w:highlight w:val="none"/>
              </w:rPr>
            </w:pPr>
            <w:r>
              <w:rPr>
                <w:rFonts w:ascii="仿宋" w:hAnsi="仿宋" w:eastAsia="仿宋" w:cs="Times New Roman"/>
                <w:highlight w:val="none"/>
                <w14:ligatures w14:val="none"/>
              </w:rPr>
              <w:t>保持稳定或持续改善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209" w:type="pct"/>
            <w:vMerge w:val="continue"/>
            <w:vAlign w:val="center"/>
          </w:tcPr>
          <w:p>
            <w:pPr>
              <w:jc w:val="center"/>
              <w:rPr>
                <w:rFonts w:ascii="仿宋" w:hAnsi="仿宋" w:eastAsia="仿宋" w:cs="仿宋"/>
                <w:color w:val="000000"/>
                <w:highlight w:val="none"/>
              </w:rPr>
            </w:pPr>
          </w:p>
        </w:tc>
        <w:tc>
          <w:tcPr>
            <w:tcW w:w="221" w:type="pct"/>
            <w:vMerge w:val="continue"/>
            <w:vAlign w:val="center"/>
          </w:tcPr>
          <w:p>
            <w:pPr>
              <w:jc w:val="center"/>
              <w:rPr>
                <w:rFonts w:ascii="仿宋" w:hAnsi="仿宋" w:eastAsia="仿宋" w:cs="仿宋"/>
                <w:color w:val="000000"/>
                <w:highlight w:val="none"/>
              </w:rPr>
            </w:pPr>
          </w:p>
        </w:tc>
        <w:tc>
          <w:tcPr>
            <w:tcW w:w="221" w:type="pct"/>
            <w:vMerge w:val="continue"/>
            <w:vAlign w:val="center"/>
          </w:tcPr>
          <w:p>
            <w:pPr>
              <w:jc w:val="center"/>
              <w:rPr>
                <w:rFonts w:ascii="仿宋" w:hAnsi="仿宋" w:eastAsia="仿宋" w:cs="仿宋"/>
                <w:b/>
                <w:bCs/>
                <w:color w:val="000000"/>
                <w:highlight w:val="none"/>
              </w:rPr>
            </w:pPr>
          </w:p>
        </w:tc>
        <w:tc>
          <w:tcPr>
            <w:tcW w:w="256" w:type="pct"/>
            <w:vMerge w:val="continue"/>
            <w:vAlign w:val="center"/>
          </w:tcPr>
          <w:p>
            <w:pPr>
              <w:jc w:val="center"/>
              <w:rPr>
                <w:rFonts w:ascii="仿宋" w:hAnsi="仿宋" w:eastAsia="仿宋" w:cs="仿宋"/>
                <w:color w:val="000000"/>
                <w:highlight w:val="none"/>
              </w:rPr>
            </w:pPr>
          </w:p>
        </w:tc>
        <w:tc>
          <w:tcPr>
            <w:tcW w:w="1958" w:type="dxa"/>
            <w:vAlign w:val="center"/>
          </w:tcPr>
          <w:p>
            <w:pPr>
              <w:widowControl w:val="0"/>
              <w:spacing w:after="0"/>
              <w:jc w:val="center"/>
              <w:rPr>
                <w:rFonts w:ascii="仿宋" w:hAnsi="仿宋" w:eastAsia="仿宋" w:cs="仿宋"/>
                <w:color w:val="000000"/>
                <w:highlight w:val="none"/>
              </w:rPr>
            </w:pPr>
            <w:r>
              <w:rPr>
                <w:rFonts w:hint="eastAsia" w:ascii="仿宋" w:hAnsi="仿宋" w:eastAsia="仿宋" w:cs="Times New Roman"/>
                <w:highlight w:val="none"/>
                <w14:ligatures w14:val="none"/>
              </w:rPr>
              <w:t>主要农作物农药亩均使用量</w:t>
            </w:r>
          </w:p>
        </w:tc>
        <w:tc>
          <w:tcPr>
            <w:tcW w:w="233" w:type="pct"/>
            <w:vMerge w:val="continue"/>
            <w:vAlign w:val="center"/>
          </w:tcPr>
          <w:p>
            <w:pPr>
              <w:jc w:val="center"/>
              <w:rPr>
                <w:rFonts w:ascii="仿宋" w:hAnsi="仿宋" w:eastAsia="仿宋" w:cs="仿宋"/>
                <w:color w:val="000000"/>
                <w:highlight w:val="none"/>
              </w:rPr>
            </w:pPr>
          </w:p>
        </w:tc>
        <w:tc>
          <w:tcPr>
            <w:tcW w:w="575" w:type="pct"/>
            <w:vMerge w:val="continue"/>
            <w:vAlign w:val="center"/>
          </w:tcPr>
          <w:p>
            <w:pPr>
              <w:jc w:val="center"/>
              <w:rPr>
                <w:rFonts w:ascii="仿宋" w:hAnsi="仿宋" w:eastAsia="仿宋" w:cs="仿宋"/>
                <w:color w:val="000000"/>
                <w:highlight w:val="none"/>
              </w:rPr>
            </w:pPr>
          </w:p>
        </w:tc>
        <w:tc>
          <w:tcPr>
            <w:tcW w:w="265" w:type="pct"/>
            <w:vMerge w:val="continue"/>
            <w:vAlign w:val="center"/>
          </w:tcPr>
          <w:p>
            <w:pPr>
              <w:jc w:val="center"/>
              <w:rPr>
                <w:rFonts w:ascii="仿宋" w:hAnsi="仿宋" w:eastAsia="仿宋" w:cs="仿宋"/>
                <w:color w:val="000000"/>
                <w:highlight w:val="none"/>
              </w:rPr>
            </w:pPr>
          </w:p>
        </w:tc>
        <w:tc>
          <w:tcPr>
            <w:tcW w:w="473"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0.368</w:t>
            </w:r>
          </w:p>
        </w:tc>
        <w:tc>
          <w:tcPr>
            <w:tcW w:w="462"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0.356</w:t>
            </w:r>
          </w:p>
        </w:tc>
        <w:tc>
          <w:tcPr>
            <w:tcW w:w="447"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0.345</w:t>
            </w:r>
          </w:p>
        </w:tc>
        <w:tc>
          <w:tcPr>
            <w:tcW w:w="25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达标</w:t>
            </w:r>
          </w:p>
        </w:tc>
        <w:tc>
          <w:tcPr>
            <w:tcW w:w="374" w:type="pct"/>
            <w:vAlign w:val="center"/>
          </w:tcPr>
          <w:p>
            <w:pPr>
              <w:jc w:val="center"/>
              <w:rPr>
                <w:rFonts w:ascii="仿宋" w:hAnsi="仿宋" w:eastAsia="仿宋" w:cs="仿宋"/>
                <w:b/>
                <w:bCs/>
                <w:color w:val="000000"/>
                <w:highlight w:val="none"/>
              </w:rPr>
            </w:pPr>
            <w:r>
              <w:rPr>
                <w:rFonts w:ascii="仿宋" w:hAnsi="仿宋" w:eastAsia="仿宋" w:cs="Times New Roman"/>
                <w:highlight w:val="none"/>
                <w14:ligatures w14:val="none"/>
              </w:rPr>
              <w:t>保持稳定或持续改善</w:t>
            </w:r>
          </w:p>
        </w:tc>
        <w:tc>
          <w:tcPr>
            <w:tcW w:w="372" w:type="pct"/>
            <w:vAlign w:val="center"/>
          </w:tcPr>
          <w:p>
            <w:pPr>
              <w:jc w:val="center"/>
              <w:rPr>
                <w:rFonts w:ascii="仿宋" w:hAnsi="仿宋" w:eastAsia="仿宋" w:cs="仿宋"/>
                <w:b/>
                <w:bCs/>
                <w:color w:val="000000"/>
                <w:highlight w:val="none"/>
              </w:rPr>
            </w:pPr>
            <w:r>
              <w:rPr>
                <w:rFonts w:ascii="仿宋" w:hAnsi="仿宋" w:eastAsia="仿宋" w:cs="Times New Roman"/>
                <w:highlight w:val="none"/>
                <w14:ligatures w14:val="none"/>
              </w:rPr>
              <w:t>保持稳定或持续改善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209" w:type="pct"/>
            <w:vMerge w:val="continue"/>
            <w:vAlign w:val="center"/>
          </w:tcPr>
          <w:p>
            <w:pPr>
              <w:jc w:val="center"/>
              <w:rPr>
                <w:rFonts w:ascii="仿宋" w:hAnsi="仿宋" w:eastAsia="仿宋" w:cs="仿宋"/>
                <w:color w:val="000000"/>
                <w:highlight w:val="none"/>
              </w:rPr>
            </w:pPr>
          </w:p>
        </w:tc>
        <w:tc>
          <w:tcPr>
            <w:tcW w:w="221" w:type="pct"/>
            <w:vMerge w:val="restar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产业循环发展</w:t>
            </w:r>
          </w:p>
        </w:tc>
        <w:tc>
          <w:tcPr>
            <w:tcW w:w="221" w:type="pct"/>
            <w:vMerge w:val="restar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23</w:t>
            </w:r>
          </w:p>
        </w:tc>
        <w:tc>
          <w:tcPr>
            <w:tcW w:w="256" w:type="pct"/>
            <w:vMerge w:val="restart"/>
            <w:vAlign w:val="center"/>
          </w:tcPr>
          <w:p>
            <w:pPr>
              <w:rPr>
                <w:rFonts w:ascii="仿宋" w:hAnsi="仿宋" w:eastAsia="仿宋" w:cs="仿宋"/>
                <w:color w:val="000000"/>
                <w:highlight w:val="none"/>
              </w:rPr>
            </w:pPr>
            <w:r>
              <w:rPr>
                <w:rFonts w:hint="eastAsia" w:ascii="仿宋" w:hAnsi="仿宋" w:eastAsia="仿宋" w:cs="仿宋"/>
                <w:color w:val="000000"/>
                <w:highlight w:val="none"/>
              </w:rPr>
              <w:t>农业废弃物综合利用率</w:t>
            </w:r>
          </w:p>
        </w:tc>
        <w:tc>
          <w:tcPr>
            <w:tcW w:w="634" w:type="pct"/>
            <w:vAlign w:val="center"/>
          </w:tcPr>
          <w:p>
            <w:pPr>
              <w:rPr>
                <w:rFonts w:ascii="仿宋" w:hAnsi="仿宋" w:eastAsia="仿宋" w:cs="仿宋"/>
                <w:color w:val="000000"/>
                <w:highlight w:val="none"/>
              </w:rPr>
            </w:pPr>
            <w:r>
              <w:rPr>
                <w:rFonts w:hint="eastAsia" w:ascii="仿宋" w:hAnsi="仿宋" w:eastAsia="仿宋" w:cs="仿宋"/>
                <w:color w:val="000000"/>
                <w:highlight w:val="none"/>
              </w:rPr>
              <w:t>秸秆综合利用率</w:t>
            </w:r>
          </w:p>
        </w:tc>
        <w:tc>
          <w:tcPr>
            <w:tcW w:w="233"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w:t>
            </w:r>
          </w:p>
        </w:tc>
        <w:tc>
          <w:tcPr>
            <w:tcW w:w="57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≥92</w:t>
            </w:r>
          </w:p>
        </w:tc>
        <w:tc>
          <w:tcPr>
            <w:tcW w:w="265" w:type="pct"/>
            <w:vMerge w:val="restar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参考性</w:t>
            </w:r>
          </w:p>
        </w:tc>
        <w:tc>
          <w:tcPr>
            <w:tcW w:w="473"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93.45</w:t>
            </w:r>
          </w:p>
        </w:tc>
        <w:tc>
          <w:tcPr>
            <w:tcW w:w="462"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97.68</w:t>
            </w:r>
          </w:p>
        </w:tc>
        <w:tc>
          <w:tcPr>
            <w:tcW w:w="447"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96.62</w:t>
            </w:r>
          </w:p>
        </w:tc>
        <w:tc>
          <w:tcPr>
            <w:tcW w:w="25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达标</w:t>
            </w:r>
          </w:p>
        </w:tc>
        <w:tc>
          <w:tcPr>
            <w:tcW w:w="374" w:type="pct"/>
            <w:vAlign w:val="center"/>
          </w:tcPr>
          <w:p>
            <w:pPr>
              <w:jc w:val="center"/>
              <w:rPr>
                <w:rFonts w:ascii="仿宋" w:hAnsi="仿宋" w:eastAsia="仿宋" w:cs="仿宋"/>
                <w:color w:val="000000"/>
                <w:highlight w:val="none"/>
              </w:rPr>
            </w:pPr>
            <w:r>
              <w:rPr>
                <w:rFonts w:ascii="仿宋" w:hAnsi="仿宋" w:eastAsia="仿宋" w:cs="Times New Roman"/>
                <w:highlight w:val="none"/>
                <w14:ligatures w14:val="none"/>
              </w:rPr>
              <w:t>保持稳定或持续改善</w:t>
            </w:r>
          </w:p>
        </w:tc>
        <w:tc>
          <w:tcPr>
            <w:tcW w:w="372" w:type="pct"/>
            <w:vAlign w:val="center"/>
          </w:tcPr>
          <w:p>
            <w:pPr>
              <w:jc w:val="center"/>
              <w:rPr>
                <w:rFonts w:ascii="仿宋" w:hAnsi="仿宋" w:eastAsia="仿宋" w:cs="仿宋"/>
                <w:color w:val="000000"/>
                <w:highlight w:val="none"/>
              </w:rPr>
            </w:pPr>
            <w:r>
              <w:rPr>
                <w:rFonts w:ascii="仿宋" w:hAnsi="仿宋" w:eastAsia="仿宋" w:cs="Times New Roman"/>
                <w:highlight w:val="none"/>
                <w14:ligatures w14:val="none"/>
              </w:rPr>
              <w:t>保持稳定或持续改善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209" w:type="pct"/>
            <w:vMerge w:val="continue"/>
            <w:vAlign w:val="center"/>
          </w:tcPr>
          <w:p>
            <w:pPr>
              <w:jc w:val="center"/>
              <w:rPr>
                <w:rFonts w:ascii="仿宋" w:hAnsi="仿宋" w:eastAsia="仿宋" w:cs="仿宋"/>
                <w:color w:val="000000"/>
                <w:highlight w:val="none"/>
              </w:rPr>
            </w:pPr>
          </w:p>
        </w:tc>
        <w:tc>
          <w:tcPr>
            <w:tcW w:w="221" w:type="pct"/>
            <w:vMerge w:val="continue"/>
            <w:vAlign w:val="center"/>
          </w:tcPr>
          <w:p>
            <w:pPr>
              <w:jc w:val="center"/>
              <w:rPr>
                <w:rFonts w:ascii="仿宋" w:hAnsi="仿宋" w:eastAsia="仿宋" w:cs="仿宋"/>
                <w:color w:val="000000"/>
                <w:highlight w:val="none"/>
              </w:rPr>
            </w:pPr>
          </w:p>
        </w:tc>
        <w:tc>
          <w:tcPr>
            <w:tcW w:w="221" w:type="pct"/>
            <w:vMerge w:val="continue"/>
            <w:vAlign w:val="center"/>
          </w:tcPr>
          <w:p>
            <w:pPr>
              <w:jc w:val="center"/>
              <w:rPr>
                <w:rFonts w:ascii="仿宋" w:hAnsi="仿宋" w:eastAsia="仿宋" w:cs="仿宋"/>
                <w:color w:val="000000"/>
                <w:highlight w:val="none"/>
              </w:rPr>
            </w:pPr>
          </w:p>
        </w:tc>
        <w:tc>
          <w:tcPr>
            <w:tcW w:w="256" w:type="pct"/>
            <w:vMerge w:val="continue"/>
            <w:vAlign w:val="center"/>
          </w:tcPr>
          <w:p>
            <w:pPr>
              <w:rPr>
                <w:rFonts w:ascii="仿宋" w:hAnsi="仿宋" w:eastAsia="仿宋" w:cs="仿宋"/>
                <w:color w:val="000000"/>
                <w:highlight w:val="none"/>
              </w:rPr>
            </w:pPr>
          </w:p>
        </w:tc>
        <w:tc>
          <w:tcPr>
            <w:tcW w:w="634" w:type="pct"/>
            <w:vAlign w:val="center"/>
          </w:tcPr>
          <w:p>
            <w:pPr>
              <w:rPr>
                <w:rFonts w:ascii="仿宋" w:hAnsi="仿宋" w:eastAsia="仿宋" w:cs="仿宋"/>
                <w:color w:val="000000"/>
                <w:highlight w:val="none"/>
              </w:rPr>
            </w:pPr>
            <w:r>
              <w:rPr>
                <w:rFonts w:hint="eastAsia" w:ascii="仿宋" w:hAnsi="仿宋" w:eastAsia="仿宋" w:cs="仿宋"/>
                <w:color w:val="000000"/>
                <w:highlight w:val="none"/>
              </w:rPr>
              <w:t>畜禽粪污综合利用率</w:t>
            </w:r>
          </w:p>
        </w:tc>
        <w:tc>
          <w:tcPr>
            <w:tcW w:w="233"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w:t>
            </w:r>
          </w:p>
        </w:tc>
        <w:tc>
          <w:tcPr>
            <w:tcW w:w="57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≥81</w:t>
            </w:r>
          </w:p>
        </w:tc>
        <w:tc>
          <w:tcPr>
            <w:tcW w:w="265" w:type="pct"/>
            <w:vMerge w:val="continue"/>
            <w:vAlign w:val="center"/>
          </w:tcPr>
          <w:p>
            <w:pPr>
              <w:rPr>
                <w:rFonts w:ascii="仿宋" w:hAnsi="仿宋" w:eastAsia="仿宋" w:cs="仿宋"/>
                <w:color w:val="000000"/>
                <w:highlight w:val="none"/>
              </w:rPr>
            </w:pPr>
          </w:p>
        </w:tc>
        <w:tc>
          <w:tcPr>
            <w:tcW w:w="473"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92.36</w:t>
            </w:r>
          </w:p>
        </w:tc>
        <w:tc>
          <w:tcPr>
            <w:tcW w:w="462"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93.28</w:t>
            </w:r>
          </w:p>
        </w:tc>
        <w:tc>
          <w:tcPr>
            <w:tcW w:w="447"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93.41</w:t>
            </w:r>
          </w:p>
        </w:tc>
        <w:tc>
          <w:tcPr>
            <w:tcW w:w="25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达标</w:t>
            </w:r>
          </w:p>
        </w:tc>
        <w:tc>
          <w:tcPr>
            <w:tcW w:w="374" w:type="pct"/>
            <w:vAlign w:val="center"/>
          </w:tcPr>
          <w:p>
            <w:pPr>
              <w:jc w:val="center"/>
              <w:rPr>
                <w:rFonts w:ascii="仿宋" w:hAnsi="仿宋" w:eastAsia="仿宋" w:cs="仿宋"/>
                <w:color w:val="000000"/>
                <w:highlight w:val="none"/>
              </w:rPr>
            </w:pPr>
            <w:r>
              <w:rPr>
                <w:rFonts w:ascii="仿宋" w:hAnsi="仿宋" w:eastAsia="仿宋" w:cs="Times New Roman"/>
                <w:highlight w:val="none"/>
                <w14:ligatures w14:val="none"/>
              </w:rPr>
              <w:t>保持稳定或持续改善</w:t>
            </w:r>
          </w:p>
        </w:tc>
        <w:tc>
          <w:tcPr>
            <w:tcW w:w="372" w:type="pct"/>
            <w:vAlign w:val="center"/>
          </w:tcPr>
          <w:p>
            <w:pPr>
              <w:jc w:val="center"/>
              <w:rPr>
                <w:rFonts w:ascii="仿宋" w:hAnsi="仿宋" w:eastAsia="仿宋" w:cs="仿宋"/>
                <w:color w:val="000000"/>
                <w:highlight w:val="none"/>
              </w:rPr>
            </w:pPr>
            <w:r>
              <w:rPr>
                <w:rFonts w:ascii="仿宋" w:hAnsi="仿宋" w:eastAsia="仿宋" w:cs="Times New Roman"/>
                <w:highlight w:val="none"/>
                <w14:ligatures w14:val="none"/>
              </w:rPr>
              <w:t>保持稳定或持续改善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209" w:type="pct"/>
            <w:vMerge w:val="continue"/>
            <w:vAlign w:val="center"/>
          </w:tcPr>
          <w:p>
            <w:pPr>
              <w:jc w:val="center"/>
              <w:rPr>
                <w:rFonts w:ascii="仿宋" w:hAnsi="仿宋" w:eastAsia="仿宋" w:cs="仿宋"/>
                <w:color w:val="000000"/>
                <w:highlight w:val="none"/>
              </w:rPr>
            </w:pPr>
          </w:p>
        </w:tc>
        <w:tc>
          <w:tcPr>
            <w:tcW w:w="221" w:type="pct"/>
            <w:vMerge w:val="continue"/>
            <w:vAlign w:val="center"/>
          </w:tcPr>
          <w:p>
            <w:pPr>
              <w:jc w:val="center"/>
              <w:rPr>
                <w:rFonts w:ascii="仿宋" w:hAnsi="仿宋" w:eastAsia="仿宋" w:cs="仿宋"/>
                <w:color w:val="000000"/>
                <w:highlight w:val="none"/>
              </w:rPr>
            </w:pPr>
          </w:p>
        </w:tc>
        <w:tc>
          <w:tcPr>
            <w:tcW w:w="221" w:type="pct"/>
            <w:vMerge w:val="continue"/>
            <w:vAlign w:val="center"/>
          </w:tcPr>
          <w:p>
            <w:pPr>
              <w:jc w:val="center"/>
              <w:rPr>
                <w:rFonts w:ascii="仿宋" w:hAnsi="仿宋" w:eastAsia="仿宋" w:cs="仿宋"/>
                <w:color w:val="000000"/>
                <w:highlight w:val="none"/>
              </w:rPr>
            </w:pPr>
          </w:p>
        </w:tc>
        <w:tc>
          <w:tcPr>
            <w:tcW w:w="256" w:type="pct"/>
            <w:vMerge w:val="continue"/>
            <w:vAlign w:val="center"/>
          </w:tcPr>
          <w:p>
            <w:pPr>
              <w:rPr>
                <w:rFonts w:ascii="仿宋" w:hAnsi="仿宋" w:eastAsia="仿宋" w:cs="仿宋"/>
                <w:color w:val="000000"/>
                <w:highlight w:val="none"/>
              </w:rPr>
            </w:pPr>
          </w:p>
        </w:tc>
        <w:tc>
          <w:tcPr>
            <w:tcW w:w="634" w:type="pct"/>
            <w:vAlign w:val="center"/>
          </w:tcPr>
          <w:p>
            <w:pPr>
              <w:rPr>
                <w:rFonts w:ascii="仿宋" w:hAnsi="仿宋" w:eastAsia="仿宋" w:cs="仿宋"/>
                <w:color w:val="000000"/>
                <w:highlight w:val="none"/>
              </w:rPr>
            </w:pPr>
            <w:r>
              <w:rPr>
                <w:rFonts w:hint="eastAsia" w:ascii="仿宋" w:hAnsi="仿宋" w:eastAsia="仿宋" w:cs="仿宋"/>
                <w:color w:val="000000"/>
                <w:highlight w:val="none"/>
              </w:rPr>
              <w:t>农膜回收利用率</w:t>
            </w:r>
          </w:p>
        </w:tc>
        <w:tc>
          <w:tcPr>
            <w:tcW w:w="233"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w:t>
            </w:r>
          </w:p>
        </w:tc>
        <w:tc>
          <w:tcPr>
            <w:tcW w:w="57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完成上级规定的目标任务</w:t>
            </w:r>
          </w:p>
        </w:tc>
        <w:tc>
          <w:tcPr>
            <w:tcW w:w="265" w:type="pct"/>
            <w:vMerge w:val="continue"/>
            <w:vAlign w:val="center"/>
          </w:tcPr>
          <w:p>
            <w:pPr>
              <w:rPr>
                <w:rFonts w:ascii="仿宋" w:hAnsi="仿宋" w:eastAsia="仿宋" w:cs="仿宋"/>
                <w:color w:val="000000"/>
                <w:highlight w:val="none"/>
              </w:rPr>
            </w:pPr>
          </w:p>
        </w:tc>
        <w:tc>
          <w:tcPr>
            <w:tcW w:w="473"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85</w:t>
            </w:r>
          </w:p>
        </w:tc>
        <w:tc>
          <w:tcPr>
            <w:tcW w:w="462"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85.5</w:t>
            </w:r>
          </w:p>
        </w:tc>
        <w:tc>
          <w:tcPr>
            <w:tcW w:w="447"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90</w:t>
            </w:r>
          </w:p>
        </w:tc>
        <w:tc>
          <w:tcPr>
            <w:tcW w:w="25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达标</w:t>
            </w:r>
          </w:p>
        </w:tc>
        <w:tc>
          <w:tcPr>
            <w:tcW w:w="374" w:type="pct"/>
            <w:vAlign w:val="center"/>
          </w:tcPr>
          <w:p>
            <w:pPr>
              <w:jc w:val="center"/>
              <w:rPr>
                <w:rFonts w:ascii="仿宋" w:hAnsi="仿宋" w:eastAsia="仿宋" w:cs="仿宋"/>
                <w:color w:val="000000"/>
                <w:highlight w:val="none"/>
              </w:rPr>
            </w:pPr>
            <w:r>
              <w:rPr>
                <w:rFonts w:ascii="仿宋" w:hAnsi="仿宋" w:eastAsia="仿宋" w:cs="Times New Roman"/>
                <w:highlight w:val="none"/>
                <w14:ligatures w14:val="none"/>
              </w:rPr>
              <w:t>保持稳定或持续改善</w:t>
            </w:r>
          </w:p>
        </w:tc>
        <w:tc>
          <w:tcPr>
            <w:tcW w:w="372" w:type="pct"/>
            <w:vAlign w:val="center"/>
          </w:tcPr>
          <w:p>
            <w:pPr>
              <w:jc w:val="center"/>
              <w:rPr>
                <w:rFonts w:ascii="仿宋" w:hAnsi="仿宋" w:eastAsia="仿宋" w:cs="仿宋"/>
                <w:color w:val="000000"/>
                <w:highlight w:val="none"/>
              </w:rPr>
            </w:pPr>
            <w:r>
              <w:rPr>
                <w:rFonts w:ascii="仿宋" w:hAnsi="仿宋" w:eastAsia="仿宋" w:cs="Times New Roman"/>
                <w:highlight w:val="none"/>
                <w14:ligatures w14:val="none"/>
              </w:rPr>
              <w:t>保持稳定或持续改善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209" w:type="pct"/>
            <w:vMerge w:val="continue"/>
            <w:vAlign w:val="center"/>
          </w:tcPr>
          <w:p>
            <w:pPr>
              <w:jc w:val="center"/>
              <w:rPr>
                <w:rFonts w:ascii="仿宋" w:hAnsi="仿宋" w:eastAsia="仿宋" w:cs="仿宋"/>
                <w:color w:val="000000"/>
                <w:highlight w:val="none"/>
              </w:rPr>
            </w:pPr>
          </w:p>
        </w:tc>
        <w:tc>
          <w:tcPr>
            <w:tcW w:w="221" w:type="pct"/>
            <w:vMerge w:val="continue"/>
            <w:vAlign w:val="center"/>
          </w:tcPr>
          <w:p>
            <w:pPr>
              <w:jc w:val="center"/>
              <w:rPr>
                <w:rFonts w:ascii="仿宋" w:hAnsi="仿宋" w:eastAsia="仿宋" w:cs="仿宋"/>
                <w:color w:val="000000"/>
                <w:highlight w:val="none"/>
              </w:rPr>
            </w:pPr>
          </w:p>
        </w:tc>
        <w:tc>
          <w:tcPr>
            <w:tcW w:w="221"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24</w:t>
            </w:r>
          </w:p>
        </w:tc>
        <w:tc>
          <w:tcPr>
            <w:tcW w:w="890" w:type="pct"/>
            <w:gridSpan w:val="2"/>
            <w:vAlign w:val="center"/>
          </w:tcPr>
          <w:p>
            <w:pPr>
              <w:rPr>
                <w:rFonts w:ascii="仿宋" w:hAnsi="仿宋" w:eastAsia="仿宋" w:cs="仿宋"/>
                <w:color w:val="000000"/>
                <w:highlight w:val="none"/>
              </w:rPr>
            </w:pPr>
            <w:r>
              <w:rPr>
                <w:rFonts w:hint="eastAsia" w:ascii="仿宋" w:hAnsi="仿宋" w:eastAsia="仿宋" w:cs="仿宋"/>
                <w:color w:val="000000"/>
                <w:highlight w:val="none"/>
              </w:rPr>
              <w:t>一般工业固体废物综合利用率</w:t>
            </w:r>
          </w:p>
        </w:tc>
        <w:tc>
          <w:tcPr>
            <w:tcW w:w="233"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w:t>
            </w:r>
          </w:p>
        </w:tc>
        <w:tc>
          <w:tcPr>
            <w:tcW w:w="57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≥85</w:t>
            </w:r>
          </w:p>
        </w:tc>
        <w:tc>
          <w:tcPr>
            <w:tcW w:w="26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参考性</w:t>
            </w:r>
          </w:p>
        </w:tc>
        <w:tc>
          <w:tcPr>
            <w:tcW w:w="473"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100</w:t>
            </w:r>
          </w:p>
        </w:tc>
        <w:tc>
          <w:tcPr>
            <w:tcW w:w="462"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100</w:t>
            </w:r>
          </w:p>
        </w:tc>
        <w:tc>
          <w:tcPr>
            <w:tcW w:w="447"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100</w:t>
            </w:r>
          </w:p>
        </w:tc>
        <w:tc>
          <w:tcPr>
            <w:tcW w:w="25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达标</w:t>
            </w:r>
          </w:p>
        </w:tc>
        <w:tc>
          <w:tcPr>
            <w:tcW w:w="374"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100</w:t>
            </w:r>
          </w:p>
        </w:tc>
        <w:tc>
          <w:tcPr>
            <w:tcW w:w="372"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209" w:type="pct"/>
            <w:vMerge w:val="restar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生态生活</w:t>
            </w:r>
          </w:p>
        </w:tc>
        <w:tc>
          <w:tcPr>
            <w:tcW w:w="221" w:type="pct"/>
            <w:vMerge w:val="restar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人居环境改善</w:t>
            </w:r>
          </w:p>
        </w:tc>
        <w:tc>
          <w:tcPr>
            <w:tcW w:w="221"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25</w:t>
            </w:r>
          </w:p>
        </w:tc>
        <w:tc>
          <w:tcPr>
            <w:tcW w:w="890" w:type="pct"/>
            <w:gridSpan w:val="2"/>
            <w:vAlign w:val="center"/>
          </w:tcPr>
          <w:p>
            <w:pPr>
              <w:rPr>
                <w:rFonts w:ascii="仿宋" w:hAnsi="仿宋" w:eastAsia="仿宋" w:cs="仿宋"/>
                <w:color w:val="000000"/>
                <w:highlight w:val="none"/>
              </w:rPr>
            </w:pPr>
            <w:r>
              <w:rPr>
                <w:rFonts w:hint="eastAsia" w:ascii="仿宋" w:hAnsi="仿宋" w:eastAsia="仿宋" w:cs="仿宋"/>
                <w:color w:val="000000"/>
                <w:highlight w:val="none"/>
              </w:rPr>
              <w:t>集中式饮用水水源地水质优良比例</w:t>
            </w:r>
          </w:p>
        </w:tc>
        <w:tc>
          <w:tcPr>
            <w:tcW w:w="233"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w:t>
            </w:r>
          </w:p>
        </w:tc>
        <w:tc>
          <w:tcPr>
            <w:tcW w:w="57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100</w:t>
            </w:r>
          </w:p>
        </w:tc>
        <w:tc>
          <w:tcPr>
            <w:tcW w:w="26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约束性</w:t>
            </w:r>
          </w:p>
        </w:tc>
        <w:tc>
          <w:tcPr>
            <w:tcW w:w="473"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100</w:t>
            </w:r>
          </w:p>
        </w:tc>
        <w:tc>
          <w:tcPr>
            <w:tcW w:w="462"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100</w:t>
            </w:r>
          </w:p>
        </w:tc>
        <w:tc>
          <w:tcPr>
            <w:tcW w:w="447"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100</w:t>
            </w:r>
          </w:p>
        </w:tc>
        <w:tc>
          <w:tcPr>
            <w:tcW w:w="25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达标</w:t>
            </w:r>
          </w:p>
        </w:tc>
        <w:tc>
          <w:tcPr>
            <w:tcW w:w="374"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100</w:t>
            </w:r>
          </w:p>
        </w:tc>
        <w:tc>
          <w:tcPr>
            <w:tcW w:w="372"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209" w:type="pct"/>
            <w:vMerge w:val="continue"/>
            <w:vAlign w:val="center"/>
          </w:tcPr>
          <w:p>
            <w:pPr>
              <w:jc w:val="center"/>
              <w:rPr>
                <w:rFonts w:ascii="仿宋" w:hAnsi="仿宋" w:eastAsia="仿宋" w:cs="仿宋"/>
                <w:color w:val="000000"/>
                <w:highlight w:val="none"/>
              </w:rPr>
            </w:pPr>
          </w:p>
        </w:tc>
        <w:tc>
          <w:tcPr>
            <w:tcW w:w="221" w:type="pct"/>
            <w:vMerge w:val="continue"/>
            <w:vAlign w:val="center"/>
          </w:tcPr>
          <w:p>
            <w:pPr>
              <w:jc w:val="center"/>
              <w:rPr>
                <w:rFonts w:ascii="仿宋" w:hAnsi="仿宋" w:eastAsia="仿宋" w:cs="仿宋"/>
                <w:color w:val="000000"/>
                <w:highlight w:val="none"/>
              </w:rPr>
            </w:pPr>
          </w:p>
        </w:tc>
        <w:tc>
          <w:tcPr>
            <w:tcW w:w="221"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26</w:t>
            </w:r>
          </w:p>
        </w:tc>
        <w:tc>
          <w:tcPr>
            <w:tcW w:w="890" w:type="pct"/>
            <w:gridSpan w:val="2"/>
            <w:vAlign w:val="center"/>
          </w:tcPr>
          <w:p>
            <w:pPr>
              <w:rPr>
                <w:rFonts w:ascii="仿宋" w:hAnsi="仿宋" w:eastAsia="仿宋" w:cs="仿宋"/>
                <w:color w:val="000000"/>
                <w:highlight w:val="none"/>
              </w:rPr>
            </w:pPr>
            <w:r>
              <w:rPr>
                <w:rFonts w:hint="eastAsia" w:ascii="仿宋" w:hAnsi="仿宋" w:eastAsia="仿宋" w:cs="仿宋"/>
                <w:color w:val="000000"/>
                <w:highlight w:val="none"/>
              </w:rPr>
              <w:t>村镇饮用水卫生合格率</w:t>
            </w:r>
          </w:p>
        </w:tc>
        <w:tc>
          <w:tcPr>
            <w:tcW w:w="233"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w:t>
            </w:r>
          </w:p>
        </w:tc>
        <w:tc>
          <w:tcPr>
            <w:tcW w:w="57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100</w:t>
            </w:r>
          </w:p>
        </w:tc>
        <w:tc>
          <w:tcPr>
            <w:tcW w:w="26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约束性</w:t>
            </w:r>
          </w:p>
        </w:tc>
        <w:tc>
          <w:tcPr>
            <w:tcW w:w="473"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100</w:t>
            </w:r>
          </w:p>
        </w:tc>
        <w:tc>
          <w:tcPr>
            <w:tcW w:w="462"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100</w:t>
            </w:r>
          </w:p>
        </w:tc>
        <w:tc>
          <w:tcPr>
            <w:tcW w:w="447"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100</w:t>
            </w:r>
          </w:p>
        </w:tc>
        <w:tc>
          <w:tcPr>
            <w:tcW w:w="25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达标</w:t>
            </w:r>
          </w:p>
        </w:tc>
        <w:tc>
          <w:tcPr>
            <w:tcW w:w="374"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100</w:t>
            </w:r>
          </w:p>
        </w:tc>
        <w:tc>
          <w:tcPr>
            <w:tcW w:w="372"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209" w:type="pct"/>
            <w:vMerge w:val="continue"/>
            <w:vAlign w:val="center"/>
          </w:tcPr>
          <w:p>
            <w:pPr>
              <w:jc w:val="center"/>
              <w:rPr>
                <w:rFonts w:ascii="仿宋" w:hAnsi="仿宋" w:eastAsia="仿宋" w:cs="仿宋"/>
                <w:color w:val="000000"/>
                <w:highlight w:val="none"/>
              </w:rPr>
            </w:pPr>
          </w:p>
        </w:tc>
        <w:tc>
          <w:tcPr>
            <w:tcW w:w="221" w:type="pct"/>
            <w:vMerge w:val="continue"/>
            <w:vAlign w:val="center"/>
          </w:tcPr>
          <w:p>
            <w:pPr>
              <w:jc w:val="center"/>
              <w:rPr>
                <w:rFonts w:ascii="仿宋" w:hAnsi="仿宋" w:eastAsia="仿宋" w:cs="仿宋"/>
                <w:color w:val="000000"/>
                <w:highlight w:val="none"/>
              </w:rPr>
            </w:pPr>
          </w:p>
        </w:tc>
        <w:tc>
          <w:tcPr>
            <w:tcW w:w="221"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27</w:t>
            </w:r>
          </w:p>
        </w:tc>
        <w:tc>
          <w:tcPr>
            <w:tcW w:w="890" w:type="pct"/>
            <w:gridSpan w:val="2"/>
            <w:vAlign w:val="center"/>
          </w:tcPr>
          <w:p>
            <w:pPr>
              <w:rPr>
                <w:rFonts w:ascii="仿宋" w:hAnsi="仿宋" w:eastAsia="仿宋" w:cs="仿宋"/>
                <w:color w:val="000000"/>
                <w:highlight w:val="none"/>
              </w:rPr>
            </w:pPr>
            <w:r>
              <w:rPr>
                <w:rFonts w:hint="eastAsia" w:ascii="仿宋" w:hAnsi="仿宋" w:eastAsia="仿宋" w:cs="仿宋"/>
                <w:color w:val="000000"/>
                <w:highlight w:val="none"/>
              </w:rPr>
              <w:t>城镇污水处理率</w:t>
            </w:r>
          </w:p>
        </w:tc>
        <w:tc>
          <w:tcPr>
            <w:tcW w:w="233"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w:t>
            </w:r>
          </w:p>
        </w:tc>
        <w:tc>
          <w:tcPr>
            <w:tcW w:w="57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≥85</w:t>
            </w:r>
          </w:p>
        </w:tc>
        <w:tc>
          <w:tcPr>
            <w:tcW w:w="26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约束性</w:t>
            </w:r>
          </w:p>
        </w:tc>
        <w:tc>
          <w:tcPr>
            <w:tcW w:w="473"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97.52</w:t>
            </w:r>
          </w:p>
        </w:tc>
        <w:tc>
          <w:tcPr>
            <w:tcW w:w="462"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97.96</w:t>
            </w:r>
          </w:p>
        </w:tc>
        <w:tc>
          <w:tcPr>
            <w:tcW w:w="447"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98.06</w:t>
            </w:r>
          </w:p>
        </w:tc>
        <w:tc>
          <w:tcPr>
            <w:tcW w:w="25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达标</w:t>
            </w:r>
          </w:p>
        </w:tc>
        <w:tc>
          <w:tcPr>
            <w:tcW w:w="1156" w:type="dxa"/>
            <w:vAlign w:val="center"/>
          </w:tcPr>
          <w:p>
            <w:pPr>
              <w:widowControl w:val="0"/>
              <w:spacing w:after="0"/>
              <w:jc w:val="center"/>
              <w:rPr>
                <w:rFonts w:ascii="仿宋" w:hAnsi="仿宋" w:eastAsia="仿宋" w:cs="仿宋"/>
                <w:color w:val="000000"/>
                <w:highlight w:val="none"/>
              </w:rPr>
            </w:pPr>
            <w:r>
              <w:rPr>
                <w:rFonts w:hint="eastAsia" w:ascii="仿宋" w:hAnsi="仿宋" w:eastAsia="仿宋" w:cs="Times New Roman"/>
                <w:highlight w:val="none"/>
                <w14:ligatures w14:val="none"/>
              </w:rPr>
              <w:t>保持稳定</w:t>
            </w:r>
          </w:p>
        </w:tc>
        <w:tc>
          <w:tcPr>
            <w:tcW w:w="1150" w:type="dxa"/>
            <w:vAlign w:val="center"/>
          </w:tcPr>
          <w:p>
            <w:pPr>
              <w:widowControl w:val="0"/>
              <w:spacing w:after="0"/>
              <w:jc w:val="center"/>
              <w:rPr>
                <w:rFonts w:ascii="仿宋" w:hAnsi="仿宋" w:eastAsia="仿宋" w:cs="仿宋"/>
                <w:color w:val="000000"/>
                <w:highlight w:val="none"/>
              </w:rPr>
            </w:pPr>
            <w:r>
              <w:rPr>
                <w:rFonts w:hint="eastAsia" w:ascii="仿宋" w:hAnsi="仿宋" w:eastAsia="仿宋" w:cs="Times New Roman"/>
                <w:highlight w:val="none"/>
                <w14:ligatures w14:val="none"/>
              </w:rPr>
              <w:t>保持稳定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209" w:type="pct"/>
            <w:vMerge w:val="continue"/>
            <w:vAlign w:val="center"/>
          </w:tcPr>
          <w:p>
            <w:pPr>
              <w:jc w:val="center"/>
              <w:rPr>
                <w:rFonts w:ascii="仿宋" w:hAnsi="仿宋" w:eastAsia="仿宋" w:cs="仿宋"/>
                <w:color w:val="000000"/>
                <w:highlight w:val="none"/>
              </w:rPr>
            </w:pPr>
          </w:p>
        </w:tc>
        <w:tc>
          <w:tcPr>
            <w:tcW w:w="221" w:type="pct"/>
            <w:vMerge w:val="continue"/>
            <w:vAlign w:val="center"/>
          </w:tcPr>
          <w:p>
            <w:pPr>
              <w:jc w:val="center"/>
              <w:rPr>
                <w:rFonts w:ascii="仿宋" w:hAnsi="仿宋" w:eastAsia="仿宋" w:cs="仿宋"/>
                <w:color w:val="000000"/>
                <w:highlight w:val="none"/>
              </w:rPr>
            </w:pPr>
          </w:p>
        </w:tc>
        <w:tc>
          <w:tcPr>
            <w:tcW w:w="221"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28</w:t>
            </w:r>
          </w:p>
        </w:tc>
        <w:tc>
          <w:tcPr>
            <w:tcW w:w="890" w:type="pct"/>
            <w:gridSpan w:val="2"/>
            <w:vAlign w:val="center"/>
          </w:tcPr>
          <w:p>
            <w:pPr>
              <w:rPr>
                <w:rFonts w:ascii="仿宋" w:hAnsi="仿宋" w:eastAsia="仿宋" w:cs="仿宋"/>
                <w:color w:val="000000"/>
                <w:highlight w:val="none"/>
              </w:rPr>
            </w:pPr>
            <w:r>
              <w:rPr>
                <w:rFonts w:hint="eastAsia" w:ascii="仿宋" w:hAnsi="仿宋" w:eastAsia="仿宋" w:cs="仿宋"/>
                <w:highlight w:val="none"/>
              </w:rPr>
              <w:t>完成农村生活污水治理任务的行政村比例</w:t>
            </w:r>
          </w:p>
        </w:tc>
        <w:tc>
          <w:tcPr>
            <w:tcW w:w="233"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w:t>
            </w:r>
          </w:p>
        </w:tc>
        <w:tc>
          <w:tcPr>
            <w:tcW w:w="575" w:type="pct"/>
            <w:vAlign w:val="center"/>
          </w:tcPr>
          <w:p>
            <w:pPr>
              <w:jc w:val="center"/>
              <w:rPr>
                <w:rFonts w:ascii="仿宋" w:hAnsi="仿宋" w:eastAsia="仿宋" w:cs="仿宋"/>
                <w:color w:val="000000"/>
                <w:highlight w:val="none"/>
              </w:rPr>
            </w:pPr>
            <w:r>
              <w:rPr>
                <w:rFonts w:hint="eastAsia" w:ascii="仿宋" w:hAnsi="仿宋" w:eastAsia="仿宋" w:cs="仿宋"/>
                <w:highlight w:val="none"/>
              </w:rPr>
              <w:t>完成上年度的目标任务</w:t>
            </w:r>
          </w:p>
        </w:tc>
        <w:tc>
          <w:tcPr>
            <w:tcW w:w="26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参考性</w:t>
            </w:r>
          </w:p>
        </w:tc>
        <w:tc>
          <w:tcPr>
            <w:tcW w:w="473" w:type="pct"/>
            <w:vAlign w:val="center"/>
          </w:tcPr>
          <w:p>
            <w:pPr>
              <w:jc w:val="center"/>
              <w:rPr>
                <w:rFonts w:ascii="仿宋" w:hAnsi="仿宋" w:eastAsia="仿宋" w:cs="仿宋"/>
                <w:color w:val="000000"/>
                <w:highlight w:val="none"/>
              </w:rPr>
            </w:pPr>
            <w:r>
              <w:rPr>
                <w:rFonts w:hint="eastAsia" w:ascii="仿宋" w:hAnsi="仿宋" w:eastAsia="仿宋" w:cs="仿宋"/>
                <w:highlight w:val="none"/>
              </w:rPr>
              <w:t>完成上年度的目标任务</w:t>
            </w:r>
          </w:p>
        </w:tc>
        <w:tc>
          <w:tcPr>
            <w:tcW w:w="462" w:type="pct"/>
            <w:vAlign w:val="center"/>
          </w:tcPr>
          <w:p>
            <w:pPr>
              <w:jc w:val="center"/>
              <w:rPr>
                <w:rFonts w:ascii="仿宋" w:hAnsi="仿宋" w:eastAsia="仿宋" w:cs="仿宋"/>
                <w:color w:val="000000"/>
                <w:highlight w:val="none"/>
              </w:rPr>
            </w:pPr>
            <w:r>
              <w:rPr>
                <w:rFonts w:hint="eastAsia" w:ascii="仿宋" w:hAnsi="仿宋" w:eastAsia="仿宋" w:cs="仿宋"/>
                <w:highlight w:val="none"/>
              </w:rPr>
              <w:t>完成上年度的目标任务</w:t>
            </w:r>
          </w:p>
        </w:tc>
        <w:tc>
          <w:tcPr>
            <w:tcW w:w="447" w:type="pct"/>
            <w:vAlign w:val="center"/>
          </w:tcPr>
          <w:p>
            <w:pPr>
              <w:jc w:val="center"/>
              <w:rPr>
                <w:rFonts w:ascii="仿宋" w:hAnsi="仿宋" w:eastAsia="仿宋" w:cs="仿宋"/>
                <w:color w:val="000000"/>
                <w:highlight w:val="none"/>
              </w:rPr>
            </w:pPr>
            <w:r>
              <w:rPr>
                <w:rFonts w:hint="eastAsia" w:ascii="仿宋" w:hAnsi="仿宋" w:eastAsia="仿宋" w:cs="仿宋"/>
                <w:highlight w:val="none"/>
              </w:rPr>
              <w:t>完成上年度的目标任务</w:t>
            </w:r>
          </w:p>
        </w:tc>
        <w:tc>
          <w:tcPr>
            <w:tcW w:w="25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达标</w:t>
            </w:r>
          </w:p>
        </w:tc>
        <w:tc>
          <w:tcPr>
            <w:tcW w:w="374" w:type="pct"/>
            <w:vAlign w:val="center"/>
          </w:tcPr>
          <w:p>
            <w:pPr>
              <w:jc w:val="center"/>
              <w:rPr>
                <w:rFonts w:ascii="仿宋" w:hAnsi="仿宋" w:eastAsia="仿宋" w:cs="仿宋"/>
                <w:color w:val="000000"/>
                <w:highlight w:val="none"/>
              </w:rPr>
            </w:pPr>
            <w:r>
              <w:rPr>
                <w:rFonts w:ascii="仿宋" w:hAnsi="仿宋" w:eastAsia="仿宋" w:cs="Times New Roman"/>
                <w:highlight w:val="none"/>
                <w14:ligatures w14:val="none"/>
              </w:rPr>
              <w:t>完成上级规定的目标任务</w:t>
            </w:r>
          </w:p>
        </w:tc>
        <w:tc>
          <w:tcPr>
            <w:tcW w:w="372" w:type="pct"/>
            <w:vAlign w:val="center"/>
          </w:tcPr>
          <w:p>
            <w:pPr>
              <w:jc w:val="center"/>
              <w:rPr>
                <w:rFonts w:ascii="仿宋" w:hAnsi="仿宋" w:eastAsia="仿宋" w:cs="仿宋"/>
                <w:color w:val="000000"/>
                <w:highlight w:val="none"/>
              </w:rPr>
            </w:pPr>
            <w:r>
              <w:rPr>
                <w:rFonts w:ascii="仿宋" w:hAnsi="仿宋" w:eastAsia="仿宋" w:cs="Times New Roman"/>
                <w:highlight w:val="none"/>
                <w14:ligatures w14:val="none"/>
              </w:rPr>
              <w:t>完成上级规定的目标任务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209" w:type="pct"/>
            <w:vMerge w:val="continue"/>
            <w:vAlign w:val="center"/>
          </w:tcPr>
          <w:p>
            <w:pPr>
              <w:jc w:val="center"/>
              <w:rPr>
                <w:rFonts w:ascii="仿宋" w:hAnsi="仿宋" w:eastAsia="仿宋" w:cs="仿宋"/>
                <w:color w:val="000000"/>
                <w:highlight w:val="none"/>
              </w:rPr>
            </w:pPr>
          </w:p>
        </w:tc>
        <w:tc>
          <w:tcPr>
            <w:tcW w:w="221" w:type="pct"/>
            <w:vMerge w:val="continue"/>
            <w:vAlign w:val="center"/>
          </w:tcPr>
          <w:p>
            <w:pPr>
              <w:jc w:val="center"/>
              <w:rPr>
                <w:rFonts w:ascii="仿宋" w:hAnsi="仿宋" w:eastAsia="仿宋" w:cs="仿宋"/>
                <w:color w:val="000000"/>
                <w:highlight w:val="none"/>
              </w:rPr>
            </w:pPr>
          </w:p>
        </w:tc>
        <w:tc>
          <w:tcPr>
            <w:tcW w:w="221"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29</w:t>
            </w:r>
          </w:p>
        </w:tc>
        <w:tc>
          <w:tcPr>
            <w:tcW w:w="890" w:type="pct"/>
            <w:gridSpan w:val="2"/>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城镇生活垃圾无害化处理率</w:t>
            </w:r>
          </w:p>
        </w:tc>
        <w:tc>
          <w:tcPr>
            <w:tcW w:w="233"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w:t>
            </w:r>
          </w:p>
        </w:tc>
        <w:tc>
          <w:tcPr>
            <w:tcW w:w="57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≥80</w:t>
            </w:r>
          </w:p>
        </w:tc>
        <w:tc>
          <w:tcPr>
            <w:tcW w:w="26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约束性</w:t>
            </w:r>
          </w:p>
        </w:tc>
        <w:tc>
          <w:tcPr>
            <w:tcW w:w="473"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100</w:t>
            </w:r>
          </w:p>
        </w:tc>
        <w:tc>
          <w:tcPr>
            <w:tcW w:w="462"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100</w:t>
            </w:r>
          </w:p>
        </w:tc>
        <w:tc>
          <w:tcPr>
            <w:tcW w:w="447"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100</w:t>
            </w:r>
          </w:p>
        </w:tc>
        <w:tc>
          <w:tcPr>
            <w:tcW w:w="25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达标</w:t>
            </w:r>
          </w:p>
        </w:tc>
        <w:tc>
          <w:tcPr>
            <w:tcW w:w="374"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100</w:t>
            </w:r>
          </w:p>
        </w:tc>
        <w:tc>
          <w:tcPr>
            <w:tcW w:w="372"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209" w:type="pct"/>
            <w:vMerge w:val="continue"/>
            <w:vAlign w:val="center"/>
          </w:tcPr>
          <w:p>
            <w:pPr>
              <w:jc w:val="center"/>
              <w:rPr>
                <w:rFonts w:ascii="仿宋" w:hAnsi="仿宋" w:eastAsia="仿宋" w:cs="仿宋"/>
                <w:color w:val="000000"/>
                <w:highlight w:val="none"/>
              </w:rPr>
            </w:pPr>
          </w:p>
        </w:tc>
        <w:tc>
          <w:tcPr>
            <w:tcW w:w="221" w:type="pct"/>
            <w:vMerge w:val="continue"/>
            <w:vAlign w:val="center"/>
          </w:tcPr>
          <w:p>
            <w:pPr>
              <w:jc w:val="center"/>
              <w:rPr>
                <w:rFonts w:ascii="仿宋" w:hAnsi="仿宋" w:eastAsia="仿宋" w:cs="仿宋"/>
                <w:color w:val="000000"/>
                <w:highlight w:val="none"/>
              </w:rPr>
            </w:pPr>
          </w:p>
        </w:tc>
        <w:tc>
          <w:tcPr>
            <w:tcW w:w="221"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30</w:t>
            </w:r>
          </w:p>
        </w:tc>
        <w:tc>
          <w:tcPr>
            <w:tcW w:w="890" w:type="pct"/>
            <w:gridSpan w:val="2"/>
            <w:vAlign w:val="center"/>
          </w:tcPr>
          <w:p>
            <w:pPr>
              <w:jc w:val="center"/>
              <w:rPr>
                <w:rFonts w:ascii="仿宋" w:hAnsi="仿宋" w:eastAsia="仿宋" w:cs="仿宋"/>
                <w:highlight w:val="none"/>
              </w:rPr>
            </w:pPr>
            <w:r>
              <w:rPr>
                <w:rFonts w:hint="eastAsia" w:ascii="仿宋" w:hAnsi="仿宋" w:eastAsia="仿宋" w:cs="仿宋"/>
                <w:highlight w:val="none"/>
              </w:rPr>
              <w:t>农村生活垃圾无害化处理村占比</w:t>
            </w:r>
          </w:p>
        </w:tc>
        <w:tc>
          <w:tcPr>
            <w:tcW w:w="233" w:type="pct"/>
            <w:vAlign w:val="center"/>
          </w:tcPr>
          <w:p>
            <w:pPr>
              <w:jc w:val="center"/>
              <w:rPr>
                <w:rFonts w:ascii="仿宋" w:hAnsi="仿宋" w:eastAsia="仿宋" w:cs="仿宋"/>
                <w:highlight w:val="none"/>
              </w:rPr>
            </w:pPr>
            <w:r>
              <w:rPr>
                <w:rFonts w:hint="eastAsia" w:ascii="仿宋" w:hAnsi="仿宋" w:eastAsia="仿宋" w:cs="仿宋"/>
                <w:highlight w:val="none"/>
              </w:rPr>
              <w:t>%</w:t>
            </w:r>
          </w:p>
        </w:tc>
        <w:tc>
          <w:tcPr>
            <w:tcW w:w="575" w:type="pct"/>
            <w:vAlign w:val="center"/>
          </w:tcPr>
          <w:p>
            <w:pPr>
              <w:jc w:val="center"/>
              <w:rPr>
                <w:rFonts w:ascii="仿宋" w:hAnsi="仿宋" w:eastAsia="仿宋" w:cs="仿宋"/>
                <w:highlight w:val="none"/>
              </w:rPr>
            </w:pPr>
            <w:r>
              <w:rPr>
                <w:rFonts w:hint="eastAsia" w:ascii="仿宋" w:hAnsi="仿宋" w:eastAsia="仿宋" w:cs="仿宋"/>
                <w:highlight w:val="none"/>
              </w:rPr>
              <w:t>≥80</w:t>
            </w:r>
          </w:p>
        </w:tc>
        <w:tc>
          <w:tcPr>
            <w:tcW w:w="265" w:type="pct"/>
            <w:vAlign w:val="center"/>
          </w:tcPr>
          <w:p>
            <w:pPr>
              <w:jc w:val="center"/>
              <w:rPr>
                <w:rFonts w:ascii="仿宋" w:hAnsi="仿宋" w:eastAsia="仿宋" w:cs="仿宋"/>
                <w:highlight w:val="none"/>
              </w:rPr>
            </w:pPr>
            <w:r>
              <w:rPr>
                <w:rFonts w:hint="eastAsia" w:ascii="仿宋" w:hAnsi="仿宋" w:eastAsia="仿宋" w:cs="仿宋"/>
                <w:highlight w:val="none"/>
              </w:rPr>
              <w:t>参考性</w:t>
            </w:r>
          </w:p>
        </w:tc>
        <w:tc>
          <w:tcPr>
            <w:tcW w:w="473"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100</w:t>
            </w:r>
          </w:p>
        </w:tc>
        <w:tc>
          <w:tcPr>
            <w:tcW w:w="462"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100</w:t>
            </w:r>
          </w:p>
        </w:tc>
        <w:tc>
          <w:tcPr>
            <w:tcW w:w="447"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100</w:t>
            </w:r>
          </w:p>
        </w:tc>
        <w:tc>
          <w:tcPr>
            <w:tcW w:w="255" w:type="pct"/>
            <w:vAlign w:val="center"/>
          </w:tcPr>
          <w:p>
            <w:pPr>
              <w:jc w:val="center"/>
              <w:rPr>
                <w:rFonts w:ascii="仿宋" w:hAnsi="仿宋" w:eastAsia="仿宋" w:cs="仿宋"/>
                <w:b/>
                <w:bCs/>
                <w:color w:val="000000"/>
                <w:highlight w:val="none"/>
              </w:rPr>
            </w:pPr>
            <w:r>
              <w:rPr>
                <w:rFonts w:hint="eastAsia" w:ascii="仿宋" w:hAnsi="仿宋" w:eastAsia="仿宋" w:cs="仿宋"/>
                <w:color w:val="000000"/>
                <w:highlight w:val="none"/>
              </w:rPr>
              <w:t>达标</w:t>
            </w:r>
          </w:p>
        </w:tc>
        <w:tc>
          <w:tcPr>
            <w:tcW w:w="374"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100</w:t>
            </w:r>
          </w:p>
        </w:tc>
        <w:tc>
          <w:tcPr>
            <w:tcW w:w="372"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209" w:type="pct"/>
            <w:vMerge w:val="continue"/>
            <w:vAlign w:val="center"/>
          </w:tcPr>
          <w:p>
            <w:pPr>
              <w:jc w:val="center"/>
              <w:rPr>
                <w:rFonts w:ascii="仿宋" w:hAnsi="仿宋" w:eastAsia="仿宋" w:cs="仿宋"/>
                <w:color w:val="000000"/>
                <w:highlight w:val="none"/>
              </w:rPr>
            </w:pPr>
          </w:p>
        </w:tc>
        <w:tc>
          <w:tcPr>
            <w:tcW w:w="221" w:type="pct"/>
            <w:vMerge w:val="continue"/>
            <w:vAlign w:val="center"/>
          </w:tcPr>
          <w:p>
            <w:pPr>
              <w:jc w:val="center"/>
              <w:rPr>
                <w:rFonts w:ascii="仿宋" w:hAnsi="仿宋" w:eastAsia="仿宋" w:cs="仿宋"/>
                <w:color w:val="000000"/>
                <w:highlight w:val="none"/>
              </w:rPr>
            </w:pPr>
          </w:p>
        </w:tc>
        <w:tc>
          <w:tcPr>
            <w:tcW w:w="221"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31</w:t>
            </w:r>
          </w:p>
        </w:tc>
        <w:tc>
          <w:tcPr>
            <w:tcW w:w="890" w:type="pct"/>
            <w:gridSpan w:val="2"/>
            <w:vAlign w:val="center"/>
          </w:tcPr>
          <w:p>
            <w:pPr>
              <w:rPr>
                <w:rFonts w:ascii="仿宋" w:hAnsi="仿宋" w:eastAsia="仿宋" w:cs="仿宋"/>
                <w:color w:val="000000"/>
                <w:highlight w:val="none"/>
              </w:rPr>
            </w:pPr>
            <w:r>
              <w:rPr>
                <w:rFonts w:hint="eastAsia" w:ascii="仿宋" w:hAnsi="仿宋" w:eastAsia="仿宋" w:cs="仿宋"/>
                <w:color w:val="000000"/>
                <w:highlight w:val="none"/>
              </w:rPr>
              <w:t>农村无害化厕所普及率</w:t>
            </w:r>
          </w:p>
        </w:tc>
        <w:tc>
          <w:tcPr>
            <w:tcW w:w="233"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w:t>
            </w:r>
          </w:p>
        </w:tc>
        <w:tc>
          <w:tcPr>
            <w:tcW w:w="57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完成上级规定的目标任务</w:t>
            </w:r>
          </w:p>
        </w:tc>
        <w:tc>
          <w:tcPr>
            <w:tcW w:w="26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约束性</w:t>
            </w:r>
          </w:p>
        </w:tc>
        <w:tc>
          <w:tcPr>
            <w:tcW w:w="473"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90.85</w:t>
            </w:r>
          </w:p>
        </w:tc>
        <w:tc>
          <w:tcPr>
            <w:tcW w:w="462"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改造提升</w:t>
            </w:r>
          </w:p>
        </w:tc>
        <w:tc>
          <w:tcPr>
            <w:tcW w:w="447"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改造提升</w:t>
            </w:r>
          </w:p>
        </w:tc>
        <w:tc>
          <w:tcPr>
            <w:tcW w:w="25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达标</w:t>
            </w:r>
          </w:p>
        </w:tc>
        <w:tc>
          <w:tcPr>
            <w:tcW w:w="374"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完成上级规定的目标任务</w:t>
            </w:r>
          </w:p>
        </w:tc>
        <w:tc>
          <w:tcPr>
            <w:tcW w:w="372"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完成上级规定的目标任务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209" w:type="pct"/>
            <w:vMerge w:val="restar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生态生活</w:t>
            </w:r>
          </w:p>
        </w:tc>
        <w:tc>
          <w:tcPr>
            <w:tcW w:w="221" w:type="pct"/>
            <w:vMerge w:val="restar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生活方式绿色化</w:t>
            </w:r>
          </w:p>
        </w:tc>
        <w:tc>
          <w:tcPr>
            <w:tcW w:w="221"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32</w:t>
            </w:r>
          </w:p>
        </w:tc>
        <w:tc>
          <w:tcPr>
            <w:tcW w:w="890" w:type="pct"/>
            <w:gridSpan w:val="2"/>
            <w:vAlign w:val="center"/>
          </w:tcPr>
          <w:p>
            <w:pPr>
              <w:rPr>
                <w:rFonts w:ascii="仿宋" w:hAnsi="仿宋" w:eastAsia="仿宋" w:cs="仿宋"/>
                <w:color w:val="000000"/>
                <w:highlight w:val="none"/>
              </w:rPr>
            </w:pPr>
            <w:r>
              <w:rPr>
                <w:rFonts w:hint="eastAsia" w:ascii="仿宋" w:hAnsi="仿宋" w:eastAsia="仿宋" w:cs="仿宋"/>
                <w:color w:val="000000"/>
                <w:highlight w:val="none"/>
              </w:rPr>
              <w:t>城镇新建绿色建筑比例</w:t>
            </w:r>
          </w:p>
        </w:tc>
        <w:tc>
          <w:tcPr>
            <w:tcW w:w="233"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w:t>
            </w:r>
          </w:p>
        </w:tc>
        <w:tc>
          <w:tcPr>
            <w:tcW w:w="57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≥50</w:t>
            </w:r>
          </w:p>
        </w:tc>
        <w:tc>
          <w:tcPr>
            <w:tcW w:w="26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参考性</w:t>
            </w:r>
          </w:p>
        </w:tc>
        <w:tc>
          <w:tcPr>
            <w:tcW w:w="473"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93.42</w:t>
            </w:r>
          </w:p>
        </w:tc>
        <w:tc>
          <w:tcPr>
            <w:tcW w:w="462"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89.36</w:t>
            </w:r>
          </w:p>
        </w:tc>
        <w:tc>
          <w:tcPr>
            <w:tcW w:w="447"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96.43</w:t>
            </w:r>
          </w:p>
        </w:tc>
        <w:tc>
          <w:tcPr>
            <w:tcW w:w="25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达标</w:t>
            </w:r>
          </w:p>
        </w:tc>
        <w:tc>
          <w:tcPr>
            <w:tcW w:w="374" w:type="pct"/>
            <w:vAlign w:val="center"/>
          </w:tcPr>
          <w:p>
            <w:pPr>
              <w:jc w:val="center"/>
              <w:rPr>
                <w:rFonts w:ascii="仿宋" w:hAnsi="仿宋" w:eastAsia="仿宋" w:cs="仿宋"/>
                <w:color w:val="000000"/>
                <w:highlight w:val="none"/>
              </w:rPr>
            </w:pPr>
            <w:r>
              <w:rPr>
                <w:rFonts w:hint="eastAsia" w:ascii="仿宋" w:hAnsi="仿宋" w:eastAsia="仿宋" w:cs="Times New Roman"/>
                <w:highlight w:val="none"/>
                <w14:ligatures w14:val="none"/>
              </w:rPr>
              <w:t>保持稳定</w:t>
            </w:r>
          </w:p>
        </w:tc>
        <w:tc>
          <w:tcPr>
            <w:tcW w:w="372" w:type="pct"/>
            <w:vAlign w:val="center"/>
          </w:tcPr>
          <w:p>
            <w:pPr>
              <w:jc w:val="center"/>
              <w:rPr>
                <w:rFonts w:ascii="仿宋" w:hAnsi="仿宋" w:eastAsia="仿宋" w:cs="仿宋"/>
                <w:color w:val="000000"/>
                <w:highlight w:val="none"/>
              </w:rPr>
            </w:pPr>
            <w:r>
              <w:rPr>
                <w:rFonts w:hint="eastAsia" w:ascii="仿宋" w:hAnsi="仿宋" w:eastAsia="仿宋" w:cs="Times New Roman"/>
                <w:highlight w:val="none"/>
                <w14:ligatures w14:val="none"/>
              </w:rPr>
              <w:t>保持稳定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209" w:type="pct"/>
            <w:vMerge w:val="continue"/>
            <w:vAlign w:val="center"/>
          </w:tcPr>
          <w:p>
            <w:pPr>
              <w:jc w:val="center"/>
              <w:rPr>
                <w:rFonts w:ascii="仿宋" w:hAnsi="仿宋" w:eastAsia="仿宋" w:cs="仿宋"/>
                <w:color w:val="000000"/>
                <w:highlight w:val="none"/>
              </w:rPr>
            </w:pPr>
          </w:p>
        </w:tc>
        <w:tc>
          <w:tcPr>
            <w:tcW w:w="221" w:type="pct"/>
            <w:vMerge w:val="continue"/>
            <w:vAlign w:val="center"/>
          </w:tcPr>
          <w:p>
            <w:pPr>
              <w:jc w:val="center"/>
              <w:rPr>
                <w:rFonts w:ascii="仿宋" w:hAnsi="仿宋" w:eastAsia="仿宋" w:cs="仿宋"/>
                <w:color w:val="000000"/>
                <w:highlight w:val="none"/>
              </w:rPr>
            </w:pPr>
          </w:p>
        </w:tc>
        <w:tc>
          <w:tcPr>
            <w:tcW w:w="221" w:type="pct"/>
            <w:vMerge w:val="restar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33</w:t>
            </w:r>
          </w:p>
        </w:tc>
        <w:tc>
          <w:tcPr>
            <w:tcW w:w="256" w:type="pct"/>
            <w:vMerge w:val="restart"/>
            <w:vAlign w:val="center"/>
          </w:tcPr>
          <w:p>
            <w:pPr>
              <w:adjustRightInd w:val="0"/>
              <w:snapToGrid w:val="0"/>
              <w:rPr>
                <w:rFonts w:ascii="仿宋" w:hAnsi="仿宋" w:eastAsia="仿宋" w:cs="仿宋"/>
                <w:color w:val="000000"/>
                <w:highlight w:val="none"/>
              </w:rPr>
            </w:pPr>
            <w:r>
              <w:rPr>
                <w:rFonts w:hint="eastAsia" w:ascii="仿宋" w:hAnsi="仿宋" w:eastAsia="仿宋" w:cs="仿宋"/>
                <w:highlight w:val="none"/>
              </w:rPr>
              <w:t>生活废弃物综合利用</w:t>
            </w:r>
          </w:p>
        </w:tc>
        <w:tc>
          <w:tcPr>
            <w:tcW w:w="634" w:type="pct"/>
            <w:vAlign w:val="center"/>
          </w:tcPr>
          <w:p>
            <w:pPr>
              <w:rPr>
                <w:rFonts w:ascii="仿宋" w:hAnsi="仿宋" w:eastAsia="仿宋" w:cs="仿宋"/>
                <w:color w:val="000000"/>
                <w:highlight w:val="none"/>
              </w:rPr>
            </w:pPr>
            <w:r>
              <w:rPr>
                <w:rFonts w:hint="eastAsia" w:ascii="仿宋" w:hAnsi="仿宋" w:eastAsia="仿宋" w:cs="仿宋"/>
                <w:highlight w:val="none"/>
              </w:rPr>
              <w:t>城镇生活垃圾分类减量化行动</w:t>
            </w:r>
          </w:p>
        </w:tc>
        <w:tc>
          <w:tcPr>
            <w:tcW w:w="233" w:type="pct"/>
            <w:vMerge w:val="restar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w:t>
            </w:r>
          </w:p>
        </w:tc>
        <w:tc>
          <w:tcPr>
            <w:tcW w:w="575" w:type="pct"/>
            <w:vMerge w:val="restar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实施</w:t>
            </w:r>
          </w:p>
        </w:tc>
        <w:tc>
          <w:tcPr>
            <w:tcW w:w="265" w:type="pct"/>
            <w:vMerge w:val="restar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参考性</w:t>
            </w:r>
          </w:p>
        </w:tc>
        <w:tc>
          <w:tcPr>
            <w:tcW w:w="473"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实施</w:t>
            </w:r>
          </w:p>
        </w:tc>
        <w:tc>
          <w:tcPr>
            <w:tcW w:w="462"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实施</w:t>
            </w:r>
          </w:p>
        </w:tc>
        <w:tc>
          <w:tcPr>
            <w:tcW w:w="447"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实施</w:t>
            </w:r>
          </w:p>
        </w:tc>
        <w:tc>
          <w:tcPr>
            <w:tcW w:w="25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达标</w:t>
            </w:r>
          </w:p>
        </w:tc>
        <w:tc>
          <w:tcPr>
            <w:tcW w:w="374" w:type="pct"/>
            <w:vAlign w:val="center"/>
          </w:tcPr>
          <w:p>
            <w:pPr>
              <w:jc w:val="center"/>
              <w:rPr>
                <w:rFonts w:ascii="仿宋" w:hAnsi="仿宋" w:eastAsia="仿宋" w:cs="仿宋"/>
                <w:color w:val="000000"/>
                <w:highlight w:val="none"/>
              </w:rPr>
            </w:pPr>
            <w:r>
              <w:rPr>
                <w:rFonts w:hint="eastAsia" w:ascii="仿宋" w:hAnsi="仿宋" w:eastAsia="仿宋" w:cs="Times New Roman"/>
                <w:highlight w:val="none"/>
                <w14:ligatures w14:val="none"/>
              </w:rPr>
              <w:t>实施</w:t>
            </w:r>
          </w:p>
        </w:tc>
        <w:tc>
          <w:tcPr>
            <w:tcW w:w="372" w:type="pct"/>
            <w:vAlign w:val="center"/>
          </w:tcPr>
          <w:p>
            <w:pPr>
              <w:jc w:val="center"/>
              <w:rPr>
                <w:rFonts w:ascii="仿宋" w:hAnsi="仿宋" w:eastAsia="仿宋" w:cs="仿宋"/>
                <w:color w:val="000000"/>
                <w:highlight w:val="none"/>
              </w:rPr>
            </w:pPr>
            <w:r>
              <w:rPr>
                <w:rFonts w:hint="eastAsia" w:ascii="仿宋" w:hAnsi="仿宋" w:eastAsia="仿宋" w:cs="Times New Roman"/>
                <w:highlight w:val="none"/>
                <w14:ligatures w14:val="none"/>
              </w:rPr>
              <w:t>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209" w:type="pct"/>
            <w:vMerge w:val="continue"/>
            <w:vAlign w:val="center"/>
          </w:tcPr>
          <w:p>
            <w:pPr>
              <w:rPr>
                <w:rFonts w:ascii="仿宋" w:hAnsi="仿宋" w:eastAsia="仿宋" w:cs="仿宋"/>
                <w:highlight w:val="none"/>
              </w:rPr>
            </w:pPr>
          </w:p>
        </w:tc>
        <w:tc>
          <w:tcPr>
            <w:tcW w:w="221" w:type="pct"/>
            <w:vMerge w:val="continue"/>
            <w:vAlign w:val="center"/>
          </w:tcPr>
          <w:p>
            <w:pPr>
              <w:rPr>
                <w:rFonts w:ascii="仿宋" w:hAnsi="仿宋" w:eastAsia="仿宋" w:cs="仿宋"/>
                <w:highlight w:val="none"/>
              </w:rPr>
            </w:pPr>
          </w:p>
        </w:tc>
        <w:tc>
          <w:tcPr>
            <w:tcW w:w="221" w:type="pct"/>
            <w:vMerge w:val="continue"/>
            <w:vAlign w:val="center"/>
          </w:tcPr>
          <w:p>
            <w:pPr>
              <w:rPr>
                <w:rFonts w:ascii="仿宋" w:hAnsi="仿宋" w:eastAsia="仿宋" w:cs="仿宋"/>
                <w:highlight w:val="none"/>
              </w:rPr>
            </w:pPr>
          </w:p>
        </w:tc>
        <w:tc>
          <w:tcPr>
            <w:tcW w:w="256" w:type="pct"/>
            <w:vMerge w:val="continue"/>
            <w:vAlign w:val="center"/>
          </w:tcPr>
          <w:p>
            <w:pPr>
              <w:rPr>
                <w:rFonts w:ascii="仿宋" w:hAnsi="仿宋" w:eastAsia="仿宋" w:cs="仿宋"/>
                <w:highlight w:val="none"/>
              </w:rPr>
            </w:pPr>
          </w:p>
        </w:tc>
        <w:tc>
          <w:tcPr>
            <w:tcW w:w="634" w:type="pct"/>
            <w:vAlign w:val="center"/>
          </w:tcPr>
          <w:p>
            <w:pPr>
              <w:rPr>
                <w:rFonts w:ascii="仿宋" w:hAnsi="仿宋" w:eastAsia="仿宋" w:cs="仿宋"/>
                <w:color w:val="000000"/>
                <w:highlight w:val="none"/>
              </w:rPr>
            </w:pPr>
            <w:r>
              <w:rPr>
                <w:rFonts w:hint="eastAsia" w:ascii="仿宋" w:hAnsi="仿宋" w:eastAsia="仿宋" w:cs="仿宋"/>
                <w:highlight w:val="none"/>
              </w:rPr>
              <w:t>农村生活垃圾集中收集储运</w:t>
            </w:r>
          </w:p>
        </w:tc>
        <w:tc>
          <w:tcPr>
            <w:tcW w:w="233" w:type="pct"/>
            <w:vMerge w:val="continue"/>
            <w:vAlign w:val="center"/>
          </w:tcPr>
          <w:p>
            <w:pPr>
              <w:rPr>
                <w:rFonts w:ascii="仿宋" w:hAnsi="仿宋" w:eastAsia="仿宋" w:cs="仿宋"/>
                <w:color w:val="000000"/>
                <w:highlight w:val="none"/>
              </w:rPr>
            </w:pPr>
          </w:p>
        </w:tc>
        <w:tc>
          <w:tcPr>
            <w:tcW w:w="575" w:type="pct"/>
            <w:vMerge w:val="continue"/>
            <w:vAlign w:val="center"/>
          </w:tcPr>
          <w:p>
            <w:pPr>
              <w:jc w:val="center"/>
              <w:rPr>
                <w:rFonts w:ascii="仿宋" w:hAnsi="仿宋" w:eastAsia="仿宋" w:cs="仿宋"/>
                <w:color w:val="000000"/>
                <w:highlight w:val="none"/>
              </w:rPr>
            </w:pPr>
          </w:p>
        </w:tc>
        <w:tc>
          <w:tcPr>
            <w:tcW w:w="265" w:type="pct"/>
            <w:vMerge w:val="continue"/>
            <w:vAlign w:val="center"/>
          </w:tcPr>
          <w:p>
            <w:pPr>
              <w:jc w:val="center"/>
              <w:rPr>
                <w:rFonts w:ascii="仿宋" w:hAnsi="仿宋" w:eastAsia="仿宋" w:cs="仿宋"/>
                <w:color w:val="000000"/>
                <w:highlight w:val="none"/>
              </w:rPr>
            </w:pPr>
          </w:p>
        </w:tc>
        <w:tc>
          <w:tcPr>
            <w:tcW w:w="473"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实施</w:t>
            </w:r>
          </w:p>
        </w:tc>
        <w:tc>
          <w:tcPr>
            <w:tcW w:w="462"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实施</w:t>
            </w:r>
          </w:p>
        </w:tc>
        <w:tc>
          <w:tcPr>
            <w:tcW w:w="447"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实施</w:t>
            </w:r>
          </w:p>
        </w:tc>
        <w:tc>
          <w:tcPr>
            <w:tcW w:w="25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达标</w:t>
            </w:r>
          </w:p>
        </w:tc>
        <w:tc>
          <w:tcPr>
            <w:tcW w:w="374" w:type="pct"/>
            <w:vAlign w:val="center"/>
          </w:tcPr>
          <w:p>
            <w:pPr>
              <w:jc w:val="center"/>
              <w:rPr>
                <w:rFonts w:ascii="仿宋" w:hAnsi="仿宋" w:eastAsia="仿宋" w:cs="仿宋"/>
                <w:color w:val="000000"/>
                <w:highlight w:val="none"/>
              </w:rPr>
            </w:pPr>
            <w:r>
              <w:rPr>
                <w:rFonts w:hint="eastAsia" w:ascii="仿宋" w:hAnsi="仿宋" w:eastAsia="仿宋" w:cs="Times New Roman"/>
                <w:highlight w:val="none"/>
                <w14:ligatures w14:val="none"/>
              </w:rPr>
              <w:t>实施</w:t>
            </w:r>
          </w:p>
        </w:tc>
        <w:tc>
          <w:tcPr>
            <w:tcW w:w="372" w:type="pct"/>
            <w:vAlign w:val="center"/>
          </w:tcPr>
          <w:p>
            <w:pPr>
              <w:jc w:val="center"/>
              <w:rPr>
                <w:rFonts w:ascii="仿宋" w:hAnsi="仿宋" w:eastAsia="仿宋" w:cs="仿宋"/>
                <w:color w:val="000000"/>
                <w:highlight w:val="none"/>
              </w:rPr>
            </w:pPr>
            <w:r>
              <w:rPr>
                <w:rFonts w:hint="eastAsia" w:ascii="仿宋" w:hAnsi="仿宋" w:eastAsia="仿宋" w:cs="Times New Roman"/>
                <w:highlight w:val="none"/>
                <w14:ligatures w14:val="none"/>
              </w:rPr>
              <w:t>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209" w:type="pct"/>
            <w:vMerge w:val="continue"/>
            <w:vAlign w:val="center"/>
          </w:tcPr>
          <w:p>
            <w:pPr>
              <w:jc w:val="center"/>
              <w:rPr>
                <w:rFonts w:ascii="仿宋" w:hAnsi="仿宋" w:eastAsia="仿宋" w:cs="仿宋"/>
                <w:color w:val="000000"/>
                <w:highlight w:val="none"/>
              </w:rPr>
            </w:pPr>
          </w:p>
        </w:tc>
        <w:tc>
          <w:tcPr>
            <w:tcW w:w="221" w:type="pct"/>
            <w:vMerge w:val="continue"/>
            <w:vAlign w:val="center"/>
          </w:tcPr>
          <w:p>
            <w:pPr>
              <w:jc w:val="center"/>
              <w:rPr>
                <w:rFonts w:ascii="仿宋" w:hAnsi="仿宋" w:eastAsia="仿宋" w:cs="仿宋"/>
                <w:color w:val="000000"/>
                <w:highlight w:val="none"/>
              </w:rPr>
            </w:pPr>
          </w:p>
        </w:tc>
        <w:tc>
          <w:tcPr>
            <w:tcW w:w="221"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34</w:t>
            </w:r>
          </w:p>
        </w:tc>
        <w:tc>
          <w:tcPr>
            <w:tcW w:w="890" w:type="pct"/>
            <w:gridSpan w:val="2"/>
            <w:vAlign w:val="center"/>
          </w:tcPr>
          <w:p>
            <w:pPr>
              <w:rPr>
                <w:rFonts w:ascii="仿宋" w:hAnsi="仿宋" w:eastAsia="仿宋" w:cs="仿宋"/>
                <w:color w:val="000000"/>
                <w:highlight w:val="none"/>
              </w:rPr>
            </w:pPr>
            <w:r>
              <w:rPr>
                <w:rFonts w:hint="eastAsia" w:ascii="仿宋" w:hAnsi="仿宋" w:eastAsia="仿宋" w:cs="仿宋"/>
                <w:color w:val="000000"/>
                <w:highlight w:val="none"/>
              </w:rPr>
              <w:t>政府绿色采购比例</w:t>
            </w:r>
          </w:p>
        </w:tc>
        <w:tc>
          <w:tcPr>
            <w:tcW w:w="233"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w:t>
            </w:r>
          </w:p>
        </w:tc>
        <w:tc>
          <w:tcPr>
            <w:tcW w:w="57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≥80</w:t>
            </w:r>
          </w:p>
        </w:tc>
        <w:tc>
          <w:tcPr>
            <w:tcW w:w="26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约束性</w:t>
            </w:r>
          </w:p>
        </w:tc>
        <w:tc>
          <w:tcPr>
            <w:tcW w:w="473"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100</w:t>
            </w:r>
          </w:p>
        </w:tc>
        <w:tc>
          <w:tcPr>
            <w:tcW w:w="462"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100</w:t>
            </w:r>
          </w:p>
        </w:tc>
        <w:tc>
          <w:tcPr>
            <w:tcW w:w="447"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99.82</w:t>
            </w:r>
          </w:p>
        </w:tc>
        <w:tc>
          <w:tcPr>
            <w:tcW w:w="25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达标</w:t>
            </w:r>
          </w:p>
        </w:tc>
        <w:tc>
          <w:tcPr>
            <w:tcW w:w="374" w:type="pct"/>
            <w:vAlign w:val="center"/>
          </w:tcPr>
          <w:p>
            <w:pPr>
              <w:jc w:val="center"/>
              <w:rPr>
                <w:rFonts w:ascii="仿宋" w:hAnsi="仿宋" w:eastAsia="仿宋" w:cs="仿宋"/>
                <w:color w:val="000000"/>
                <w:highlight w:val="none"/>
              </w:rPr>
            </w:pPr>
            <w:r>
              <w:rPr>
                <w:rFonts w:hint="eastAsia" w:ascii="仿宋" w:hAnsi="仿宋" w:eastAsia="仿宋" w:cs="Times New Roman"/>
                <w:highlight w:val="none"/>
                <w14:ligatures w14:val="none"/>
              </w:rPr>
              <w:t>保持稳定</w:t>
            </w:r>
          </w:p>
        </w:tc>
        <w:tc>
          <w:tcPr>
            <w:tcW w:w="372" w:type="pct"/>
            <w:vAlign w:val="center"/>
          </w:tcPr>
          <w:p>
            <w:pPr>
              <w:jc w:val="center"/>
              <w:rPr>
                <w:rFonts w:ascii="仿宋" w:hAnsi="仿宋" w:eastAsia="仿宋" w:cs="仿宋"/>
                <w:color w:val="000000"/>
                <w:highlight w:val="none"/>
              </w:rPr>
            </w:pPr>
            <w:r>
              <w:rPr>
                <w:rFonts w:hint="eastAsia" w:ascii="仿宋" w:hAnsi="仿宋" w:eastAsia="仿宋" w:cs="Times New Roman"/>
                <w:highlight w:val="none"/>
                <w14:ligatures w14:val="none"/>
              </w:rPr>
              <w:t>保持稳定</w:t>
            </w:r>
          </w:p>
        </w:tc>
      </w:tr>
      <w:tr>
        <w:tblPrEx>
          <w:tblCellMar>
            <w:top w:w="0" w:type="dxa"/>
            <w:left w:w="57" w:type="dxa"/>
            <w:bottom w:w="0" w:type="dxa"/>
            <w:right w:w="57" w:type="dxa"/>
          </w:tblCellMar>
        </w:tblPrEx>
        <w:trPr>
          <w:trHeight w:val="567" w:hRule="atLeast"/>
          <w:jc w:val="center"/>
        </w:trPr>
        <w:tc>
          <w:tcPr>
            <w:tcW w:w="209" w:type="pct"/>
            <w:vMerge w:val="restar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生态文化</w:t>
            </w:r>
          </w:p>
        </w:tc>
        <w:tc>
          <w:tcPr>
            <w:tcW w:w="221" w:type="pct"/>
            <w:vMerge w:val="restar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观念意识普及</w:t>
            </w:r>
          </w:p>
        </w:tc>
        <w:tc>
          <w:tcPr>
            <w:tcW w:w="221"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35</w:t>
            </w:r>
          </w:p>
        </w:tc>
        <w:tc>
          <w:tcPr>
            <w:tcW w:w="890" w:type="pct"/>
            <w:gridSpan w:val="2"/>
            <w:vAlign w:val="center"/>
          </w:tcPr>
          <w:p>
            <w:pPr>
              <w:rPr>
                <w:rFonts w:ascii="仿宋" w:hAnsi="仿宋" w:eastAsia="仿宋" w:cs="仿宋"/>
                <w:color w:val="000000"/>
                <w:highlight w:val="none"/>
              </w:rPr>
            </w:pPr>
            <w:r>
              <w:rPr>
                <w:rFonts w:hint="eastAsia" w:ascii="仿宋" w:hAnsi="仿宋" w:eastAsia="仿宋" w:cs="仿宋"/>
                <w:color w:val="000000"/>
                <w:highlight w:val="none"/>
              </w:rPr>
              <w:t>党政领导干部参加生态文明培训的人数比例</w:t>
            </w:r>
          </w:p>
        </w:tc>
        <w:tc>
          <w:tcPr>
            <w:tcW w:w="233"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w:t>
            </w:r>
          </w:p>
        </w:tc>
        <w:tc>
          <w:tcPr>
            <w:tcW w:w="57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100</w:t>
            </w:r>
          </w:p>
        </w:tc>
        <w:tc>
          <w:tcPr>
            <w:tcW w:w="26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参考性</w:t>
            </w:r>
          </w:p>
        </w:tc>
        <w:tc>
          <w:tcPr>
            <w:tcW w:w="473"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100</w:t>
            </w:r>
          </w:p>
        </w:tc>
        <w:tc>
          <w:tcPr>
            <w:tcW w:w="462"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100</w:t>
            </w:r>
          </w:p>
        </w:tc>
        <w:tc>
          <w:tcPr>
            <w:tcW w:w="447"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100</w:t>
            </w:r>
          </w:p>
        </w:tc>
        <w:tc>
          <w:tcPr>
            <w:tcW w:w="25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达标</w:t>
            </w:r>
          </w:p>
        </w:tc>
        <w:tc>
          <w:tcPr>
            <w:tcW w:w="374"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100</w:t>
            </w:r>
          </w:p>
        </w:tc>
        <w:tc>
          <w:tcPr>
            <w:tcW w:w="372"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209" w:type="pct"/>
            <w:vMerge w:val="continue"/>
            <w:vAlign w:val="center"/>
          </w:tcPr>
          <w:p>
            <w:pPr>
              <w:jc w:val="center"/>
              <w:rPr>
                <w:rFonts w:ascii="仿宋" w:hAnsi="仿宋" w:eastAsia="仿宋" w:cs="仿宋"/>
                <w:color w:val="000000"/>
                <w:highlight w:val="none"/>
              </w:rPr>
            </w:pPr>
          </w:p>
        </w:tc>
        <w:tc>
          <w:tcPr>
            <w:tcW w:w="221" w:type="pct"/>
            <w:vMerge w:val="continue"/>
            <w:vAlign w:val="center"/>
          </w:tcPr>
          <w:p>
            <w:pPr>
              <w:jc w:val="center"/>
              <w:rPr>
                <w:rFonts w:ascii="仿宋" w:hAnsi="仿宋" w:eastAsia="仿宋" w:cs="仿宋"/>
                <w:color w:val="000000"/>
                <w:highlight w:val="none"/>
              </w:rPr>
            </w:pPr>
          </w:p>
        </w:tc>
        <w:tc>
          <w:tcPr>
            <w:tcW w:w="221"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36</w:t>
            </w:r>
          </w:p>
        </w:tc>
        <w:tc>
          <w:tcPr>
            <w:tcW w:w="890" w:type="pct"/>
            <w:gridSpan w:val="2"/>
            <w:vAlign w:val="center"/>
          </w:tcPr>
          <w:p>
            <w:pPr>
              <w:rPr>
                <w:rFonts w:ascii="仿宋" w:hAnsi="仿宋" w:eastAsia="仿宋" w:cs="仿宋"/>
                <w:color w:val="000000"/>
                <w:highlight w:val="none"/>
              </w:rPr>
            </w:pPr>
            <w:r>
              <w:rPr>
                <w:rFonts w:hint="eastAsia" w:ascii="仿宋" w:hAnsi="仿宋" w:eastAsia="仿宋" w:cs="仿宋"/>
                <w:color w:val="000000"/>
                <w:highlight w:val="none"/>
              </w:rPr>
              <w:t>公众对生态文明建设的满意度</w:t>
            </w:r>
          </w:p>
        </w:tc>
        <w:tc>
          <w:tcPr>
            <w:tcW w:w="233"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w:t>
            </w:r>
          </w:p>
        </w:tc>
        <w:tc>
          <w:tcPr>
            <w:tcW w:w="57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≥80</w:t>
            </w:r>
          </w:p>
        </w:tc>
        <w:tc>
          <w:tcPr>
            <w:tcW w:w="26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参考性</w:t>
            </w:r>
          </w:p>
        </w:tc>
        <w:tc>
          <w:tcPr>
            <w:tcW w:w="473"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89.07</w:t>
            </w:r>
          </w:p>
        </w:tc>
        <w:tc>
          <w:tcPr>
            <w:tcW w:w="462"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89.07</w:t>
            </w:r>
          </w:p>
        </w:tc>
        <w:tc>
          <w:tcPr>
            <w:tcW w:w="447"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89.07</w:t>
            </w:r>
          </w:p>
        </w:tc>
        <w:tc>
          <w:tcPr>
            <w:tcW w:w="25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达标</w:t>
            </w:r>
          </w:p>
        </w:tc>
        <w:tc>
          <w:tcPr>
            <w:tcW w:w="374"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≥90</w:t>
            </w:r>
          </w:p>
        </w:tc>
        <w:tc>
          <w:tcPr>
            <w:tcW w:w="372"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209" w:type="pct"/>
            <w:vMerge w:val="continue"/>
            <w:vAlign w:val="center"/>
          </w:tcPr>
          <w:p>
            <w:pPr>
              <w:jc w:val="center"/>
              <w:rPr>
                <w:rFonts w:ascii="仿宋" w:hAnsi="仿宋" w:eastAsia="仿宋" w:cs="仿宋"/>
                <w:color w:val="000000"/>
                <w:highlight w:val="none"/>
              </w:rPr>
            </w:pPr>
          </w:p>
        </w:tc>
        <w:tc>
          <w:tcPr>
            <w:tcW w:w="221" w:type="pct"/>
            <w:vMerge w:val="continue"/>
            <w:vAlign w:val="center"/>
          </w:tcPr>
          <w:p>
            <w:pPr>
              <w:jc w:val="center"/>
              <w:rPr>
                <w:rFonts w:ascii="仿宋" w:hAnsi="仿宋" w:eastAsia="仿宋" w:cs="仿宋"/>
                <w:color w:val="000000"/>
                <w:highlight w:val="none"/>
              </w:rPr>
            </w:pPr>
          </w:p>
        </w:tc>
        <w:tc>
          <w:tcPr>
            <w:tcW w:w="221"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37</w:t>
            </w:r>
          </w:p>
        </w:tc>
        <w:tc>
          <w:tcPr>
            <w:tcW w:w="890" w:type="pct"/>
            <w:gridSpan w:val="2"/>
            <w:vAlign w:val="center"/>
          </w:tcPr>
          <w:p>
            <w:pPr>
              <w:rPr>
                <w:rFonts w:ascii="仿宋" w:hAnsi="仿宋" w:eastAsia="仿宋" w:cs="仿宋"/>
                <w:color w:val="000000"/>
                <w:highlight w:val="none"/>
              </w:rPr>
            </w:pPr>
            <w:r>
              <w:rPr>
                <w:rFonts w:hint="eastAsia" w:ascii="仿宋" w:hAnsi="仿宋" w:eastAsia="仿宋" w:cs="仿宋"/>
                <w:color w:val="000000"/>
                <w:highlight w:val="none"/>
              </w:rPr>
              <w:t>公众对生态文明建设的参与度</w:t>
            </w:r>
          </w:p>
        </w:tc>
        <w:tc>
          <w:tcPr>
            <w:tcW w:w="233"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w:t>
            </w:r>
          </w:p>
        </w:tc>
        <w:tc>
          <w:tcPr>
            <w:tcW w:w="57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≥80</w:t>
            </w:r>
          </w:p>
        </w:tc>
        <w:tc>
          <w:tcPr>
            <w:tcW w:w="26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参考性</w:t>
            </w:r>
          </w:p>
        </w:tc>
        <w:tc>
          <w:tcPr>
            <w:tcW w:w="473"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93.71</w:t>
            </w:r>
          </w:p>
        </w:tc>
        <w:tc>
          <w:tcPr>
            <w:tcW w:w="462"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93.71</w:t>
            </w:r>
          </w:p>
        </w:tc>
        <w:tc>
          <w:tcPr>
            <w:tcW w:w="447"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93.71</w:t>
            </w:r>
          </w:p>
        </w:tc>
        <w:tc>
          <w:tcPr>
            <w:tcW w:w="255" w:type="pct"/>
            <w:vAlign w:val="center"/>
          </w:tcPr>
          <w:p>
            <w:pPr>
              <w:jc w:val="center"/>
              <w:rPr>
                <w:rFonts w:ascii="仿宋" w:hAnsi="仿宋" w:eastAsia="仿宋" w:cs="仿宋"/>
                <w:color w:val="000000"/>
                <w:highlight w:val="none"/>
              </w:rPr>
            </w:pPr>
            <w:r>
              <w:rPr>
                <w:rFonts w:hint="eastAsia" w:ascii="仿宋" w:hAnsi="仿宋" w:eastAsia="仿宋" w:cs="仿宋"/>
                <w:color w:val="000000"/>
                <w:highlight w:val="none"/>
              </w:rPr>
              <w:t>达标</w:t>
            </w:r>
          </w:p>
        </w:tc>
        <w:tc>
          <w:tcPr>
            <w:tcW w:w="1156" w:type="dxa"/>
            <w:vAlign w:val="center"/>
          </w:tcPr>
          <w:p>
            <w:pPr>
              <w:jc w:val="center"/>
              <w:rPr>
                <w:rFonts w:ascii="仿宋" w:hAnsi="仿宋" w:eastAsia="仿宋" w:cs="仿宋"/>
                <w:color w:val="000000"/>
                <w:highlight w:val="none"/>
              </w:rPr>
            </w:pPr>
            <w:r>
              <w:rPr>
                <w:rFonts w:hint="eastAsia" w:ascii="仿宋" w:hAnsi="仿宋" w:eastAsia="仿宋" w:cs="Times New Roman"/>
                <w:highlight w:val="none"/>
                <w14:ligatures w14:val="none"/>
              </w:rPr>
              <w:t>保持稳定</w:t>
            </w:r>
          </w:p>
        </w:tc>
        <w:tc>
          <w:tcPr>
            <w:tcW w:w="1150" w:type="dxa"/>
            <w:vAlign w:val="center"/>
          </w:tcPr>
          <w:p>
            <w:pPr>
              <w:jc w:val="center"/>
              <w:rPr>
                <w:rFonts w:ascii="仿宋" w:hAnsi="仿宋" w:eastAsia="仿宋" w:cs="仿宋"/>
                <w:color w:val="000000"/>
                <w:highlight w:val="none"/>
              </w:rPr>
            </w:pPr>
            <w:r>
              <w:rPr>
                <w:rFonts w:hint="eastAsia" w:ascii="仿宋" w:hAnsi="仿宋" w:eastAsia="仿宋" w:cs="Times New Roman"/>
                <w:highlight w:val="none"/>
                <w14:ligatures w14:val="none"/>
              </w:rPr>
              <w:t>保持稳定</w:t>
            </w:r>
          </w:p>
        </w:tc>
      </w:tr>
    </w:tbl>
    <w:p>
      <w:pPr>
        <w:spacing w:line="360" w:lineRule="auto"/>
        <w:jc w:val="both"/>
        <w:rPr>
          <w:rFonts w:ascii="宋体" w:hAnsi="宋体" w:eastAsia="宋体" w:cs="Times New Roman"/>
          <w:spacing w:val="-6"/>
          <w:kern w:val="0"/>
          <w:sz w:val="28"/>
          <w:highlight w:val="none"/>
          <w14:ligatures w14:val="none"/>
        </w:rPr>
        <w:sectPr>
          <w:pgSz w:w="16838" w:h="11906" w:orient="landscape"/>
          <w:pgMar w:top="1179" w:right="1440" w:bottom="1179" w:left="1440" w:header="851" w:footer="992" w:gutter="0"/>
          <w:cols w:space="425" w:num="1"/>
          <w:docGrid w:type="lines" w:linePitch="312" w:charSpace="0"/>
        </w:sectPr>
      </w:pPr>
    </w:p>
    <w:p>
      <w:pPr>
        <w:pStyle w:val="2"/>
        <w:widowControl w:val="0"/>
        <w:ind w:firstLine="643"/>
        <w:jc w:val="both"/>
        <w:rPr>
          <w:highlight w:val="none"/>
        </w:rPr>
      </w:pPr>
      <w:bookmarkStart w:id="18" w:name="_Toc32723"/>
      <w:r>
        <w:rPr>
          <w:rFonts w:hint="eastAsia"/>
          <w:highlight w:val="none"/>
        </w:rPr>
        <w:t>四、规划任务与措施</w:t>
      </w:r>
      <w:bookmarkEnd w:id="18"/>
    </w:p>
    <w:p>
      <w:pPr>
        <w:pStyle w:val="3"/>
        <w:widowControl w:val="0"/>
        <w:spacing w:line="240" w:lineRule="auto"/>
        <w:ind w:firstLine="643"/>
        <w:rPr>
          <w:rFonts w:ascii="楷体" w:hAnsi="楷体" w:eastAsia="楷体" w:cs="楷体"/>
          <w:kern w:val="2"/>
          <w:highlight w:val="none"/>
        </w:rPr>
      </w:pPr>
      <w:bookmarkStart w:id="19" w:name="_Toc7966"/>
      <w:r>
        <w:rPr>
          <w:rFonts w:hint="eastAsia" w:ascii="楷体" w:hAnsi="楷体" w:eastAsia="楷体" w:cs="楷体"/>
          <w:kern w:val="2"/>
          <w:highlight w:val="none"/>
        </w:rPr>
        <w:t>（一）完善生态制度体系，夯实制度建设基石</w:t>
      </w:r>
      <w:bookmarkEnd w:id="19"/>
    </w:p>
    <w:p>
      <w:pPr>
        <w:spacing w:line="360" w:lineRule="auto"/>
        <w:ind w:firstLine="619" w:firstLineChars="200"/>
        <w:rPr>
          <w:rFonts w:ascii="仿宋" w:hAnsi="仿宋" w:eastAsia="仿宋" w:cs="仿宋"/>
          <w:b/>
          <w:bCs/>
          <w:spacing w:val="-6"/>
          <w:kern w:val="0"/>
          <w:sz w:val="32"/>
          <w:szCs w:val="32"/>
          <w:highlight w:val="none"/>
          <w14:ligatures w14:val="none"/>
        </w:rPr>
      </w:pPr>
      <w:r>
        <w:rPr>
          <w:rFonts w:hint="eastAsia" w:ascii="仿宋" w:hAnsi="仿宋" w:eastAsia="仿宋" w:cs="仿宋"/>
          <w:b/>
          <w:bCs/>
          <w:spacing w:val="-6"/>
          <w:kern w:val="0"/>
          <w:sz w:val="32"/>
          <w:szCs w:val="32"/>
          <w:highlight w:val="none"/>
          <w14:ligatures w14:val="none"/>
        </w:rPr>
        <w:t>1.健全生态环境保护制度</w:t>
      </w:r>
    </w:p>
    <w:p>
      <w:pPr>
        <w:spacing w:after="0" w:line="360" w:lineRule="auto"/>
        <w:ind w:firstLine="616" w:firstLineChars="200"/>
        <w:jc w:val="both"/>
        <w:rPr>
          <w:rFonts w:ascii="仿宋" w:hAnsi="仿宋" w:eastAsia="仿宋" w:cs="仿宋"/>
          <w:spacing w:val="-6"/>
          <w:kern w:val="0"/>
          <w:sz w:val="32"/>
          <w:szCs w:val="32"/>
          <w:highlight w:val="none"/>
          <w14:ligatures w14:val="none"/>
        </w:rPr>
      </w:pPr>
      <w:r>
        <w:rPr>
          <w:rFonts w:ascii="仿宋" w:hAnsi="仿宋" w:eastAsia="仿宋" w:cs="仿宋"/>
          <w:spacing w:val="-6"/>
          <w:kern w:val="0"/>
          <w:sz w:val="32"/>
          <w:szCs w:val="32"/>
          <w:highlight w:val="none"/>
          <w14:ligatures w14:val="none"/>
        </w:rPr>
        <w:t>严格落实“三线一单”管控制度</w:t>
      </w:r>
      <w:r>
        <w:rPr>
          <w:rFonts w:hint="eastAsia" w:ascii="仿宋" w:hAnsi="仿宋" w:eastAsia="仿宋" w:cs="仿宋"/>
          <w:spacing w:val="-6"/>
          <w:kern w:val="0"/>
          <w:sz w:val="32"/>
          <w:szCs w:val="32"/>
          <w:highlight w:val="none"/>
          <w14:ligatures w14:val="none"/>
        </w:rPr>
        <w:t>。构建以生态保护红线、环境质量底线、资源利用上线和生态环境准入清单为核心的“三线一单”生态环境分区管控体系。针对不同环境管控单元，将“三线一单”成果作为改善环境质量、实施生态修复、防控环境风险的重要依据。建立更新调整和跟踪评估长效机制，加强“三线一单”在政策制定、环境准入、园区管理、执法监管等方面的应用。</w:t>
      </w:r>
    </w:p>
    <w:p>
      <w:pPr>
        <w:spacing w:after="0" w:line="360" w:lineRule="auto"/>
        <w:ind w:firstLine="616" w:firstLineChars="200"/>
        <w:jc w:val="both"/>
        <w:rPr>
          <w:rFonts w:ascii="仿宋" w:hAnsi="仿宋" w:eastAsia="仿宋" w:cs="仿宋"/>
          <w:spacing w:val="-6"/>
          <w:kern w:val="0"/>
          <w:sz w:val="32"/>
          <w:szCs w:val="32"/>
          <w:highlight w:val="none"/>
          <w14:ligatures w14:val="none"/>
        </w:rPr>
      </w:pPr>
      <w:r>
        <w:rPr>
          <w:rFonts w:ascii="仿宋" w:hAnsi="仿宋" w:eastAsia="仿宋" w:cs="仿宋"/>
          <w:spacing w:val="-6"/>
          <w:kern w:val="0"/>
          <w:sz w:val="32"/>
          <w:szCs w:val="32"/>
          <w:highlight w:val="none"/>
          <w14:ligatures w14:val="none"/>
        </w:rPr>
        <w:t>落实污染物排放总量控制制度。围绕生态环境质量改善目标，实施排污总量控制。严格按照国家、省</w:t>
      </w:r>
      <w:r>
        <w:rPr>
          <w:rFonts w:hint="eastAsia" w:ascii="仿宋" w:hAnsi="仿宋" w:eastAsia="仿宋" w:cs="仿宋"/>
          <w:spacing w:val="-6"/>
          <w:kern w:val="0"/>
          <w:sz w:val="32"/>
          <w:szCs w:val="32"/>
          <w:highlight w:val="none"/>
          <w14:ligatures w14:val="none"/>
        </w:rPr>
        <w:t>、市</w:t>
      </w:r>
      <w:r>
        <w:rPr>
          <w:rFonts w:ascii="仿宋" w:hAnsi="仿宋" w:eastAsia="仿宋" w:cs="仿宋"/>
          <w:spacing w:val="-6"/>
          <w:kern w:val="0"/>
          <w:sz w:val="32"/>
          <w:szCs w:val="32"/>
          <w:highlight w:val="none"/>
          <w14:ligatures w14:val="none"/>
        </w:rPr>
        <w:t>确定污染物减排框架体系，确定重点减排工程，高质量完成“十四五总量减排目标任务。落实国家建立非固定污染源减排管理体系的要求，实施非固定污染源全过程调度管理，强化统计、监管、评估。统筹推进多污染物协同减排，减污降碳协同增效，实施一批重点领域、重点行业协同减排工程。健全污染减排激励约束机制。</w:t>
      </w:r>
    </w:p>
    <w:p>
      <w:pPr>
        <w:spacing w:after="0" w:line="360" w:lineRule="auto"/>
        <w:ind w:firstLine="616" w:firstLineChars="200"/>
        <w:jc w:val="both"/>
        <w:rPr>
          <w:rFonts w:ascii="仿宋" w:hAnsi="仿宋" w:eastAsia="仿宋" w:cs="仿宋"/>
          <w:spacing w:val="-6"/>
          <w:kern w:val="0"/>
          <w:sz w:val="32"/>
          <w:szCs w:val="32"/>
          <w:highlight w:val="none"/>
          <w14:ligatures w14:val="none"/>
        </w:rPr>
      </w:pPr>
      <w:r>
        <w:rPr>
          <w:rFonts w:hint="eastAsia" w:ascii="仿宋" w:hAnsi="仿宋" w:eastAsia="仿宋" w:cs="仿宋"/>
          <w:spacing w:val="-6"/>
          <w:kern w:val="0"/>
          <w:sz w:val="32"/>
          <w:szCs w:val="32"/>
          <w:highlight w:val="none"/>
          <w14:ligatures w14:val="none"/>
        </w:rPr>
        <w:t>深入贯彻落实环保督察制度。落实生态环境保护督察工作规定，健全生态环境保护督察反馈问题整改机制，推动职责落实、任务落地、整改见效。探索建立资源环境审计与环保督察、自然资源督察的协调联动机制，强化相关部门单位的合作配合，形成监督合力。</w:t>
      </w:r>
    </w:p>
    <w:p>
      <w:pPr>
        <w:spacing w:line="360" w:lineRule="auto"/>
        <w:ind w:firstLine="619" w:firstLineChars="200"/>
        <w:rPr>
          <w:rFonts w:ascii="仿宋" w:hAnsi="仿宋" w:eastAsia="仿宋" w:cs="仿宋"/>
          <w:b/>
          <w:bCs/>
          <w:spacing w:val="-6"/>
          <w:kern w:val="0"/>
          <w:sz w:val="32"/>
          <w:szCs w:val="32"/>
          <w:highlight w:val="none"/>
          <w14:ligatures w14:val="none"/>
        </w:rPr>
      </w:pPr>
      <w:r>
        <w:rPr>
          <w:rFonts w:hint="eastAsia" w:ascii="仿宋" w:hAnsi="仿宋" w:eastAsia="仿宋" w:cs="仿宋"/>
          <w:b/>
          <w:bCs/>
          <w:spacing w:val="-6"/>
          <w:kern w:val="0"/>
          <w:sz w:val="32"/>
          <w:szCs w:val="32"/>
          <w:highlight w:val="none"/>
          <w14:ligatures w14:val="none"/>
        </w:rPr>
        <w:t>2.健全资源保护利用制度</w:t>
      </w:r>
    </w:p>
    <w:p>
      <w:pPr>
        <w:spacing w:after="0" w:line="360" w:lineRule="auto"/>
        <w:ind w:firstLine="616" w:firstLineChars="200"/>
        <w:jc w:val="both"/>
        <w:rPr>
          <w:rFonts w:ascii="仿宋" w:hAnsi="仿宋" w:eastAsia="仿宋" w:cs="仿宋"/>
          <w:spacing w:val="-6"/>
          <w:kern w:val="0"/>
          <w:sz w:val="32"/>
          <w:szCs w:val="32"/>
          <w:highlight w:val="none"/>
          <w14:ligatures w14:val="none"/>
        </w:rPr>
      </w:pPr>
      <w:r>
        <w:rPr>
          <w:rFonts w:hint="eastAsia" w:ascii="仿宋" w:hAnsi="仿宋" w:eastAsia="仿宋" w:cs="仿宋"/>
          <w:spacing w:val="-6"/>
          <w:kern w:val="0"/>
          <w:sz w:val="32"/>
          <w:szCs w:val="32"/>
          <w:highlight w:val="none"/>
          <w14:ligatures w14:val="none"/>
        </w:rPr>
        <w:t>健全自然资源产权制度。按照国家、省、市统一部署，配合做好辖区内自然资源统一确权登记工作，稳步推进自然资源统一确权登记法制化、规范化、标准化、信息化，逐步实现对自然资源统一确权登记全覆盖。清晰界定自然资源产权主体，划清所有权、使用权、经营权和收益权边界。加快推进用能权、水权、排污权、碳排放权等交易制度落地实施。</w:t>
      </w:r>
    </w:p>
    <w:p>
      <w:pPr>
        <w:spacing w:after="0" w:line="360" w:lineRule="auto"/>
        <w:ind w:firstLine="616" w:firstLineChars="200"/>
        <w:jc w:val="both"/>
        <w:rPr>
          <w:rFonts w:ascii="仿宋" w:hAnsi="仿宋" w:eastAsia="仿宋" w:cs="仿宋"/>
          <w:spacing w:val="-6"/>
          <w:kern w:val="0"/>
          <w:sz w:val="32"/>
          <w:szCs w:val="32"/>
          <w:highlight w:val="none"/>
          <w14:ligatures w14:val="none"/>
        </w:rPr>
      </w:pPr>
      <w:r>
        <w:rPr>
          <w:rFonts w:hint="eastAsia" w:ascii="仿宋" w:hAnsi="仿宋" w:eastAsia="仿宋" w:cs="仿宋"/>
          <w:spacing w:val="-6"/>
          <w:kern w:val="0"/>
          <w:sz w:val="32"/>
          <w:szCs w:val="32"/>
          <w:highlight w:val="none"/>
          <w14:ligatures w14:val="none"/>
        </w:rPr>
        <w:t>实施国土空间开发和用途管制制度。严守生态保护红线、永久基本农田、城镇开发边界三条控制线。针对农业、生态和城镇三类空间的不同特点，依据国土空间分区的管控要求，制定实施“刚性”与“弹性”相结合的空间准入模式，落实正负清单管理制度，实行分类管控。强化用途管制监管，健全用途转用管控体系，对接国土空间规划要求，探索“空间+要素”两级转用管控制度。开展用地审批“双随机、一公开”抽查，初步构建三级联动的用途管制监督系统，建立用途管制评估纠错机制，增强用途管制的权威性和严肃性。</w:t>
      </w:r>
    </w:p>
    <w:p>
      <w:pPr>
        <w:spacing w:after="0" w:line="360" w:lineRule="auto"/>
        <w:ind w:firstLine="616" w:firstLineChars="200"/>
        <w:jc w:val="both"/>
        <w:rPr>
          <w:rFonts w:ascii="仿宋" w:hAnsi="仿宋" w:eastAsia="仿宋" w:cs="仿宋"/>
          <w:spacing w:val="-6"/>
          <w:kern w:val="0"/>
          <w:sz w:val="32"/>
          <w:szCs w:val="32"/>
          <w:highlight w:val="none"/>
          <w14:ligatures w14:val="none"/>
        </w:rPr>
      </w:pPr>
      <w:r>
        <w:rPr>
          <w:rFonts w:hint="eastAsia" w:ascii="仿宋" w:hAnsi="仿宋" w:eastAsia="仿宋" w:cs="仿宋"/>
          <w:spacing w:val="-6"/>
          <w:kern w:val="0"/>
          <w:sz w:val="32"/>
          <w:szCs w:val="32"/>
          <w:highlight w:val="none"/>
          <w14:ligatures w14:val="none"/>
        </w:rPr>
        <w:t>完善河湖长制管护机制。严格落实河湖长巡查制度，强化河湖管护责任。加强河湖管理执法能力建设，加大监管力度，建立健全部门信息共享、定期会商、联合执法机制。全面建立河湖水域岸线巡查检查制度和违法行为报告制度，实行河湖动态监管。加大河湖长制智慧监管平台建设力度，全面提升河湖管理智慧化水平。建立完善政府主导、社会参与的监管格局，引导社会力量参与河湖监管推行民间河长、河湖志愿者注册制，探索设立“巡河员、护河员”公益岗位，畅通公众监督参与渠道。</w:t>
      </w:r>
    </w:p>
    <w:p>
      <w:pPr>
        <w:spacing w:after="0" w:line="360" w:lineRule="auto"/>
        <w:ind w:firstLine="616" w:firstLineChars="200"/>
        <w:jc w:val="both"/>
        <w:rPr>
          <w:rFonts w:ascii="仿宋" w:hAnsi="仿宋" w:eastAsia="仿宋" w:cs="仿宋"/>
          <w:spacing w:val="-6"/>
          <w:kern w:val="0"/>
          <w:sz w:val="32"/>
          <w:szCs w:val="32"/>
          <w:highlight w:val="none"/>
          <w14:ligatures w14:val="none"/>
        </w:rPr>
      </w:pPr>
      <w:r>
        <w:rPr>
          <w:rFonts w:hint="eastAsia" w:ascii="仿宋" w:hAnsi="仿宋" w:eastAsia="仿宋" w:cs="仿宋"/>
          <w:spacing w:val="-6"/>
          <w:kern w:val="0"/>
          <w:sz w:val="32"/>
          <w:szCs w:val="32"/>
          <w:highlight w:val="none"/>
          <w14:ligatures w14:val="none"/>
        </w:rPr>
        <w:t>深化完善林长制。聚焦森林资源保护发展中的短板弱项，在完善运行机制、管理模式、作用发挥等深化创新，引导先进经验做法向制度化、定型化方向发展，形成可复制可推广的经验模式。拓展民间林长内涵，建立并落实激励机制。推行林长制+荒山绿化、林长制+党建、林长制+科技下乡等“林长制+”做法，推动林长制与科学绿化、资源保护、开发利用深度融合、一体推进发展。推行以村级林长、护林员、技术员组成的“一长两员”为基础，村级网格员为补充，社会公众(志愿者)广泛参与的森林资源管护制度构建森林资源源头管理网格，夯实森林资源管护“最后一公里”。</w:t>
      </w:r>
    </w:p>
    <w:p>
      <w:pPr>
        <w:spacing w:after="0" w:line="360" w:lineRule="auto"/>
        <w:ind w:firstLine="616" w:firstLineChars="200"/>
        <w:jc w:val="both"/>
        <w:rPr>
          <w:highlight w:val="none"/>
        </w:rPr>
      </w:pPr>
      <w:r>
        <w:rPr>
          <w:rFonts w:hint="eastAsia" w:ascii="仿宋" w:hAnsi="仿宋" w:eastAsia="仿宋" w:cs="仿宋"/>
          <w:spacing w:val="-6"/>
          <w:kern w:val="0"/>
          <w:sz w:val="32"/>
          <w:szCs w:val="32"/>
          <w:highlight w:val="none"/>
          <w14:ligatures w14:val="none"/>
        </w:rPr>
        <w:t>建立完善湿地保护机制。健全湿地保护地体系，加强自然湿地保护，稳步提高湿地保护率。逐步建立湿地分级管理体系。加强湿地资源监管，探索建立湿地利用预警机制，遏制各种破坏湿地生态的行为，严厉查处违法破坏湿地行为。加大湿地生态系统整体性保护修复力度，增加湿地生态功能，遏制湿地面积减少和功能退化。</w:t>
      </w:r>
    </w:p>
    <w:p>
      <w:pPr>
        <w:spacing w:line="360" w:lineRule="auto"/>
        <w:ind w:firstLine="619" w:firstLineChars="200"/>
        <w:rPr>
          <w:rFonts w:ascii="仿宋" w:hAnsi="仿宋" w:eastAsia="仿宋" w:cs="仿宋"/>
          <w:b/>
          <w:bCs/>
          <w:spacing w:val="-6"/>
          <w:kern w:val="0"/>
          <w:sz w:val="32"/>
          <w:szCs w:val="32"/>
          <w:highlight w:val="none"/>
          <w14:ligatures w14:val="none"/>
        </w:rPr>
      </w:pPr>
      <w:r>
        <w:rPr>
          <w:rFonts w:hint="eastAsia" w:ascii="仿宋" w:hAnsi="仿宋" w:eastAsia="仿宋" w:cs="仿宋"/>
          <w:b/>
          <w:bCs/>
          <w:spacing w:val="-6"/>
          <w:kern w:val="0"/>
          <w:sz w:val="32"/>
          <w:szCs w:val="32"/>
          <w:highlight w:val="none"/>
          <w14:ligatures w14:val="none"/>
        </w:rPr>
        <w:t>3.完善生态保护修复制度</w:t>
      </w:r>
    </w:p>
    <w:p>
      <w:pPr>
        <w:spacing w:after="0" w:line="360" w:lineRule="auto"/>
        <w:ind w:firstLine="616" w:firstLineChars="200"/>
        <w:jc w:val="both"/>
        <w:rPr>
          <w:rFonts w:ascii="仿宋" w:hAnsi="仿宋" w:eastAsia="仿宋" w:cs="仿宋"/>
          <w:spacing w:val="-6"/>
          <w:kern w:val="0"/>
          <w:sz w:val="32"/>
          <w:szCs w:val="32"/>
          <w:highlight w:val="none"/>
          <w14:ligatures w14:val="none"/>
        </w:rPr>
      </w:pPr>
      <w:r>
        <w:rPr>
          <w:rFonts w:hint="eastAsia" w:ascii="仿宋" w:hAnsi="仿宋" w:eastAsia="仿宋" w:cs="仿宋"/>
          <w:spacing w:val="-6"/>
          <w:kern w:val="0"/>
          <w:sz w:val="32"/>
          <w:szCs w:val="32"/>
          <w:highlight w:val="none"/>
          <w14:ligatures w14:val="none"/>
        </w:rPr>
        <w:t>健全生态保护和修复制度。健全生态修复责任机制，界定各级事权，明晰生态修复相关责任主体，按照“谁开发谁保护、谁破坏谁治理”的原则，强化企业治理主体责任和政府监管属地责任。加快建立健全多元化生态保护与修复投融资机制，鼓励采用生态补偿、绿色奖励等财政支出方式，促进金融机构和社会资本的生态保护与修复投入；运用市场化手段，积极探索生态保护修复与生态产业化协同双赢新业态、新模式；争取绿色金融支持。</w:t>
      </w:r>
    </w:p>
    <w:p>
      <w:pPr>
        <w:spacing w:after="0" w:line="360" w:lineRule="auto"/>
        <w:ind w:firstLine="616" w:firstLineChars="200"/>
        <w:jc w:val="both"/>
        <w:rPr>
          <w:highlight w:val="none"/>
        </w:rPr>
      </w:pPr>
      <w:r>
        <w:rPr>
          <w:rFonts w:hint="eastAsia" w:ascii="仿宋" w:hAnsi="仿宋" w:eastAsia="仿宋" w:cs="仿宋"/>
          <w:spacing w:val="-6"/>
          <w:kern w:val="0"/>
          <w:sz w:val="32"/>
          <w:szCs w:val="32"/>
          <w:highlight w:val="none"/>
          <w14:ligatures w14:val="none"/>
        </w:rPr>
        <w:t>积极探索</w:t>
      </w:r>
      <w:r>
        <w:rPr>
          <w:rFonts w:ascii="仿宋" w:hAnsi="仿宋" w:eastAsia="仿宋" w:cs="仿宋"/>
          <w:spacing w:val="-6"/>
          <w:kern w:val="0"/>
          <w:sz w:val="32"/>
          <w:szCs w:val="32"/>
          <w:highlight w:val="none"/>
          <w14:ligatures w14:val="none"/>
        </w:rPr>
        <w:t>生态补偿机制。完善依法建设占用各类自然生态空间的占用补偿制度，严格占用条件，提高补偿标准。基于国土空间规划、生态修复专项规划划定的重要生态保护修复资源、区域、工程，统筹对重点生态功能区、自然保护地、耕地、水源保护地等实行全面综合性基础补偿，结合保护和修复效果实行激励补偿机制。探索建立多元化生态补偿资金筹集模式。研究制定生态保护补偿政策，进一步明确各级政府、部门、社会主体等各方生态补偿权利、义务和责任。</w:t>
      </w:r>
    </w:p>
    <w:p>
      <w:pPr>
        <w:spacing w:line="360" w:lineRule="auto"/>
        <w:ind w:firstLine="619" w:firstLineChars="200"/>
        <w:rPr>
          <w:rFonts w:ascii="仿宋" w:hAnsi="仿宋" w:eastAsia="仿宋" w:cs="仿宋"/>
          <w:b/>
          <w:bCs/>
          <w:spacing w:val="-6"/>
          <w:kern w:val="0"/>
          <w:sz w:val="32"/>
          <w:szCs w:val="32"/>
          <w:highlight w:val="none"/>
          <w14:ligatures w14:val="none"/>
        </w:rPr>
      </w:pPr>
      <w:r>
        <w:rPr>
          <w:rFonts w:hint="eastAsia" w:ascii="仿宋" w:hAnsi="仿宋" w:eastAsia="仿宋" w:cs="仿宋"/>
          <w:b/>
          <w:bCs/>
          <w:spacing w:val="-6"/>
          <w:kern w:val="0"/>
          <w:sz w:val="32"/>
          <w:szCs w:val="32"/>
          <w:highlight w:val="none"/>
          <w14:ligatures w14:val="none"/>
        </w:rPr>
        <w:t>4.健全生态环境保护责任制度</w:t>
      </w:r>
    </w:p>
    <w:p>
      <w:pPr>
        <w:spacing w:after="0" w:line="360" w:lineRule="auto"/>
        <w:ind w:firstLine="616" w:firstLineChars="200"/>
        <w:jc w:val="both"/>
        <w:rPr>
          <w:rFonts w:ascii="仿宋" w:hAnsi="仿宋" w:eastAsia="仿宋" w:cs="仿宋"/>
          <w:spacing w:val="-6"/>
          <w:kern w:val="0"/>
          <w:sz w:val="32"/>
          <w:szCs w:val="32"/>
          <w:highlight w:val="none"/>
          <w14:ligatures w14:val="none"/>
        </w:rPr>
      </w:pPr>
      <w:r>
        <w:rPr>
          <w:rFonts w:hint="eastAsia" w:ascii="仿宋" w:hAnsi="仿宋" w:eastAsia="仿宋" w:cs="仿宋"/>
          <w:spacing w:val="-6"/>
          <w:kern w:val="0"/>
          <w:sz w:val="32"/>
          <w:szCs w:val="32"/>
          <w:highlight w:val="none"/>
          <w14:ligatures w14:val="none"/>
        </w:rPr>
        <w:t>健全严明的党政领导责任制度。健全生态环境委员会工作机制，落实生态环境保护责任清单。强化生态环境保护责任考核，将深入打好污染防治攻坚战成效考核结果作为对领导班子和领导干部综合考核评价、奖惩任免的重要依据，将生态环境保护责任落实情况作为巡察、干部监督考核等工作的重要内容，全面落实“党政同责、一岗双责”。开展领导干部自然资源资产离任审计，实行生态环境损害责任终身追究制。</w:t>
      </w:r>
    </w:p>
    <w:p>
      <w:pPr>
        <w:spacing w:after="0" w:line="360" w:lineRule="auto"/>
        <w:ind w:firstLine="616" w:firstLineChars="200"/>
        <w:jc w:val="both"/>
        <w:rPr>
          <w:rFonts w:ascii="仿宋" w:hAnsi="仿宋" w:eastAsia="仿宋" w:cs="仿宋"/>
          <w:spacing w:val="-6"/>
          <w:kern w:val="0"/>
          <w:sz w:val="32"/>
          <w:szCs w:val="32"/>
          <w:highlight w:val="none"/>
          <w14:ligatures w14:val="none"/>
        </w:rPr>
      </w:pPr>
      <w:r>
        <w:rPr>
          <w:rFonts w:hint="eastAsia" w:ascii="仿宋" w:hAnsi="仿宋" w:eastAsia="仿宋" w:cs="仿宋"/>
          <w:spacing w:val="-6"/>
          <w:kern w:val="0"/>
          <w:sz w:val="32"/>
          <w:szCs w:val="32"/>
          <w:highlight w:val="none"/>
          <w14:ligatures w14:val="none"/>
        </w:rPr>
        <w:t xml:space="preserve">落实企业生态环境责任。加强企业环境治理责任制度建设， </w:t>
      </w:r>
      <w:r>
        <w:rPr>
          <w:rFonts w:ascii="仿宋" w:hAnsi="仿宋" w:eastAsia="仿宋" w:cs="仿宋"/>
          <w:spacing w:val="-6"/>
          <w:kern w:val="0"/>
          <w:sz w:val="32"/>
          <w:szCs w:val="32"/>
          <w:highlight w:val="none"/>
          <w14:ligatures w14:val="none"/>
        </w:rPr>
        <w:t>推动企业从源头防治污染，依法依规淘汰落后生产工艺技术，积极践行绿色生产方式，减少污染物排放，履行污染治理主体责任。排污企业实行自我申报、自</w:t>
      </w:r>
      <w:r>
        <w:rPr>
          <w:rFonts w:hint="eastAsia" w:ascii="仿宋" w:hAnsi="仿宋" w:eastAsia="仿宋" w:cs="仿宋"/>
          <w:spacing w:val="-6"/>
          <w:kern w:val="0"/>
          <w:sz w:val="32"/>
          <w:szCs w:val="32"/>
          <w:highlight w:val="none"/>
          <w14:ligatures w14:val="none"/>
        </w:rPr>
        <w:t>我治理、自我管理、自我监测、自我公开、自我承诺，依法依规向社会公开相关环境信息，接受社会监督。</w:t>
      </w:r>
      <w:r>
        <w:rPr>
          <w:rFonts w:ascii="仿宋" w:hAnsi="仿宋" w:eastAsia="仿宋" w:cs="仿宋"/>
          <w:spacing w:val="-6"/>
          <w:kern w:val="0"/>
          <w:sz w:val="32"/>
          <w:szCs w:val="32"/>
          <w:highlight w:val="none"/>
          <w14:ligatures w14:val="none"/>
        </w:rPr>
        <w:t>拓展生产者责任延伸制度覆盖范围。</w:t>
      </w:r>
    </w:p>
    <w:p>
      <w:pPr>
        <w:spacing w:after="0" w:line="360" w:lineRule="auto"/>
        <w:ind w:firstLine="616" w:firstLineChars="200"/>
        <w:jc w:val="both"/>
        <w:rPr>
          <w:highlight w:val="none"/>
        </w:rPr>
      </w:pPr>
      <w:r>
        <w:rPr>
          <w:rFonts w:hint="eastAsia" w:ascii="仿宋" w:hAnsi="仿宋" w:eastAsia="仿宋" w:cs="仿宋"/>
          <w:spacing w:val="-6"/>
          <w:kern w:val="0"/>
          <w:sz w:val="32"/>
          <w:szCs w:val="32"/>
          <w:highlight w:val="none"/>
          <w14:ligatures w14:val="none"/>
        </w:rPr>
        <w:t>强化公众监督与参与。推进信访投诉举报工作机制改革，完善公众监督和结果反馈机制，完善“发现问题—解决问题—核查成效—分析研判—集中治理”全链条闭环工作机制，建立有效的监控数据及信访、投诉、举报、舆情反映问题的处置核查机制。大力宣传生态环境保护先进典型，鼓励新闻媒体设立“曝光台”或专栏，对各类破坏生态环境问题、突发环境事件、环境违法行为进行曝光和跟踪。健全环境决策公众参与机制，保障公众的知情权、监督权、参与权。</w:t>
      </w:r>
    </w:p>
    <w:p>
      <w:pPr>
        <w:spacing w:line="360" w:lineRule="auto"/>
        <w:ind w:firstLine="619" w:firstLineChars="200"/>
        <w:rPr>
          <w:highlight w:val="none"/>
        </w:rPr>
      </w:pPr>
      <w:r>
        <w:rPr>
          <w:rFonts w:hint="eastAsia" w:ascii="仿宋" w:hAnsi="仿宋" w:eastAsia="仿宋" w:cs="仿宋"/>
          <w:b/>
          <w:bCs/>
          <w:spacing w:val="-6"/>
          <w:kern w:val="0"/>
          <w:sz w:val="32"/>
          <w:szCs w:val="32"/>
          <w:highlight w:val="none"/>
          <w14:ligatures w14:val="none"/>
        </w:rPr>
        <w:t>5.建设现代环境治理体系</w:t>
      </w:r>
    </w:p>
    <w:p>
      <w:pPr>
        <w:spacing w:after="0" w:line="360" w:lineRule="auto"/>
        <w:ind w:firstLine="616" w:firstLineChars="200"/>
        <w:jc w:val="both"/>
        <w:rPr>
          <w:rFonts w:ascii="仿宋" w:hAnsi="仿宋" w:eastAsia="仿宋" w:cs="仿宋"/>
          <w:spacing w:val="-6"/>
          <w:kern w:val="0"/>
          <w:sz w:val="32"/>
          <w:szCs w:val="32"/>
          <w:highlight w:val="none"/>
          <w14:ligatures w14:val="none"/>
        </w:rPr>
      </w:pPr>
      <w:r>
        <w:rPr>
          <w:rFonts w:ascii="仿宋" w:hAnsi="仿宋" w:eastAsia="仿宋" w:cs="仿宋"/>
          <w:spacing w:val="-6"/>
          <w:kern w:val="0"/>
          <w:sz w:val="32"/>
          <w:szCs w:val="32"/>
          <w:highlight w:val="none"/>
          <w14:ligatures w14:val="none"/>
        </w:rPr>
        <w:t>健全生态环境综合执法体系</w:t>
      </w:r>
      <w:r>
        <w:rPr>
          <w:rFonts w:hint="eastAsia" w:ascii="仿宋" w:hAnsi="仿宋" w:eastAsia="仿宋" w:cs="仿宋"/>
          <w:spacing w:val="-6"/>
          <w:kern w:val="0"/>
          <w:sz w:val="32"/>
          <w:szCs w:val="32"/>
          <w:highlight w:val="none"/>
          <w14:ligatures w14:val="none"/>
        </w:rPr>
        <w:t>。深化生态环境保护综合行政执法改革，开展执法机构规范化示范创建。加快补齐应对气候变化、生态监管、农业农村、移动源等领域执法能力短板，推进执法能力规范化建设。强化生态环境监管与技术支持基础能力建设。健全重点排污单位自动监控体系，推动将在线监测数据作为执法依据。全面推行“双随机、一公开”监管制度。加强部门联动和协同配合，积极参与跨区域跨流域联合执法、交叉执法。积极推进将生态环境保护行政执法事项纳入地方综合行政执法指挥调度平台统一管理，推行“互联网+统一指挥+综合执法”。落实执法人员资格管理制度，按照省级有关部署，统一生态环境执法人员着装、证件、车辆及执法装备。</w:t>
      </w:r>
    </w:p>
    <w:p>
      <w:pPr>
        <w:spacing w:after="0" w:line="360" w:lineRule="auto"/>
        <w:ind w:firstLine="616" w:firstLineChars="200"/>
        <w:jc w:val="both"/>
        <w:rPr>
          <w:rFonts w:ascii="仿宋" w:hAnsi="仿宋" w:eastAsia="仿宋" w:cs="仿宋"/>
          <w:spacing w:val="-6"/>
          <w:kern w:val="0"/>
          <w:sz w:val="32"/>
          <w:szCs w:val="32"/>
          <w:highlight w:val="none"/>
          <w14:ligatures w14:val="none"/>
        </w:rPr>
      </w:pPr>
      <w:r>
        <w:rPr>
          <w:rFonts w:ascii="仿宋" w:hAnsi="仿宋" w:eastAsia="仿宋" w:cs="仿宋"/>
          <w:spacing w:val="-6"/>
          <w:kern w:val="0"/>
          <w:sz w:val="32"/>
          <w:szCs w:val="32"/>
          <w:highlight w:val="none"/>
          <w14:ligatures w14:val="none"/>
        </w:rPr>
        <w:t>提升生态环境监测能力。逐步完善高质量生态环境监测网络，实现领域、要素、区域全覆盖，着力提升环境质量、生态质量、污染源监测智慧感知水平和生态环境监测信息化水平。完善涵盖大气、地表水、地下水、土壤、温室气体、噪声、辐射等全部要素的环境监测网，着力提升PM</w:t>
      </w:r>
      <w:r>
        <w:rPr>
          <w:rFonts w:ascii="仿宋" w:hAnsi="仿宋" w:eastAsia="仿宋" w:cs="仿宋"/>
          <w:spacing w:val="-6"/>
          <w:kern w:val="0"/>
          <w:sz w:val="32"/>
          <w:szCs w:val="32"/>
          <w:highlight w:val="none"/>
          <w:vertAlign w:val="subscript"/>
          <w14:ligatures w14:val="none"/>
        </w:rPr>
        <w:t>2.5</w:t>
      </w:r>
      <w:r>
        <w:rPr>
          <w:rFonts w:ascii="仿宋" w:hAnsi="仿宋" w:eastAsia="仿宋" w:cs="仿宋"/>
          <w:spacing w:val="-6"/>
          <w:kern w:val="0"/>
          <w:sz w:val="32"/>
          <w:szCs w:val="32"/>
          <w:highlight w:val="none"/>
          <w14:ligatures w14:val="none"/>
        </w:rPr>
        <w:t>和O</w:t>
      </w:r>
      <w:r>
        <w:rPr>
          <w:rFonts w:ascii="仿宋" w:hAnsi="仿宋" w:eastAsia="仿宋" w:cs="仿宋"/>
          <w:spacing w:val="-6"/>
          <w:kern w:val="0"/>
          <w:sz w:val="32"/>
          <w:szCs w:val="32"/>
          <w:highlight w:val="none"/>
          <w:vertAlign w:val="subscript"/>
          <w14:ligatures w14:val="none"/>
        </w:rPr>
        <w:t>3</w:t>
      </w:r>
      <w:r>
        <w:rPr>
          <w:rFonts w:ascii="仿宋" w:hAnsi="仿宋" w:eastAsia="仿宋" w:cs="仿宋"/>
          <w:spacing w:val="-6"/>
          <w:kern w:val="0"/>
          <w:sz w:val="32"/>
          <w:szCs w:val="32"/>
          <w:highlight w:val="none"/>
          <w14:ligatures w14:val="none"/>
        </w:rPr>
        <w:t>协同监测与预警、移动源排气监控网络建设、地下水环境监测、重点流域水生态调查监测水平。推进天空地一体生态质量监测网络建设，基本覆盖典型生态系统、自然保护地、生态保护红线和重要水体。推动重点排污单位在线监控设施按照“应装尽装”持续扩大覆盖范围。对小微企业实施治污设施电量监控，严格落实排污单位自行监测数据质量主体责任和信息公开制度。</w:t>
      </w:r>
    </w:p>
    <w:p>
      <w:pPr>
        <w:spacing w:after="0" w:line="360" w:lineRule="auto"/>
        <w:ind w:firstLine="616" w:firstLineChars="200"/>
        <w:jc w:val="both"/>
        <w:rPr>
          <w:rFonts w:ascii="仿宋" w:hAnsi="仿宋" w:eastAsia="仿宋" w:cs="仿宋"/>
          <w:spacing w:val="-6"/>
          <w:kern w:val="0"/>
          <w:sz w:val="32"/>
          <w:szCs w:val="32"/>
          <w:highlight w:val="none"/>
          <w14:ligatures w14:val="none"/>
        </w:rPr>
      </w:pPr>
      <w:r>
        <w:rPr>
          <w:rFonts w:ascii="仿宋" w:hAnsi="仿宋" w:eastAsia="仿宋" w:cs="仿宋"/>
          <w:spacing w:val="-6"/>
          <w:kern w:val="0"/>
          <w:sz w:val="32"/>
          <w:szCs w:val="32"/>
          <w:highlight w:val="none"/>
          <w14:ligatures w14:val="none"/>
        </w:rPr>
        <w:t>完善生态环境监测体系。加强污染源监督监测，与相关部门、单位联合行动，提升测管融合协同效能。规范排污单位和工业园区污染源自行监测，完善污染源执法监测机制，开展排污许可自行监测监督检查。研究建立生态环境监测协调机制，推进监测调查、科研观测等基础设施统一规划与共建共用，加强监测监管数据共享。加强对排污单位和各类生态环境监测机构监督管理，确保监测数据“真、准、全”。</w:t>
      </w:r>
    </w:p>
    <w:p>
      <w:pPr>
        <w:spacing w:line="360" w:lineRule="auto"/>
        <w:ind w:firstLine="619" w:firstLineChars="200"/>
        <w:rPr>
          <w:rFonts w:ascii="仿宋" w:hAnsi="仿宋" w:eastAsia="仿宋" w:cs="仿宋"/>
          <w:b/>
          <w:bCs/>
          <w:spacing w:val="-6"/>
          <w:kern w:val="0"/>
          <w:sz w:val="32"/>
          <w:szCs w:val="32"/>
          <w:highlight w:val="none"/>
          <w14:ligatures w14:val="none"/>
        </w:rPr>
      </w:pPr>
      <w:r>
        <w:rPr>
          <w:rFonts w:hint="eastAsia" w:ascii="仿宋" w:hAnsi="仿宋" w:eastAsia="仿宋" w:cs="仿宋"/>
          <w:b/>
          <w:bCs/>
          <w:spacing w:val="-6"/>
          <w:kern w:val="0"/>
          <w:sz w:val="32"/>
          <w:szCs w:val="32"/>
          <w:highlight w:val="none"/>
          <w14:ligatures w14:val="none"/>
        </w:rPr>
        <w:t>6.健全绿色发展政策体系</w:t>
      </w:r>
    </w:p>
    <w:p>
      <w:pPr>
        <w:spacing w:after="0" w:line="360" w:lineRule="auto"/>
        <w:ind w:firstLine="616" w:firstLineChars="200"/>
        <w:jc w:val="both"/>
        <w:rPr>
          <w:rFonts w:ascii="仿宋" w:hAnsi="仿宋" w:eastAsia="仿宋" w:cs="仿宋"/>
          <w:spacing w:val="-6"/>
          <w:kern w:val="0"/>
          <w:sz w:val="32"/>
          <w:szCs w:val="32"/>
          <w:highlight w:val="none"/>
          <w14:ligatures w14:val="none"/>
        </w:rPr>
      </w:pPr>
      <w:r>
        <w:rPr>
          <w:rFonts w:hint="eastAsia" w:ascii="仿宋" w:hAnsi="仿宋" w:eastAsia="仿宋" w:cs="仿宋"/>
          <w:spacing w:val="-6"/>
          <w:kern w:val="0"/>
          <w:sz w:val="32"/>
          <w:szCs w:val="32"/>
          <w:highlight w:val="none"/>
          <w14:ligatures w14:val="none"/>
        </w:rPr>
        <w:t>探索生态产品价值实现机制。积极开展生态系统价值核算，</w:t>
      </w:r>
    </w:p>
    <w:p>
      <w:pPr>
        <w:spacing w:after="0" w:line="360" w:lineRule="auto"/>
        <w:jc w:val="both"/>
        <w:rPr>
          <w:rFonts w:ascii="仿宋" w:hAnsi="仿宋" w:eastAsia="仿宋" w:cs="仿宋"/>
          <w:spacing w:val="-6"/>
          <w:kern w:val="0"/>
          <w:sz w:val="32"/>
          <w:szCs w:val="32"/>
          <w:highlight w:val="none"/>
          <w14:ligatures w14:val="none"/>
        </w:rPr>
      </w:pPr>
      <w:r>
        <w:rPr>
          <w:rFonts w:hint="eastAsia" w:ascii="仿宋" w:hAnsi="仿宋" w:eastAsia="仿宋" w:cs="仿宋"/>
          <w:spacing w:val="-6"/>
          <w:kern w:val="0"/>
          <w:sz w:val="32"/>
          <w:szCs w:val="32"/>
          <w:highlight w:val="none"/>
          <w14:ligatures w14:val="none"/>
        </w:rPr>
        <w:t>建立生态产品价值核算结果应用机制，探索将核算结果用于生态资源指标及产权交易、生态保护补偿、生态环境损害赔偿等工作。积极拓展“两山”转换路径，推进生态产业化，积极推动“生态+”绿色新产品、新业态、新模式融合发展，依托生态优势，提升生态产品附加值，推进生态旅游、绿色农产品等绿色产业发展。</w:t>
      </w:r>
      <w:r>
        <w:rPr>
          <w:rFonts w:ascii="仿宋" w:hAnsi="仿宋" w:eastAsia="仿宋" w:cs="仿宋"/>
          <w:spacing w:val="-6"/>
          <w:kern w:val="0"/>
          <w:sz w:val="32"/>
          <w:szCs w:val="32"/>
          <w:highlight w:val="none"/>
          <w14:ligatures w14:val="none"/>
        </w:rPr>
        <w:t>发挥政府引导和市场配置作用，鼓励</w:t>
      </w:r>
      <w:r>
        <w:rPr>
          <w:rFonts w:hint="eastAsia" w:ascii="仿宋" w:hAnsi="仿宋" w:eastAsia="仿宋" w:cs="仿宋"/>
          <w:spacing w:val="-6"/>
          <w:kern w:val="0"/>
          <w:sz w:val="32"/>
          <w:szCs w:val="32"/>
          <w:highlight w:val="none"/>
          <w14:ligatures w14:val="none"/>
        </w:rPr>
        <w:t>积极</w:t>
      </w:r>
      <w:r>
        <w:rPr>
          <w:rFonts w:ascii="仿宋" w:hAnsi="仿宋" w:eastAsia="仿宋" w:cs="仿宋"/>
          <w:spacing w:val="-6"/>
          <w:kern w:val="0"/>
          <w:sz w:val="32"/>
          <w:szCs w:val="32"/>
          <w:highlight w:val="none"/>
          <w14:ligatures w14:val="none"/>
        </w:rPr>
        <w:t>探索生态积分交易，引导开展生态产品交易。</w:t>
      </w:r>
    </w:p>
    <w:p>
      <w:pPr>
        <w:spacing w:after="0" w:line="360" w:lineRule="auto"/>
        <w:ind w:firstLine="616" w:firstLineChars="200"/>
        <w:jc w:val="both"/>
        <w:rPr>
          <w:rFonts w:ascii="仿宋" w:hAnsi="仿宋" w:eastAsia="仿宋" w:cs="仿宋"/>
          <w:spacing w:val="-6"/>
          <w:kern w:val="0"/>
          <w:sz w:val="32"/>
          <w:szCs w:val="32"/>
          <w:highlight w:val="none"/>
          <w14:ligatures w14:val="none"/>
        </w:rPr>
      </w:pPr>
      <w:r>
        <w:rPr>
          <w:rFonts w:hint="eastAsia" w:ascii="仿宋" w:hAnsi="仿宋" w:eastAsia="仿宋" w:cs="仿宋"/>
          <w:spacing w:val="-6"/>
          <w:kern w:val="0"/>
          <w:sz w:val="32"/>
          <w:szCs w:val="32"/>
          <w:highlight w:val="none"/>
          <w14:ligatures w14:val="none"/>
        </w:rPr>
        <w:t>健全绿色金融体系。积极落实国家、省绿色投融资、绿色信贷等金融政策,加强绿色金融体系建设，推进绿色金融业务创新，加大对节能环保、生态环境、绿色产业等重点领域的金融支持。</w:t>
      </w:r>
      <w:r>
        <w:rPr>
          <w:rFonts w:ascii="仿宋" w:hAnsi="仿宋" w:eastAsia="仿宋" w:cs="仿宋"/>
          <w:spacing w:val="-6"/>
          <w:kern w:val="0"/>
          <w:sz w:val="32"/>
          <w:szCs w:val="32"/>
          <w:highlight w:val="none"/>
          <w14:ligatures w14:val="none"/>
        </w:rPr>
        <w:t>引导金融机构完善绿色金融服务体系，强化绿色信贷产品创新</w:t>
      </w:r>
      <w:r>
        <w:rPr>
          <w:rFonts w:hint="eastAsia" w:ascii="仿宋" w:hAnsi="仿宋" w:eastAsia="仿宋" w:cs="仿宋"/>
          <w:spacing w:val="-6"/>
          <w:kern w:val="0"/>
          <w:sz w:val="32"/>
          <w:szCs w:val="32"/>
          <w:highlight w:val="none"/>
          <w14:ligatures w14:val="none"/>
        </w:rPr>
        <w:t>，鼓励金融机构对节能减排重点工程给予多元化融资支持。积极促进大数据、人工智能、云计算、区块链等金融科技手段在绿色金融中的运用，打造绿色业务数据库。</w:t>
      </w:r>
    </w:p>
    <w:p>
      <w:pPr>
        <w:spacing w:after="0" w:line="360" w:lineRule="auto"/>
        <w:ind w:firstLine="616" w:firstLineChars="200"/>
        <w:jc w:val="both"/>
        <w:rPr>
          <w:highlight w:val="none"/>
        </w:rPr>
      </w:pPr>
      <w:r>
        <w:rPr>
          <w:rFonts w:hint="eastAsia" w:ascii="仿宋" w:hAnsi="仿宋" w:eastAsia="仿宋" w:cs="仿宋"/>
          <w:spacing w:val="-6"/>
          <w:kern w:val="0"/>
          <w:sz w:val="32"/>
          <w:szCs w:val="32"/>
          <w:highlight w:val="none"/>
          <w14:ligatures w14:val="none"/>
        </w:rPr>
        <w:t>健全环境治理信用制度。建立环保政务失信记录，健全政务失信信息共享交换机制，依托“信用中国（山东济宁）”网站等依法依规逐步公开，强化环保政务信用信息使用。严格执行企业环境信用评价制度，依据评价结果实施分级分类监管。严格落实黑名单制度，将企业和服务单位在环境影响评价、社会化环境检测、危险废物处置、环境治理及设施运营、清洁生产审核、污染场地风险调查评估等领域的违法违规信息记入企业信用记录，纳入信用信息共享平台，向社会公开。落实国家强制性环境治理信息披露办法，督促上市公司、发债企业等市场主体全面、及时、准确披露环境信息。以企业环境信用评价为抓手，提高企业环境信息和数据质量。</w:t>
      </w:r>
    </w:p>
    <w:p>
      <w:pPr>
        <w:pStyle w:val="3"/>
        <w:widowControl w:val="0"/>
        <w:spacing w:line="240" w:lineRule="auto"/>
        <w:ind w:firstLine="643"/>
        <w:rPr>
          <w:rFonts w:ascii="楷体" w:hAnsi="楷体" w:eastAsia="楷体" w:cs="楷体"/>
          <w:kern w:val="2"/>
          <w:highlight w:val="none"/>
        </w:rPr>
      </w:pPr>
      <w:bookmarkStart w:id="20" w:name="_Toc17113"/>
      <w:r>
        <w:rPr>
          <w:rFonts w:hint="eastAsia" w:ascii="楷体" w:hAnsi="楷体" w:eastAsia="楷体" w:cs="楷体"/>
          <w:kern w:val="2"/>
          <w:highlight w:val="none"/>
        </w:rPr>
        <w:t>（二）建设生态安全体系，建设生态美丽泗水</w:t>
      </w:r>
      <w:bookmarkEnd w:id="20"/>
    </w:p>
    <w:p>
      <w:pPr>
        <w:spacing w:line="360" w:lineRule="auto"/>
        <w:ind w:firstLine="619" w:firstLineChars="200"/>
        <w:rPr>
          <w:rFonts w:ascii="仿宋" w:hAnsi="仿宋" w:eastAsia="仿宋" w:cs="仿宋"/>
          <w:b/>
          <w:bCs/>
          <w:spacing w:val="-6"/>
          <w:kern w:val="0"/>
          <w:sz w:val="32"/>
          <w:szCs w:val="32"/>
          <w:highlight w:val="none"/>
          <w14:ligatures w14:val="none"/>
        </w:rPr>
      </w:pPr>
      <w:r>
        <w:rPr>
          <w:rFonts w:hint="eastAsia" w:ascii="仿宋" w:hAnsi="仿宋" w:eastAsia="仿宋" w:cs="仿宋"/>
          <w:b/>
          <w:bCs/>
          <w:spacing w:val="-6"/>
          <w:kern w:val="0"/>
          <w:sz w:val="32"/>
          <w:szCs w:val="32"/>
          <w:highlight w:val="none"/>
          <w14:ligatures w14:val="none"/>
        </w:rPr>
        <w:t>1.持续深入打好蓝天保卫战</w:t>
      </w:r>
    </w:p>
    <w:p>
      <w:pPr>
        <w:spacing w:after="0" w:line="360" w:lineRule="auto"/>
        <w:ind w:firstLine="616" w:firstLineChars="200"/>
        <w:jc w:val="both"/>
        <w:rPr>
          <w:rFonts w:ascii="仿宋" w:hAnsi="仿宋" w:eastAsia="仿宋" w:cs="仿宋"/>
          <w:spacing w:val="-6"/>
          <w:kern w:val="0"/>
          <w:sz w:val="32"/>
          <w:szCs w:val="32"/>
          <w:highlight w:val="none"/>
          <w14:ligatures w14:val="none"/>
        </w:rPr>
      </w:pPr>
      <w:r>
        <w:rPr>
          <w:rFonts w:hint="eastAsia" w:ascii="仿宋" w:hAnsi="仿宋" w:eastAsia="仿宋" w:cs="仿宋"/>
          <w:spacing w:val="-6"/>
          <w:kern w:val="0"/>
          <w:sz w:val="32"/>
          <w:szCs w:val="32"/>
          <w:highlight w:val="none"/>
          <w14:ligatures w14:val="none"/>
        </w:rPr>
        <w:t>加强细颗粒物和臭氧协同控制。针对夏秋季以O</w:t>
      </w:r>
      <w:r>
        <w:rPr>
          <w:rFonts w:hint="eastAsia" w:ascii="仿宋" w:hAnsi="仿宋" w:eastAsia="仿宋" w:cs="仿宋"/>
          <w:spacing w:val="-6"/>
          <w:kern w:val="0"/>
          <w:sz w:val="32"/>
          <w:szCs w:val="32"/>
          <w:highlight w:val="none"/>
          <w:vertAlign w:val="subscript"/>
          <w14:ligatures w14:val="none"/>
        </w:rPr>
        <w:t>3</w:t>
      </w:r>
      <w:r>
        <w:rPr>
          <w:rFonts w:hint="eastAsia" w:ascii="仿宋" w:hAnsi="仿宋" w:eastAsia="仿宋" w:cs="仿宋"/>
          <w:spacing w:val="-6"/>
          <w:kern w:val="0"/>
          <w:sz w:val="32"/>
          <w:szCs w:val="32"/>
          <w:highlight w:val="none"/>
          <w14:ligatures w14:val="none"/>
        </w:rPr>
        <w:t>为首要污染物和秋冬季以PM</w:t>
      </w:r>
      <w:r>
        <w:rPr>
          <w:rFonts w:hint="eastAsia" w:ascii="仿宋" w:hAnsi="仿宋" w:eastAsia="仿宋" w:cs="仿宋"/>
          <w:spacing w:val="-6"/>
          <w:kern w:val="0"/>
          <w:sz w:val="32"/>
          <w:szCs w:val="32"/>
          <w:highlight w:val="none"/>
          <w:vertAlign w:val="subscript"/>
          <w14:ligatures w14:val="none"/>
        </w:rPr>
        <w:t>2.5</w:t>
      </w:r>
      <w:r>
        <w:rPr>
          <w:rFonts w:hint="eastAsia" w:ascii="仿宋" w:hAnsi="仿宋" w:eastAsia="仿宋" w:cs="仿宋"/>
          <w:spacing w:val="-6"/>
          <w:kern w:val="0"/>
          <w:sz w:val="32"/>
          <w:szCs w:val="32"/>
          <w:highlight w:val="none"/>
          <w14:ligatures w14:val="none"/>
        </w:rPr>
        <w:t>为首要污染物的污染天气，实施季节性差异化管控措施，稳步增加空气质量优良天数。统筹考虑PM</w:t>
      </w:r>
      <w:r>
        <w:rPr>
          <w:rFonts w:hint="eastAsia" w:ascii="仿宋" w:hAnsi="仿宋" w:eastAsia="仿宋" w:cs="仿宋"/>
          <w:spacing w:val="-6"/>
          <w:kern w:val="0"/>
          <w:sz w:val="32"/>
          <w:szCs w:val="32"/>
          <w:highlight w:val="none"/>
          <w:vertAlign w:val="subscript"/>
          <w14:ligatures w14:val="none"/>
        </w:rPr>
        <w:t>2.5</w:t>
      </w:r>
      <w:r>
        <w:rPr>
          <w:rFonts w:hint="eastAsia" w:ascii="仿宋" w:hAnsi="仿宋" w:eastAsia="仿宋" w:cs="仿宋"/>
          <w:spacing w:val="-6"/>
          <w:kern w:val="0"/>
          <w:sz w:val="32"/>
          <w:szCs w:val="32"/>
          <w:highlight w:val="none"/>
          <w14:ligatures w14:val="none"/>
        </w:rPr>
        <w:t>和O</w:t>
      </w:r>
      <w:r>
        <w:rPr>
          <w:rFonts w:hint="eastAsia" w:ascii="仿宋" w:hAnsi="仿宋" w:eastAsia="仿宋" w:cs="仿宋"/>
          <w:spacing w:val="-6"/>
          <w:kern w:val="0"/>
          <w:sz w:val="32"/>
          <w:szCs w:val="32"/>
          <w:highlight w:val="none"/>
          <w:vertAlign w:val="subscript"/>
          <w14:ligatures w14:val="none"/>
        </w:rPr>
        <w:t>3</w:t>
      </w:r>
      <w:r>
        <w:rPr>
          <w:rFonts w:hint="eastAsia" w:ascii="仿宋" w:hAnsi="仿宋" w:eastAsia="仿宋" w:cs="仿宋"/>
          <w:spacing w:val="-6"/>
          <w:kern w:val="0"/>
          <w:sz w:val="32"/>
          <w:szCs w:val="32"/>
          <w:highlight w:val="none"/>
          <w14:ligatures w14:val="none"/>
        </w:rPr>
        <w:t>污染特征，加强重点时段、重点领域、重点行业治理，强化分区分时分类差异化精细化协同管控。</w:t>
      </w:r>
    </w:p>
    <w:p>
      <w:pPr>
        <w:spacing w:after="0" w:line="360" w:lineRule="auto"/>
        <w:ind w:firstLine="616" w:firstLineChars="200"/>
        <w:jc w:val="both"/>
        <w:rPr>
          <w:rFonts w:ascii="仿宋" w:hAnsi="仿宋" w:eastAsia="仿宋" w:cs="仿宋"/>
          <w:spacing w:val="-6"/>
          <w:kern w:val="0"/>
          <w:sz w:val="32"/>
          <w:szCs w:val="32"/>
          <w:highlight w:val="none"/>
          <w14:ligatures w14:val="none"/>
        </w:rPr>
      </w:pPr>
      <w:r>
        <w:rPr>
          <w:rFonts w:hint="eastAsia" w:ascii="仿宋" w:hAnsi="仿宋" w:eastAsia="仿宋" w:cs="仿宋"/>
          <w:spacing w:val="-6"/>
          <w:kern w:val="0"/>
          <w:sz w:val="32"/>
          <w:szCs w:val="32"/>
          <w:highlight w:val="none"/>
          <w14:ligatures w14:val="none"/>
        </w:rPr>
        <w:t>深化工业污染源治理。强化企业无组织排放粉尘管控，建设封闭生产车间及储存料仓，配套建设除尘器；块状、粒状物料要覆盖抑尘网；建设洗车台，对进出车辆及时清洗轮胎，杜绝带泥上路。加大绿色管控力度，重点对于大气污染物排放量较大的水泥、热电、塑料包装印刷等行业，综合采取用电监控、污染物排放在线监测、督查等方式，对发现落实不到位的，实行清单式管理，挂账督办，限期整改。强化矿产资源开采及加工管控，确保按导则要求完成整治、达标排污。</w:t>
      </w:r>
    </w:p>
    <w:p>
      <w:pPr>
        <w:spacing w:after="0" w:line="360" w:lineRule="auto"/>
        <w:ind w:firstLine="616" w:firstLineChars="200"/>
        <w:jc w:val="both"/>
        <w:rPr>
          <w:rFonts w:ascii="仿宋" w:hAnsi="仿宋" w:eastAsia="仿宋" w:cs="仿宋"/>
          <w:spacing w:val="-6"/>
          <w:kern w:val="0"/>
          <w:sz w:val="32"/>
          <w:szCs w:val="32"/>
          <w:highlight w:val="none"/>
          <w14:ligatures w14:val="none"/>
        </w:rPr>
      </w:pPr>
      <w:r>
        <w:rPr>
          <w:rFonts w:hint="eastAsia" w:ascii="仿宋" w:hAnsi="仿宋" w:eastAsia="仿宋" w:cs="仿宋"/>
          <w:spacing w:val="-6"/>
          <w:kern w:val="0"/>
          <w:sz w:val="32"/>
          <w:szCs w:val="32"/>
          <w:highlight w:val="none"/>
          <w14:ligatures w14:val="none"/>
        </w:rPr>
        <w:t>实施 VOCs全过程污染防治。以有机液体储罐、泄露检测与修复、有机废气收集及旁路排查为重点，进行深度排查整治。加快实施低VOCs原辅材料源头替代。因地制宜推进工业园区、企业集群VOCs“绿岛”项目，分类建设集中涂装中心、活性炭集中处理中心、溶剂回收中心。</w:t>
      </w:r>
    </w:p>
    <w:p>
      <w:pPr>
        <w:spacing w:after="0" w:line="360" w:lineRule="auto"/>
        <w:ind w:firstLine="616" w:firstLineChars="200"/>
        <w:jc w:val="both"/>
        <w:rPr>
          <w:rFonts w:ascii="仿宋" w:hAnsi="仿宋" w:eastAsia="仿宋" w:cs="仿宋"/>
          <w:spacing w:val="-6"/>
          <w:kern w:val="0"/>
          <w:sz w:val="32"/>
          <w:szCs w:val="32"/>
          <w:highlight w:val="none"/>
          <w14:ligatures w14:val="none"/>
        </w:rPr>
      </w:pPr>
      <w:r>
        <w:rPr>
          <w:rFonts w:hint="eastAsia" w:ascii="仿宋" w:hAnsi="仿宋" w:eastAsia="仿宋" w:cs="仿宋"/>
          <w:spacing w:val="-6"/>
          <w:kern w:val="0"/>
          <w:sz w:val="32"/>
          <w:szCs w:val="32"/>
          <w:highlight w:val="none"/>
          <w14:ligatures w14:val="none"/>
        </w:rPr>
        <w:t>严格扬尘源污染治理。加强城区道路保洁，达到“道牙无尘、路无杂物、设施整洁、路见本色”标准，城区道路机扫覆盖率达到95%以上。做好国省道及县乡道的日常保洁，根据气象条件及时开展湿扫、洒水等抑尘作业。全面推行绿色施工，各类施工工地严格落实扬尘污染防治措施，建筑施工工地严格执行“八个百分之百”。规范渣土车运输管理，渣土车必须按照规定的时间和路线通行，落实硬覆盖与全密闭运输，实行质量信誉等级管理。</w:t>
      </w:r>
    </w:p>
    <w:p>
      <w:pPr>
        <w:spacing w:after="0" w:line="360" w:lineRule="auto"/>
        <w:ind w:firstLine="616" w:firstLineChars="200"/>
        <w:jc w:val="both"/>
        <w:rPr>
          <w:rFonts w:ascii="仿宋" w:hAnsi="仿宋" w:eastAsia="仿宋" w:cs="仿宋"/>
          <w:spacing w:val="-6"/>
          <w:kern w:val="0"/>
          <w:sz w:val="32"/>
          <w:szCs w:val="32"/>
          <w:highlight w:val="none"/>
          <w14:ligatures w14:val="none"/>
        </w:rPr>
      </w:pPr>
      <w:r>
        <w:rPr>
          <w:rFonts w:hint="eastAsia" w:ascii="仿宋" w:hAnsi="仿宋" w:eastAsia="仿宋" w:cs="仿宋"/>
          <w:spacing w:val="-6"/>
          <w:kern w:val="0"/>
          <w:sz w:val="32"/>
          <w:szCs w:val="32"/>
          <w:highlight w:val="none"/>
          <w14:ligatures w14:val="none"/>
        </w:rPr>
        <w:t>深化机动车全流程污染管控。加强新车源头管控，严格执行国家新生产机动车和非道路移动机械排放标准，加大机动车、发动机、非道路移动机械新生产、销售及注册登记环节监督检查力度。实施柴油货车排放常态化执法检查，在主要物流通道、集中停放地、物流园区等区域开展尾气排放日常执法检查，定期开展专项行动，依法查处尾气超标排放、治理设施不正常运行等违法行为。</w:t>
      </w:r>
    </w:p>
    <w:p>
      <w:pPr>
        <w:spacing w:after="0" w:line="360" w:lineRule="auto"/>
        <w:ind w:firstLine="616" w:firstLineChars="200"/>
        <w:jc w:val="both"/>
        <w:rPr>
          <w:rFonts w:ascii="仿宋" w:hAnsi="仿宋" w:eastAsia="仿宋" w:cs="仿宋"/>
          <w:spacing w:val="-6"/>
          <w:kern w:val="0"/>
          <w:sz w:val="32"/>
          <w:szCs w:val="32"/>
          <w:highlight w:val="none"/>
          <w14:ligatures w14:val="none"/>
        </w:rPr>
      </w:pPr>
      <w:r>
        <w:rPr>
          <w:rFonts w:hint="eastAsia" w:ascii="仿宋" w:hAnsi="仿宋" w:eastAsia="仿宋" w:cs="仿宋"/>
          <w:spacing w:val="-6"/>
          <w:kern w:val="0"/>
          <w:sz w:val="32"/>
          <w:szCs w:val="32"/>
          <w:highlight w:val="none"/>
          <w14:ligatures w14:val="none"/>
        </w:rPr>
        <w:t>优化重污染天气应对体系。组织重点行业企业开展绩效等级提升，按要求完成全区重污染天气应急减排清单修订。按规范及时启动重污染天气预警，加强应急响应期间的督查检查。</w:t>
      </w:r>
    </w:p>
    <w:p>
      <w:pPr>
        <w:spacing w:after="0" w:line="360" w:lineRule="auto"/>
        <w:ind w:firstLine="616" w:firstLineChars="200"/>
        <w:jc w:val="both"/>
        <w:rPr>
          <w:rFonts w:ascii="仿宋" w:hAnsi="仿宋" w:eastAsia="仿宋" w:cs="仿宋"/>
          <w:spacing w:val="-6"/>
          <w:kern w:val="0"/>
          <w:sz w:val="32"/>
          <w:szCs w:val="32"/>
          <w:highlight w:val="none"/>
          <w14:ligatures w14:val="none"/>
        </w:rPr>
      </w:pPr>
      <w:r>
        <w:rPr>
          <w:rFonts w:hint="eastAsia" w:ascii="仿宋" w:hAnsi="仿宋" w:eastAsia="仿宋" w:cs="仿宋"/>
          <w:spacing w:val="-6"/>
          <w:kern w:val="0"/>
          <w:sz w:val="32"/>
          <w:szCs w:val="32"/>
          <w:highlight w:val="none"/>
          <w14:ligatures w14:val="none"/>
        </w:rPr>
        <w:t>强化秸秆禁烧管控。全面禁止露天焚烧各类农作物秸秆，组织开展农作物秸秆露天焚烧监管专项行动。充分利用卫星遥感、高清视频监控、无人机等先进技术，强化不利气象条件下的监管执法。强化联动机制，加大重点时段、重点区域的巡查检查。</w:t>
      </w:r>
    </w:p>
    <w:p>
      <w:pPr>
        <w:spacing w:line="360" w:lineRule="auto"/>
        <w:ind w:firstLine="619" w:firstLineChars="200"/>
        <w:rPr>
          <w:rFonts w:ascii="仿宋" w:hAnsi="仿宋" w:eastAsia="仿宋" w:cs="仿宋"/>
          <w:b/>
          <w:bCs/>
          <w:spacing w:val="-6"/>
          <w:kern w:val="0"/>
          <w:sz w:val="32"/>
          <w:szCs w:val="32"/>
          <w:highlight w:val="none"/>
          <w14:ligatures w14:val="none"/>
        </w:rPr>
      </w:pPr>
      <w:r>
        <w:rPr>
          <w:rFonts w:hint="eastAsia" w:ascii="仿宋" w:hAnsi="仿宋" w:eastAsia="仿宋" w:cs="仿宋"/>
          <w:b/>
          <w:bCs/>
          <w:spacing w:val="-6"/>
          <w:kern w:val="0"/>
          <w:sz w:val="32"/>
          <w:szCs w:val="32"/>
          <w:highlight w:val="none"/>
          <w14:ligatures w14:val="none"/>
        </w:rPr>
        <w:t>2.深入打好碧水保卫战</w:t>
      </w:r>
    </w:p>
    <w:p>
      <w:pPr>
        <w:spacing w:after="0" w:line="360" w:lineRule="auto"/>
        <w:ind w:firstLine="616" w:firstLineChars="200"/>
        <w:jc w:val="both"/>
        <w:rPr>
          <w:rFonts w:ascii="仿宋" w:hAnsi="仿宋" w:eastAsia="仿宋" w:cs="仿宋"/>
          <w:spacing w:val="-6"/>
          <w:kern w:val="0"/>
          <w:sz w:val="32"/>
          <w:szCs w:val="32"/>
          <w:highlight w:val="none"/>
          <w14:ligatures w14:val="none"/>
        </w:rPr>
      </w:pPr>
      <w:r>
        <w:rPr>
          <w:rFonts w:hint="eastAsia" w:ascii="仿宋" w:hAnsi="仿宋" w:eastAsia="仿宋" w:cs="仿宋"/>
          <w:spacing w:val="-6"/>
          <w:kern w:val="0"/>
          <w:sz w:val="32"/>
          <w:szCs w:val="32"/>
          <w:highlight w:val="none"/>
          <w14:ligatures w14:val="none"/>
        </w:rPr>
        <w:t>（1）大力强化水资源保障</w:t>
      </w:r>
    </w:p>
    <w:p>
      <w:pPr>
        <w:spacing w:after="0" w:line="360" w:lineRule="auto"/>
        <w:ind w:firstLine="616" w:firstLineChars="200"/>
        <w:jc w:val="both"/>
        <w:rPr>
          <w:rFonts w:ascii="仿宋" w:hAnsi="仿宋" w:eastAsia="仿宋" w:cs="仿宋"/>
          <w:spacing w:val="-6"/>
          <w:kern w:val="0"/>
          <w:sz w:val="32"/>
          <w:szCs w:val="32"/>
          <w:highlight w:val="none"/>
          <w14:ligatures w14:val="none"/>
        </w:rPr>
      </w:pPr>
      <w:r>
        <w:rPr>
          <w:rFonts w:hint="eastAsia" w:ascii="仿宋" w:hAnsi="仿宋" w:eastAsia="仿宋" w:cs="仿宋"/>
          <w:spacing w:val="-6"/>
          <w:kern w:val="0"/>
          <w:sz w:val="32"/>
          <w:szCs w:val="32"/>
          <w:highlight w:val="none"/>
          <w14:ligatures w14:val="none"/>
        </w:rPr>
        <w:t>严格水资源开发利用。严格落实区域用水总量行业分配方案，加快推进非常规水资源开发利用，严格执行建设项目水资源论证制度，完善各行业用水定额标准体系，严格用水定额和计划用水管理，强化行业和产品用水强度控制。严格执行用水超定额、超计划累进加价和特殊行业用水水价政策，全面落实居民用水阶梯水价政策，健全农村生活用水价格管理机制。</w:t>
      </w:r>
    </w:p>
    <w:p>
      <w:pPr>
        <w:spacing w:after="0" w:line="360" w:lineRule="auto"/>
        <w:ind w:firstLine="616" w:firstLineChars="200"/>
        <w:jc w:val="both"/>
        <w:rPr>
          <w:rFonts w:ascii="仿宋" w:hAnsi="仿宋" w:eastAsia="仿宋" w:cs="仿宋"/>
          <w:spacing w:val="-6"/>
          <w:kern w:val="0"/>
          <w:sz w:val="32"/>
          <w:szCs w:val="32"/>
          <w:highlight w:val="none"/>
          <w14:ligatures w14:val="none"/>
        </w:rPr>
      </w:pPr>
      <w:r>
        <w:rPr>
          <w:rFonts w:hint="eastAsia" w:ascii="仿宋" w:hAnsi="仿宋" w:eastAsia="仿宋" w:cs="仿宋"/>
          <w:spacing w:val="-6"/>
          <w:kern w:val="0"/>
          <w:sz w:val="32"/>
          <w:szCs w:val="32"/>
          <w:highlight w:val="none"/>
          <w14:ligatures w14:val="none"/>
        </w:rPr>
        <w:t>严控地下水超采。严格控制开采深层承压水，地热水、矿泉水开发严格实行取水许可。依法规范机井建设管理，结合地表水及再生水供水工程建设逐步封停公共供水管网覆盖范围内的自备水井。禁止农业、工业建设项目和服务业新增取用地下水，并逐步压缩地下水开采量，在超采区内确需取用地下水的，要在现有地下水开采总量控制指标内调剂解决。实施地下水超采区治理。</w:t>
      </w:r>
    </w:p>
    <w:p>
      <w:pPr>
        <w:spacing w:after="0" w:line="360" w:lineRule="auto"/>
        <w:ind w:firstLine="616" w:firstLineChars="200"/>
        <w:jc w:val="both"/>
        <w:rPr>
          <w:rFonts w:ascii="仿宋" w:hAnsi="仿宋" w:eastAsia="仿宋" w:cs="仿宋"/>
          <w:spacing w:val="-6"/>
          <w:kern w:val="0"/>
          <w:sz w:val="32"/>
          <w:szCs w:val="32"/>
          <w:highlight w:val="none"/>
          <w14:ligatures w14:val="none"/>
        </w:rPr>
      </w:pPr>
      <w:r>
        <w:rPr>
          <w:rFonts w:hint="eastAsia" w:ascii="仿宋" w:hAnsi="仿宋" w:eastAsia="仿宋" w:cs="仿宋"/>
          <w:spacing w:val="-6"/>
          <w:kern w:val="0"/>
          <w:sz w:val="32"/>
          <w:szCs w:val="32"/>
          <w:highlight w:val="none"/>
          <w14:ligatures w14:val="none"/>
        </w:rPr>
        <w:t>强化农业节水增效。加快实施新建灌区及大中型灌区续建配套与节水改造，提高灌区输配水能力和运行管理能力，打造现代化节水型生态灌区，新建泗水县龙湾湖提水灌区。实施泗水县中型灌区续建配套与节水改造工程，改善农业生产条件，保障国家粮食安全。</w:t>
      </w:r>
    </w:p>
    <w:p>
      <w:pPr>
        <w:spacing w:after="0" w:line="360" w:lineRule="auto"/>
        <w:ind w:firstLine="616" w:firstLineChars="200"/>
        <w:jc w:val="both"/>
        <w:rPr>
          <w:rFonts w:ascii="仿宋" w:hAnsi="仿宋" w:eastAsia="仿宋" w:cs="仿宋"/>
          <w:spacing w:val="-6"/>
          <w:kern w:val="0"/>
          <w:sz w:val="32"/>
          <w:szCs w:val="32"/>
          <w:highlight w:val="none"/>
          <w14:ligatures w14:val="none"/>
        </w:rPr>
      </w:pPr>
      <w:r>
        <w:rPr>
          <w:rFonts w:hint="eastAsia" w:ascii="仿宋" w:hAnsi="仿宋" w:eastAsia="仿宋" w:cs="仿宋"/>
          <w:spacing w:val="-6"/>
          <w:kern w:val="0"/>
          <w:sz w:val="32"/>
          <w:szCs w:val="32"/>
          <w:highlight w:val="none"/>
          <w14:ligatures w14:val="none"/>
        </w:rPr>
        <w:t>提升再生水循环利用能力。加快推动城镇生活污水资源化利用，以现有污水处理厂为基础，合理布局再生水利用基础设施，在城市绿化、道路清扫、车辆冲洗、建筑施工以及生态景观等领域优先使用再生水。完善区域再生水资源调配、输送及循环利用工程，将再生水用于农田灌溉、工业回用和城市杂用。</w:t>
      </w:r>
    </w:p>
    <w:p>
      <w:pPr>
        <w:spacing w:after="0" w:line="360" w:lineRule="auto"/>
        <w:ind w:firstLine="616" w:firstLineChars="200"/>
        <w:jc w:val="both"/>
        <w:rPr>
          <w:rFonts w:ascii="仿宋" w:hAnsi="仿宋" w:eastAsia="仿宋" w:cs="仿宋"/>
          <w:spacing w:val="-6"/>
          <w:kern w:val="0"/>
          <w:sz w:val="32"/>
          <w:szCs w:val="32"/>
          <w:highlight w:val="none"/>
          <w14:ligatures w14:val="none"/>
        </w:rPr>
      </w:pPr>
      <w:r>
        <w:rPr>
          <w:rFonts w:hint="eastAsia" w:ascii="仿宋" w:hAnsi="仿宋" w:eastAsia="仿宋" w:cs="仿宋"/>
          <w:spacing w:val="-6"/>
          <w:kern w:val="0"/>
          <w:sz w:val="32"/>
          <w:szCs w:val="32"/>
          <w:highlight w:val="none"/>
          <w14:ligatures w14:val="none"/>
        </w:rPr>
        <w:t>提高节水技术水平。积极推广应用先进实用的节水新技术、新产品，加快淘汰不符合节水标准的用水设备和器具。稳步实施卫生洁具、用水设施、空调设备冷却系统，老旧管网和耗水设备等节水改造。在新建、改建、扩建项目时，加强节水措施方案的制定，坚持做到节水设施与主体工程同时设计、同时施工、同时投入使用。</w:t>
      </w:r>
    </w:p>
    <w:p>
      <w:pPr>
        <w:spacing w:after="0" w:line="360" w:lineRule="auto"/>
        <w:ind w:firstLine="616" w:firstLineChars="200"/>
        <w:jc w:val="both"/>
        <w:rPr>
          <w:rFonts w:ascii="仿宋" w:hAnsi="仿宋" w:eastAsia="仿宋" w:cs="仿宋"/>
          <w:spacing w:val="-6"/>
          <w:kern w:val="0"/>
          <w:sz w:val="32"/>
          <w:szCs w:val="32"/>
          <w:highlight w:val="none"/>
          <w14:ligatures w14:val="none"/>
        </w:rPr>
      </w:pPr>
      <w:r>
        <w:rPr>
          <w:rFonts w:hint="eastAsia" w:ascii="仿宋" w:hAnsi="仿宋" w:eastAsia="仿宋" w:cs="仿宋"/>
          <w:spacing w:val="-6"/>
          <w:kern w:val="0"/>
          <w:sz w:val="32"/>
          <w:szCs w:val="32"/>
          <w:highlight w:val="none"/>
          <w14:ligatures w14:val="none"/>
        </w:rPr>
        <w:t>（2）持续深化水环境综合治理</w:t>
      </w:r>
    </w:p>
    <w:p>
      <w:pPr>
        <w:spacing w:after="0" w:line="360" w:lineRule="auto"/>
        <w:ind w:firstLine="616" w:firstLineChars="200"/>
        <w:jc w:val="both"/>
        <w:rPr>
          <w:rFonts w:ascii="仿宋" w:hAnsi="仿宋" w:eastAsia="仿宋" w:cs="仿宋"/>
          <w:spacing w:val="-6"/>
          <w:kern w:val="0"/>
          <w:sz w:val="32"/>
          <w:szCs w:val="32"/>
          <w:highlight w:val="none"/>
          <w14:ligatures w14:val="none"/>
        </w:rPr>
      </w:pPr>
      <w:r>
        <w:rPr>
          <w:rFonts w:hint="eastAsia" w:ascii="仿宋" w:hAnsi="仿宋" w:eastAsia="仿宋" w:cs="仿宋"/>
          <w:spacing w:val="-6"/>
          <w:kern w:val="0"/>
          <w:sz w:val="32"/>
          <w:szCs w:val="32"/>
          <w:highlight w:val="none"/>
          <w14:ligatures w14:val="none"/>
        </w:rPr>
        <w:t>全面加强河湖监管。加强排污口审批、管理，依法处置违法违规设置的排污口。加强排污口规范化建设和管控，实现污染精准溯源，开展动态排查、监测、治理。加强排污口日常监测，发现超标立即预警溯源处理。各级河湖长要加大重点河湖、重点区段巡查力度，细化巡查内容，将垃圾倾倒、非法采砂、水草藻类异常生长等情况纳入巡查内容，要及时发现和督导解决突出水环境问题。</w:t>
      </w:r>
    </w:p>
    <w:p>
      <w:pPr>
        <w:spacing w:after="0" w:line="360" w:lineRule="auto"/>
        <w:ind w:firstLine="616" w:firstLineChars="200"/>
        <w:jc w:val="both"/>
        <w:rPr>
          <w:rFonts w:ascii="仿宋" w:hAnsi="仿宋" w:eastAsia="仿宋" w:cs="仿宋"/>
          <w:spacing w:val="-6"/>
          <w:kern w:val="0"/>
          <w:sz w:val="32"/>
          <w:szCs w:val="32"/>
          <w:highlight w:val="none"/>
          <w14:ligatures w14:val="none"/>
        </w:rPr>
      </w:pPr>
      <w:r>
        <w:rPr>
          <w:rFonts w:hint="eastAsia" w:ascii="仿宋" w:hAnsi="仿宋" w:eastAsia="仿宋" w:cs="仿宋"/>
          <w:spacing w:val="-6"/>
          <w:kern w:val="0"/>
          <w:sz w:val="32"/>
          <w:szCs w:val="32"/>
          <w:highlight w:val="none"/>
          <w14:ligatures w14:val="none"/>
        </w:rPr>
        <w:t>加强工业污染治理。严格执行产业环境准入标准，从严审批高耗水、高污染物排放、产生有毒有害污染物的建设项目。对造纸、有色金属、印染、农副食品加工、原料药制造等重点行业，实行新（改、扩）建项目主要污染物排放等量或减量置换，在集中式饮用水水源涵养区等敏感区域实行产能规模和主要污染物排放减量置换。严格执行污染物排放标准，开展外排水超标的工业企业清理整治。推进工业集聚区水污染集中治理，进行工业聚集区污水处理厂提标扩容改造，实现污染物排放量总量削减。</w:t>
      </w:r>
    </w:p>
    <w:p>
      <w:pPr>
        <w:spacing w:after="0" w:line="360" w:lineRule="auto"/>
        <w:ind w:firstLine="616" w:firstLineChars="200"/>
        <w:jc w:val="both"/>
        <w:rPr>
          <w:rFonts w:ascii="仿宋" w:hAnsi="仿宋" w:eastAsia="仿宋" w:cs="仿宋"/>
          <w:spacing w:val="-6"/>
          <w:kern w:val="0"/>
          <w:sz w:val="32"/>
          <w:szCs w:val="32"/>
          <w:highlight w:val="none"/>
          <w14:ligatures w14:val="none"/>
        </w:rPr>
      </w:pPr>
      <w:r>
        <w:rPr>
          <w:rFonts w:hint="eastAsia" w:ascii="仿宋" w:hAnsi="仿宋" w:eastAsia="仿宋" w:cs="仿宋"/>
          <w:spacing w:val="-6"/>
          <w:kern w:val="0"/>
          <w:sz w:val="32"/>
          <w:szCs w:val="32"/>
          <w:highlight w:val="none"/>
          <w14:ligatures w14:val="none"/>
        </w:rPr>
        <w:t>强化污水收集处理能力。对排水管网、检查井、城区河道定期开展清淤疏浚，减少城区面源污染随地表径流汇入市政管网。加快推进城镇污水“两清零、一提标”工程，完成国祯水务、晖泽水务的提标改造；加快推进国祯水务配套建设人工湿地项目；完成泗北新城污水处理厂的建设。继续实施城区雨污分流管网建设，全面排查雨污水管网错混接问题，对雨水管网错接混接点发现一处，改造一处，确保城区合流制管网“清零”。</w:t>
      </w:r>
    </w:p>
    <w:p>
      <w:pPr>
        <w:spacing w:after="0" w:line="360" w:lineRule="auto"/>
        <w:ind w:firstLine="616" w:firstLineChars="200"/>
        <w:jc w:val="both"/>
        <w:rPr>
          <w:rFonts w:ascii="仿宋" w:hAnsi="仿宋" w:eastAsia="仿宋" w:cs="仿宋"/>
          <w:spacing w:val="-6"/>
          <w:kern w:val="0"/>
          <w:sz w:val="32"/>
          <w:szCs w:val="32"/>
          <w:highlight w:val="none"/>
          <w14:ligatures w14:val="none"/>
        </w:rPr>
      </w:pPr>
      <w:r>
        <w:rPr>
          <w:rFonts w:hint="eastAsia" w:ascii="仿宋" w:hAnsi="仿宋" w:eastAsia="仿宋" w:cs="仿宋"/>
          <w:spacing w:val="-6"/>
          <w:kern w:val="0"/>
          <w:sz w:val="32"/>
          <w:szCs w:val="32"/>
          <w:highlight w:val="none"/>
          <w14:ligatures w14:val="none"/>
        </w:rPr>
        <w:t>巩固提升水环境质量改善成果。抓好国省控断面水质达标管控工作，加强污染源头防控，全力保障国省控断面水质达标，持续改善水环境质量。开展冬春季河湖水质保障提升行动和汛期河湖水质隐患问题排查整治专项行动。将汛期河湖水质隐患问题排查整治工作常态化、制度化、精准化，防范汛期河湖水质反弹。</w:t>
      </w:r>
    </w:p>
    <w:p>
      <w:pPr>
        <w:spacing w:after="0" w:line="360" w:lineRule="auto"/>
        <w:ind w:firstLine="616" w:firstLineChars="200"/>
        <w:jc w:val="both"/>
        <w:rPr>
          <w:rFonts w:ascii="仿宋" w:hAnsi="仿宋" w:eastAsia="仿宋" w:cs="仿宋"/>
          <w:spacing w:val="-6"/>
          <w:kern w:val="0"/>
          <w:sz w:val="32"/>
          <w:szCs w:val="32"/>
          <w:highlight w:val="none"/>
          <w14:ligatures w14:val="none"/>
        </w:rPr>
      </w:pPr>
      <w:r>
        <w:rPr>
          <w:rFonts w:hint="eastAsia" w:ascii="仿宋" w:hAnsi="仿宋" w:eastAsia="仿宋" w:cs="仿宋"/>
          <w:spacing w:val="-6"/>
          <w:kern w:val="0"/>
          <w:sz w:val="32"/>
          <w:szCs w:val="32"/>
          <w:highlight w:val="none"/>
          <w14:ligatures w14:val="none"/>
        </w:rPr>
        <w:t>（3）加强水系生态系统修复</w:t>
      </w:r>
    </w:p>
    <w:p>
      <w:pPr>
        <w:spacing w:after="0" w:line="360" w:lineRule="auto"/>
        <w:ind w:firstLine="616" w:firstLineChars="200"/>
        <w:jc w:val="both"/>
        <w:rPr>
          <w:rFonts w:ascii="仿宋" w:hAnsi="仿宋" w:eastAsia="仿宋" w:cs="仿宋"/>
          <w:spacing w:val="-6"/>
          <w:kern w:val="0"/>
          <w:sz w:val="32"/>
          <w:szCs w:val="32"/>
          <w:highlight w:val="none"/>
          <w14:ligatures w14:val="none"/>
        </w:rPr>
      </w:pPr>
      <w:r>
        <w:rPr>
          <w:rFonts w:hint="eastAsia" w:ascii="仿宋" w:hAnsi="仿宋" w:eastAsia="仿宋" w:cs="仿宋"/>
          <w:spacing w:val="-6"/>
          <w:kern w:val="0"/>
          <w:sz w:val="32"/>
          <w:szCs w:val="32"/>
          <w:highlight w:val="none"/>
          <w14:ligatures w14:val="none"/>
        </w:rPr>
        <w:t>开展湿地保护和修复。健全湿地保护地体系，实施分级分类管理。健全湿地用途管控机制，严厉查处违法利用湿地的行为，确保湿地面积不减少。坚持自然恢复为主、与人工修复相结合的方式，通过岸线维护、水生植被恢复、栖息地营造等手段，逐步恢复湿地生态功能，维护湿地生物多样性。</w:t>
      </w:r>
    </w:p>
    <w:p>
      <w:pPr>
        <w:spacing w:after="0" w:line="360" w:lineRule="auto"/>
        <w:ind w:firstLine="616" w:firstLineChars="200"/>
        <w:jc w:val="both"/>
        <w:rPr>
          <w:highlight w:val="none"/>
        </w:rPr>
      </w:pPr>
      <w:r>
        <w:rPr>
          <w:rFonts w:hint="eastAsia" w:ascii="仿宋" w:hAnsi="仿宋" w:eastAsia="仿宋" w:cs="仿宋"/>
          <w:spacing w:val="-6"/>
          <w:kern w:val="0"/>
          <w:sz w:val="32"/>
          <w:szCs w:val="32"/>
          <w:highlight w:val="none"/>
          <w14:ligatures w14:val="none"/>
        </w:rPr>
        <w:t>加强河道生态治理。开展水系互联互通，通过河道清淤、河槽扩挖等方式增大雨洪水存蓄空间，结合闸门控制调度，增加河流生态水量补给，确保河道生态流量。积极配合建立泗河泗水段生态补水保障机制，利用雨洪水和再生水、引河生态补水，加强生态流量（水位）保障。选择支流汇水区、支流汇入干流处等适宜地点，建设水质净化工程，提升流域环境承载力。镇（街道）驻地和农村社区，重点实施病险水闸除险加固，加快推进中小型河道拦蓄及综合治理工程。加强对河道以及城区河道的综合治理，实施清淤疏浚、岸线改造、植物种植等生态修复工程，提高境内河流水体质量，结合不同河流特点，进行生态景观打造提升，形成独具特色的水网廊道体系。</w:t>
      </w:r>
    </w:p>
    <w:p>
      <w:pPr>
        <w:spacing w:line="360" w:lineRule="auto"/>
        <w:ind w:firstLine="619" w:firstLineChars="200"/>
        <w:rPr>
          <w:rFonts w:ascii="仿宋" w:hAnsi="仿宋" w:eastAsia="仿宋" w:cs="仿宋"/>
          <w:b/>
          <w:bCs/>
          <w:spacing w:val="-6"/>
          <w:kern w:val="0"/>
          <w:sz w:val="32"/>
          <w:szCs w:val="32"/>
          <w:highlight w:val="none"/>
          <w14:ligatures w14:val="none"/>
        </w:rPr>
      </w:pPr>
      <w:r>
        <w:rPr>
          <w:rFonts w:hint="eastAsia" w:ascii="仿宋" w:hAnsi="仿宋" w:eastAsia="仿宋" w:cs="仿宋"/>
          <w:b/>
          <w:bCs/>
          <w:spacing w:val="-6"/>
          <w:kern w:val="0"/>
          <w:sz w:val="32"/>
          <w:szCs w:val="32"/>
          <w:highlight w:val="none"/>
          <w14:ligatures w14:val="none"/>
        </w:rPr>
        <w:t>3.深入打好净土保卫战</w:t>
      </w:r>
    </w:p>
    <w:p>
      <w:pPr>
        <w:spacing w:after="0" w:line="360" w:lineRule="auto"/>
        <w:ind w:firstLine="616" w:firstLineChars="200"/>
        <w:jc w:val="both"/>
        <w:rPr>
          <w:rFonts w:ascii="仿宋" w:hAnsi="仿宋" w:eastAsia="仿宋" w:cs="仿宋"/>
          <w:spacing w:val="-6"/>
          <w:kern w:val="0"/>
          <w:sz w:val="32"/>
          <w:szCs w:val="32"/>
          <w:highlight w:val="none"/>
          <w14:ligatures w14:val="none"/>
        </w:rPr>
      </w:pPr>
      <w:r>
        <w:rPr>
          <w:rFonts w:hint="eastAsia" w:ascii="仿宋" w:hAnsi="仿宋" w:eastAsia="仿宋" w:cs="仿宋"/>
          <w:spacing w:val="-6"/>
          <w:kern w:val="0"/>
          <w:sz w:val="32"/>
          <w:szCs w:val="32"/>
          <w:highlight w:val="none"/>
          <w14:ligatures w14:val="none"/>
        </w:rPr>
        <w:t>加强土壤污染重点监管单位环境监管。每年更新土壤污染重点监管单位名录并向社会公开。土壤污染重点监管单位应制定、实施自行监测方案，将监测数据公开并报生态环境部门；严格控制有毒有害物质排放，并按年度向生态环境部门报告排放情况；法定义务在排污许可证发放和变更时应予以载明。按照优先监管地块重点监测实施方案要求，开展优先监管地块的管控。</w:t>
      </w:r>
    </w:p>
    <w:p>
      <w:pPr>
        <w:spacing w:after="0" w:line="360" w:lineRule="auto"/>
        <w:ind w:firstLine="616" w:firstLineChars="200"/>
        <w:jc w:val="both"/>
        <w:rPr>
          <w:rFonts w:ascii="仿宋" w:hAnsi="仿宋" w:eastAsia="仿宋" w:cs="仿宋"/>
          <w:spacing w:val="-6"/>
          <w:kern w:val="0"/>
          <w:sz w:val="32"/>
          <w:szCs w:val="32"/>
          <w:highlight w:val="none"/>
          <w14:ligatures w14:val="none"/>
        </w:rPr>
      </w:pPr>
      <w:r>
        <w:rPr>
          <w:rFonts w:hint="eastAsia" w:ascii="仿宋" w:hAnsi="仿宋" w:eastAsia="仿宋" w:cs="仿宋"/>
          <w:spacing w:val="-6"/>
          <w:kern w:val="0"/>
          <w:sz w:val="32"/>
          <w:szCs w:val="32"/>
          <w:highlight w:val="none"/>
          <w14:ligatures w14:val="none"/>
        </w:rPr>
        <w:t>严格落实农用地安全利用。严格落实农用地分类管理制度，将符合条件的优先保护类耕地划为永久基本农田，实行严格保护，确保其面积不减少、土壤环境质量不下降。安全利用类耕地要开展污染溯源，因地制宜制定实施安全利用方案，按年度总结评估。拟开垦为耕地的地块开展土壤污染状况调查，及时划定新增耕地土壤环境质量类别，实施分类管理，加强重点监测。因耕地质量造成农产品质量不达标的地块，退出食用农产品生产。坚决杜绝重金属超标粮食进入口粮市场，确保不发生重大农产品质量安全事件。</w:t>
      </w:r>
    </w:p>
    <w:p>
      <w:pPr>
        <w:spacing w:after="0" w:line="360" w:lineRule="auto"/>
        <w:ind w:firstLine="616" w:firstLineChars="200"/>
        <w:jc w:val="both"/>
        <w:rPr>
          <w:rFonts w:ascii="仿宋" w:hAnsi="仿宋" w:eastAsia="仿宋" w:cs="仿宋"/>
          <w:spacing w:val="-6"/>
          <w:kern w:val="0"/>
          <w:sz w:val="32"/>
          <w:szCs w:val="32"/>
          <w:highlight w:val="none"/>
          <w14:ligatures w14:val="none"/>
        </w:rPr>
      </w:pPr>
      <w:r>
        <w:rPr>
          <w:rFonts w:hint="eastAsia" w:ascii="仿宋" w:hAnsi="仿宋" w:eastAsia="仿宋" w:cs="仿宋"/>
          <w:spacing w:val="-6"/>
          <w:kern w:val="0"/>
          <w:sz w:val="32"/>
          <w:szCs w:val="32"/>
          <w:highlight w:val="none"/>
          <w14:ligatures w14:val="none"/>
        </w:rPr>
        <w:t>严格建设用地风险管控与修复。加强部门协同，畅通信息共享，完善建设用地风险信息互通机制。从严管控农药、化工等行业的重度污染规划用途，确需开发利用的，鼓励用于拓展生态空间。结合空间规划和地块出让条件，对依法应该开展土壤污染状况调查的地块，应当明确开发利用必须符合相关规划用途的土壤环境质量要求。未依法开展或尚未完成土壤污染状况调查评估的土壤污染风险不明地块，杜绝进入用地程序。对未达到土壤污染风险评估报告确定的风险管控、修复目标的建设用地地块，禁止开工建设任何与风险管控、修复无关的项目。对注销、撤销排污许可证企业，及时纳入监管范围，防止腾退地块游离于监管之外。在土地出让和房地产出售环节实行土壤污染状况公示制度。严格落实建设用地风险管控和修复名录管理制度，定期更新建设用地土壤污染风险管控和修复名录。推进重点地区危险化学品生产企业搬迁腾退地块的风险管控和修复工作。</w:t>
      </w:r>
    </w:p>
    <w:p>
      <w:pPr>
        <w:spacing w:after="0" w:line="360" w:lineRule="auto"/>
        <w:ind w:firstLine="616" w:firstLineChars="200"/>
        <w:jc w:val="both"/>
        <w:rPr>
          <w:rFonts w:ascii="仿宋" w:hAnsi="仿宋" w:eastAsia="仿宋" w:cs="仿宋"/>
          <w:sz w:val="32"/>
          <w:szCs w:val="32"/>
          <w:highlight w:val="none"/>
        </w:rPr>
      </w:pPr>
      <w:r>
        <w:rPr>
          <w:rFonts w:hint="eastAsia" w:ascii="仿宋" w:hAnsi="仿宋" w:eastAsia="仿宋" w:cs="仿宋"/>
          <w:spacing w:val="-6"/>
          <w:kern w:val="0"/>
          <w:sz w:val="32"/>
          <w:szCs w:val="32"/>
          <w:highlight w:val="none"/>
          <w14:ligatures w14:val="none"/>
        </w:rPr>
        <w:t>健全土壤生态环境治理能力。健全土壤环境监测网，优化调整土壤环境监测点位，完善数据共享机制。依法将土壤生态环境保护相关工作纳入日常执法监管，严厉打击土壤生态环境违法犯罪。加强土壤从业单位监管，定期开展土壤污染风险防控和修复报告质量核查，探索建立从业单位和个人信用管理机制。</w:t>
      </w:r>
    </w:p>
    <w:p>
      <w:pPr>
        <w:spacing w:line="360" w:lineRule="auto"/>
        <w:ind w:firstLine="619" w:firstLineChars="200"/>
        <w:rPr>
          <w:rFonts w:ascii="仿宋" w:hAnsi="仿宋" w:eastAsia="仿宋" w:cs="仿宋"/>
          <w:b/>
          <w:bCs/>
          <w:spacing w:val="-6"/>
          <w:kern w:val="0"/>
          <w:sz w:val="32"/>
          <w:szCs w:val="32"/>
          <w:highlight w:val="none"/>
          <w14:ligatures w14:val="none"/>
        </w:rPr>
      </w:pPr>
      <w:r>
        <w:rPr>
          <w:rFonts w:hint="eastAsia" w:ascii="仿宋" w:hAnsi="仿宋" w:eastAsia="仿宋" w:cs="仿宋"/>
          <w:b/>
          <w:bCs/>
          <w:spacing w:val="-6"/>
          <w:kern w:val="0"/>
          <w:sz w:val="32"/>
          <w:szCs w:val="32"/>
          <w:highlight w:val="none"/>
          <w14:ligatures w14:val="none"/>
        </w:rPr>
        <w:t>4.加强噪声污染防治</w:t>
      </w:r>
    </w:p>
    <w:p>
      <w:pPr>
        <w:pStyle w:val="17"/>
        <w:spacing w:after="0"/>
        <w:ind w:firstLine="616" w:firstLineChars="200"/>
        <w:jc w:val="both"/>
        <w:rPr>
          <w:spacing w:val="-6"/>
          <w:sz w:val="32"/>
          <w:szCs w:val="32"/>
          <w:highlight w:val="none"/>
          <w:lang w:val="en-US"/>
        </w:rPr>
      </w:pPr>
      <w:r>
        <w:rPr>
          <w:rFonts w:hint="eastAsia"/>
          <w:spacing w:val="-6"/>
          <w:sz w:val="32"/>
          <w:szCs w:val="32"/>
          <w:highlight w:val="none"/>
          <w:lang w:val="en-US" w:bidi="ar-SA"/>
        </w:rPr>
        <w:t>加强环境噪声污染防治的监督管理。强化声环境功能区管理，开展声环境功能区评估与调整，在声环境功能区安装噪声自动监测系统。在制定相关规划时，充分考虑建设项目和区域开发改造所产生的噪声对周围生活环境的影响，提高噪声防控标准。</w:t>
      </w:r>
      <w:r>
        <w:rPr>
          <w:rFonts w:hint="eastAsia"/>
          <w:spacing w:val="-6"/>
          <w:sz w:val="32"/>
          <w:szCs w:val="32"/>
          <w:highlight w:val="none"/>
          <w:lang w:val="en-US"/>
        </w:rPr>
        <w:t>加强建筑物隔声性能要求，落实新建住宅隔声性能验收和公示制度。</w:t>
      </w:r>
    </w:p>
    <w:p>
      <w:pPr>
        <w:pStyle w:val="17"/>
        <w:spacing w:after="0"/>
        <w:ind w:firstLine="616" w:firstLineChars="200"/>
        <w:jc w:val="both"/>
        <w:rPr>
          <w:spacing w:val="-6"/>
          <w:sz w:val="32"/>
          <w:szCs w:val="32"/>
          <w:highlight w:val="none"/>
          <w:lang w:val="en-US" w:bidi="ar-SA"/>
        </w:rPr>
      </w:pPr>
      <w:r>
        <w:rPr>
          <w:rFonts w:hint="eastAsia"/>
          <w:spacing w:val="-6"/>
          <w:sz w:val="32"/>
          <w:szCs w:val="32"/>
          <w:highlight w:val="none"/>
          <w:lang w:val="en-US" w:bidi="ar-SA"/>
        </w:rPr>
        <w:t>减少工业噪声排放。开展工业噪声污染扰民排查，建立重点噪声源排放企业清单。督促企业完善噪声污染防治设施，严格控制夜间生产时间，落实噪声自行监测规定，及时向社会公开监测结果。严控城区范围内高噪声排放项目审批，从源头减少噪声排放。强化监督执法，加强监督性监测，依法查处噪声排放超标扰民行为。</w:t>
      </w:r>
    </w:p>
    <w:p>
      <w:pPr>
        <w:pStyle w:val="17"/>
        <w:spacing w:after="0"/>
        <w:ind w:firstLine="616" w:firstLineChars="200"/>
        <w:jc w:val="both"/>
        <w:rPr>
          <w:spacing w:val="-6"/>
          <w:sz w:val="32"/>
          <w:szCs w:val="32"/>
          <w:highlight w:val="none"/>
          <w:lang w:val="en-US" w:bidi="ar-SA"/>
        </w:rPr>
      </w:pPr>
      <w:r>
        <w:rPr>
          <w:rFonts w:hint="eastAsia"/>
          <w:spacing w:val="-6"/>
          <w:sz w:val="32"/>
          <w:szCs w:val="32"/>
          <w:highlight w:val="none"/>
          <w:lang w:val="en-US" w:bidi="ar-SA"/>
        </w:rPr>
        <w:t>加强交通噪声管理。规范机动车鸣笛管理。加强道路降噪治理，在噪声敏感建筑物集中区域可能造成环境噪声污染的高速公路，应当对敏感区域、重点区域和路段，采取安装声屏障等有效措施，控制沿途环境噪声污染。</w:t>
      </w:r>
    </w:p>
    <w:p>
      <w:pPr>
        <w:pStyle w:val="17"/>
        <w:spacing w:after="0"/>
        <w:ind w:firstLine="616" w:firstLineChars="200"/>
        <w:jc w:val="both"/>
        <w:rPr>
          <w:highlight w:val="none"/>
          <w:lang w:val="en-US"/>
        </w:rPr>
      </w:pPr>
      <w:r>
        <w:rPr>
          <w:rFonts w:hint="eastAsia"/>
          <w:spacing w:val="-6"/>
          <w:sz w:val="32"/>
          <w:szCs w:val="32"/>
          <w:highlight w:val="none"/>
          <w:lang w:val="en-US" w:bidi="ar-SA"/>
        </w:rPr>
        <w:t>加大社会生活噪声污染防治。加强对文化娱乐、商业经营等社会生活噪声热点问题日常监管和集中整治。研究制定公共场所文明公约、社区噪声控制规约，鼓励创建宁静社区等宁静休息空间。</w:t>
      </w:r>
    </w:p>
    <w:p>
      <w:pPr>
        <w:spacing w:line="360" w:lineRule="auto"/>
        <w:ind w:firstLine="619" w:firstLineChars="200"/>
        <w:rPr>
          <w:rFonts w:ascii="仿宋" w:hAnsi="仿宋" w:eastAsia="仿宋" w:cs="仿宋"/>
          <w:b/>
          <w:bCs/>
          <w:spacing w:val="-6"/>
          <w:kern w:val="0"/>
          <w:sz w:val="32"/>
          <w:szCs w:val="32"/>
          <w:highlight w:val="none"/>
          <w14:ligatures w14:val="none"/>
        </w:rPr>
      </w:pPr>
      <w:r>
        <w:rPr>
          <w:rFonts w:hint="eastAsia" w:ascii="仿宋" w:hAnsi="仿宋" w:eastAsia="仿宋" w:cs="仿宋"/>
          <w:b/>
          <w:bCs/>
          <w:spacing w:val="-6"/>
          <w:kern w:val="0"/>
          <w:sz w:val="32"/>
          <w:szCs w:val="32"/>
          <w:highlight w:val="none"/>
          <w14:ligatures w14:val="none"/>
        </w:rPr>
        <w:t>5.积极应对气候变化</w:t>
      </w:r>
    </w:p>
    <w:p>
      <w:pPr>
        <w:spacing w:after="0" w:line="360" w:lineRule="auto"/>
        <w:ind w:firstLine="616" w:firstLineChars="200"/>
        <w:jc w:val="both"/>
        <w:rPr>
          <w:rFonts w:ascii="仿宋" w:hAnsi="仿宋" w:eastAsia="仿宋" w:cs="仿宋"/>
          <w:spacing w:val="-6"/>
          <w:kern w:val="0"/>
          <w:sz w:val="32"/>
          <w:szCs w:val="32"/>
          <w:highlight w:val="none"/>
          <w14:ligatures w14:val="none"/>
        </w:rPr>
      </w:pPr>
      <w:r>
        <w:rPr>
          <w:rFonts w:hint="eastAsia" w:ascii="仿宋" w:hAnsi="仿宋" w:eastAsia="仿宋" w:cs="仿宋"/>
          <w:spacing w:val="-6"/>
          <w:kern w:val="0"/>
          <w:sz w:val="32"/>
          <w:szCs w:val="32"/>
          <w:highlight w:val="none"/>
          <w14:ligatures w14:val="none"/>
        </w:rPr>
        <w:t>加强气候变化风险评估与应对。完善防灾减灾及风险应对机制，提升风险应对能力。着力增强农业抗御自然风险能力，提高农业生产适应气候变化能力，加强主要粮食作物区农业气象灾害应对防范体系建设。统筹提升城乡极端气候事件监测预警、防灾减灾综合评估和风险管控能力，制定应对和防范措施。</w:t>
      </w:r>
    </w:p>
    <w:p>
      <w:pPr>
        <w:spacing w:after="0" w:line="360" w:lineRule="auto"/>
        <w:ind w:firstLine="616" w:firstLineChars="200"/>
        <w:jc w:val="both"/>
        <w:rPr>
          <w:rFonts w:ascii="仿宋" w:hAnsi="仿宋" w:eastAsia="仿宋" w:cs="仿宋"/>
          <w:spacing w:val="-6"/>
          <w:kern w:val="0"/>
          <w:sz w:val="32"/>
          <w:szCs w:val="32"/>
          <w:highlight w:val="none"/>
          <w14:ligatures w14:val="none"/>
        </w:rPr>
      </w:pPr>
      <w:r>
        <w:rPr>
          <w:rFonts w:hint="eastAsia" w:ascii="仿宋" w:hAnsi="仿宋" w:eastAsia="仿宋" w:cs="仿宋"/>
          <w:spacing w:val="-6"/>
          <w:kern w:val="0"/>
          <w:sz w:val="32"/>
          <w:szCs w:val="32"/>
          <w:highlight w:val="none"/>
          <w14:ligatures w14:val="none"/>
        </w:rPr>
        <w:t>加强应对气候变化管理。开展温室气体统计核算工作，编制温室气体排放清单。加强单位地区生产总值二氧化碳排放降低目标管理，做好目标分解和定期评估工作。将应对气候变化要求纳入“三线一单”生态环境分区管控体系，通过规划环评、项目环评推动区域、行业和企业落实煤炭消费减量替代、温室气体排放控制等政策要求。积极配合做好化工行业建设项目碳排放环境影响评价试点工作。</w:t>
      </w:r>
    </w:p>
    <w:p>
      <w:pPr>
        <w:spacing w:after="0" w:line="360" w:lineRule="auto"/>
        <w:ind w:firstLine="616" w:firstLineChars="200"/>
        <w:jc w:val="both"/>
        <w:rPr>
          <w:rFonts w:ascii="仿宋" w:hAnsi="仿宋" w:eastAsia="仿宋" w:cs="仿宋"/>
          <w:spacing w:val="-6"/>
          <w:kern w:val="0"/>
          <w:sz w:val="32"/>
          <w:szCs w:val="32"/>
          <w:highlight w:val="none"/>
          <w14:ligatures w14:val="none"/>
        </w:rPr>
      </w:pPr>
      <w:r>
        <w:rPr>
          <w:rFonts w:hint="eastAsia" w:ascii="仿宋" w:hAnsi="仿宋" w:eastAsia="仿宋" w:cs="仿宋"/>
          <w:spacing w:val="-6"/>
          <w:kern w:val="0"/>
          <w:sz w:val="32"/>
          <w:szCs w:val="32"/>
          <w:highlight w:val="none"/>
          <w14:ligatures w14:val="none"/>
        </w:rPr>
        <w:t>积极推进温室气体减排。实施温室气体和污染物协同控制。推动应对气候变化与环境污染防治统筹融合、协同增效，推进多污染物协同控制。制定工业、农业温室气体和污染减排协同控制方案，减少温室气体和污染物排放。优先选择化石能源替代、原料工艺优化、产业升级等源头治理措施，严格控制高耗能、高排放项目建设。加强污水、垃圾等集中处置设施温室气体排放协同控制。</w:t>
      </w:r>
    </w:p>
    <w:p>
      <w:pPr>
        <w:spacing w:after="0" w:line="360" w:lineRule="auto"/>
        <w:ind w:firstLine="616" w:firstLineChars="200"/>
        <w:jc w:val="both"/>
        <w:rPr>
          <w:highlight w:val="none"/>
        </w:rPr>
      </w:pPr>
      <w:r>
        <w:rPr>
          <w:rFonts w:hint="eastAsia" w:ascii="仿宋" w:hAnsi="仿宋" w:eastAsia="仿宋" w:cs="仿宋"/>
          <w:spacing w:val="-6"/>
          <w:kern w:val="0"/>
          <w:sz w:val="32"/>
          <w:szCs w:val="32"/>
          <w:highlight w:val="none"/>
          <w14:ligatures w14:val="none"/>
        </w:rPr>
        <w:t>大力增加碳汇建设。重视运用基于自然的解决方案减缓和适应气候变化，协同推进生物多样性保护、山水林田湖草沙系统治理等相关工作，增强适应气候变化能力，提升生态系统质量和稳定性。合理增加森林、绿地规模，实施森林质量精准提升工程，提高森林生态系统的碳吸收和碳贮存能力，增加森林碳汇。结合耕地质量提升行动，推动农田林网和高标准农田建设，推广循环农业模式和高效节水灌溉，提升生态农业碳汇。实施水系连通等区域水网工程，平衡水生态功能，提高全域生态系统质量，增强生态固碳功能。</w:t>
      </w:r>
    </w:p>
    <w:p>
      <w:pPr>
        <w:spacing w:line="360" w:lineRule="auto"/>
        <w:ind w:firstLine="619" w:firstLineChars="200"/>
        <w:rPr>
          <w:rFonts w:ascii="仿宋" w:hAnsi="仿宋" w:eastAsia="仿宋" w:cs="仿宋"/>
          <w:b/>
          <w:bCs/>
          <w:spacing w:val="-6"/>
          <w:kern w:val="0"/>
          <w:sz w:val="32"/>
          <w:szCs w:val="32"/>
          <w:highlight w:val="none"/>
          <w14:ligatures w14:val="none"/>
        </w:rPr>
      </w:pPr>
      <w:r>
        <w:rPr>
          <w:rFonts w:hint="eastAsia" w:ascii="仿宋" w:hAnsi="仿宋" w:eastAsia="仿宋" w:cs="仿宋"/>
          <w:b/>
          <w:bCs/>
          <w:spacing w:val="-6"/>
          <w:kern w:val="0"/>
          <w:sz w:val="32"/>
          <w:szCs w:val="32"/>
          <w:highlight w:val="none"/>
          <w14:ligatures w14:val="none"/>
        </w:rPr>
        <w:t>6.切实维护生态环境安全</w:t>
      </w:r>
    </w:p>
    <w:p>
      <w:pPr>
        <w:spacing w:after="0" w:line="360" w:lineRule="auto"/>
        <w:ind w:firstLine="616" w:firstLineChars="200"/>
        <w:jc w:val="both"/>
        <w:rPr>
          <w:highlight w:val="none"/>
        </w:rPr>
      </w:pPr>
      <w:r>
        <w:rPr>
          <w:rFonts w:ascii="仿宋" w:hAnsi="仿宋" w:eastAsia="仿宋" w:cs="仿宋"/>
          <w:spacing w:val="-6"/>
          <w:kern w:val="0"/>
          <w:sz w:val="32"/>
          <w:szCs w:val="32"/>
          <w:highlight w:val="none"/>
          <w14:ligatures w14:val="none"/>
        </w:rPr>
        <w:t>加强隐患排查和风险评估。以涉危险废物、危险化学品、重金属企业和化工园区以及集中式饮用水水源地等为重点，开展环境风险隐患排查和风险评估，及时更新重点环境风险源、敏感目标、环境应急能力及环境应急预案等基础数据库。落实企业突发环境事件风险评估制度，推进突发环境事件风险分类分级管理。</w:t>
      </w:r>
      <w:r>
        <w:rPr>
          <w:rFonts w:hint="eastAsia" w:ascii="仿宋" w:hAnsi="仿宋" w:eastAsia="仿宋" w:cs="仿宋"/>
          <w:spacing w:val="-6"/>
          <w:kern w:val="0"/>
          <w:sz w:val="32"/>
          <w:szCs w:val="32"/>
          <w:highlight w:val="none"/>
          <w14:ligatures w14:val="none"/>
        </w:rPr>
        <w:t>持续开展环境风险源企业环境安全隐患排查治理专项行动。</w:t>
      </w:r>
    </w:p>
    <w:p>
      <w:pPr>
        <w:spacing w:after="0" w:line="360" w:lineRule="auto"/>
        <w:ind w:firstLine="616" w:firstLineChars="200"/>
        <w:jc w:val="both"/>
        <w:rPr>
          <w:rFonts w:ascii="仿宋" w:hAnsi="仿宋" w:eastAsia="仿宋" w:cs="仿宋"/>
          <w:spacing w:val="-6"/>
          <w:kern w:val="0"/>
          <w:sz w:val="32"/>
          <w:szCs w:val="32"/>
          <w:highlight w:val="none"/>
          <w14:ligatures w14:val="none"/>
        </w:rPr>
      </w:pPr>
      <w:r>
        <w:rPr>
          <w:rFonts w:hint="eastAsia" w:ascii="仿宋" w:hAnsi="仿宋" w:eastAsia="仿宋" w:cs="仿宋"/>
          <w:spacing w:val="-6"/>
          <w:kern w:val="0"/>
          <w:sz w:val="32"/>
          <w:szCs w:val="32"/>
          <w:highlight w:val="none"/>
          <w14:ligatures w14:val="none"/>
        </w:rPr>
        <w:t>强化生态环境应急管理。坚持分级负责、属地为主、部门协同的环境应急责任原则，实施企业突发环境事件应急预案电子化备案。健全防范化解突发生态环境事件风险和应急准备责任体系，严格落实企业主体责任。按照省出台的相关技术文件和管理手册，提升应急能力、规范应急准备与响应，分类分级开展基层环境应急人员轮训。实施企业环境应急预案电子化备案，实现涉危涉重企业电子化备案全覆盖。加强应急监测装备配置，定期开展应急监测演练，增强实战能力。推进应急物资储备库建设，加强应急物资保障，推动先进设备或技术在环境应急事件中的使用，提升环境应急能力。</w:t>
      </w:r>
    </w:p>
    <w:p>
      <w:pPr>
        <w:spacing w:after="0" w:line="360" w:lineRule="auto"/>
        <w:ind w:firstLine="616" w:firstLineChars="200"/>
        <w:jc w:val="both"/>
        <w:rPr>
          <w:rFonts w:ascii="仿宋" w:hAnsi="仿宋" w:eastAsia="仿宋" w:cs="仿宋"/>
          <w:spacing w:val="-6"/>
          <w:kern w:val="0"/>
          <w:sz w:val="32"/>
          <w:szCs w:val="32"/>
          <w:highlight w:val="none"/>
          <w14:ligatures w14:val="none"/>
        </w:rPr>
      </w:pPr>
      <w:r>
        <w:rPr>
          <w:rFonts w:hint="eastAsia" w:ascii="仿宋" w:hAnsi="仿宋" w:eastAsia="仿宋" w:cs="仿宋"/>
          <w:spacing w:val="-6"/>
          <w:kern w:val="0"/>
          <w:sz w:val="32"/>
          <w:szCs w:val="32"/>
          <w:highlight w:val="none"/>
          <w14:ligatures w14:val="none"/>
        </w:rPr>
        <w:t>强化危险废物风险防范。对产废企业开展拉网式、起底式排查整治，全面摸清危险废物产生、贮存和利用处置以及环境管理现状。推进企业、园区危险废物自行利用处置能力和水平提升，鼓励石化、化工、有色等大型企业根据需要自行配套建设高标准的危险废物利用处置设施，鼓励化工园区等配套建设危险废物集中贮存、预处理和处置设施。建立完善危险废物环境重点监管单位清单。建立与防控环境风险需求相匹配的危险废物监管体系，加强危险废物监管能力与应急处置技术支撑能力建设。统筹城乡医疗废物处置，进一步完善医疗废物收集转运处置体系并覆盖农村地区，实现医疗废物应收尽收、全面覆盖。加强医疗废物分类管理，做好源头分类。推进医疗废物收集、运送、贮存、处置等全过程监控和信息化追溯。</w:t>
      </w:r>
    </w:p>
    <w:p>
      <w:pPr>
        <w:spacing w:after="0" w:line="360" w:lineRule="auto"/>
        <w:ind w:firstLine="616" w:firstLineChars="200"/>
        <w:jc w:val="both"/>
        <w:rPr>
          <w:rFonts w:ascii="仿宋" w:hAnsi="仿宋" w:eastAsia="仿宋" w:cs="仿宋"/>
          <w:spacing w:val="-6"/>
          <w:kern w:val="0"/>
          <w:sz w:val="32"/>
          <w:szCs w:val="32"/>
          <w:highlight w:val="none"/>
          <w14:ligatures w14:val="none"/>
        </w:rPr>
      </w:pPr>
      <w:r>
        <w:rPr>
          <w:rFonts w:ascii="仿宋" w:hAnsi="仿宋" w:eastAsia="仿宋" w:cs="仿宋"/>
          <w:spacing w:val="-6"/>
          <w:kern w:val="0"/>
          <w:sz w:val="32"/>
          <w:szCs w:val="32"/>
          <w:highlight w:val="none"/>
          <w14:ligatures w14:val="none"/>
        </w:rPr>
        <w:t>加强核与辐射安全监管体系建设。严格落实放射性同位素与射线装置分类管理制度，加强高风险活动辐射安全监管，做好高风险移动放射源实时监控系统运行维护。加强对伴生放射性矿开发利用中放射性污染监管，督促相关企业做好辐射防护、放射性监测和伴生放射性固体废物处置等工作。完善核与辐射</w:t>
      </w:r>
    </w:p>
    <w:p>
      <w:pPr>
        <w:spacing w:after="0" w:line="360" w:lineRule="auto"/>
        <w:jc w:val="both"/>
        <w:rPr>
          <w:highlight w:val="none"/>
        </w:rPr>
      </w:pPr>
      <w:r>
        <w:rPr>
          <w:rFonts w:ascii="仿宋" w:hAnsi="仿宋" w:eastAsia="仿宋" w:cs="仿宋"/>
          <w:spacing w:val="-6"/>
          <w:kern w:val="0"/>
          <w:sz w:val="32"/>
          <w:szCs w:val="32"/>
          <w:highlight w:val="none"/>
          <w14:ligatures w14:val="none"/>
        </w:rPr>
        <w:t>应急物资储备，加强对辐射应急物资的统一监督管理。提升各级辐射应急监测仪器装备水平。强化区域性、专业性、模块式应急演练，提升核与辐射事故应急演练实战化水平。</w:t>
      </w:r>
    </w:p>
    <w:p>
      <w:pPr>
        <w:pStyle w:val="3"/>
        <w:widowControl w:val="0"/>
        <w:spacing w:line="240" w:lineRule="auto"/>
        <w:ind w:firstLine="643"/>
        <w:rPr>
          <w:rFonts w:ascii="楷体" w:hAnsi="楷体" w:eastAsia="楷体" w:cs="楷体"/>
          <w:kern w:val="2"/>
          <w:highlight w:val="none"/>
        </w:rPr>
      </w:pPr>
      <w:bookmarkStart w:id="21" w:name="_Toc2375"/>
      <w:r>
        <w:rPr>
          <w:rFonts w:hint="eastAsia" w:ascii="楷体" w:hAnsi="楷体" w:eastAsia="楷体" w:cs="楷体"/>
          <w:kern w:val="2"/>
          <w:highlight w:val="none"/>
        </w:rPr>
        <w:t>（三）优化国土空间开发，筑牢生态安全屏障</w:t>
      </w:r>
      <w:bookmarkEnd w:id="21"/>
    </w:p>
    <w:p>
      <w:pPr>
        <w:spacing w:after="0" w:line="360" w:lineRule="auto"/>
        <w:ind w:firstLine="619" w:firstLineChars="200"/>
        <w:rPr>
          <w:rFonts w:ascii="仿宋" w:hAnsi="仿宋" w:eastAsia="仿宋" w:cs="仿宋"/>
          <w:b/>
          <w:bCs/>
          <w:spacing w:val="-6"/>
          <w:kern w:val="0"/>
          <w:sz w:val="32"/>
          <w:szCs w:val="32"/>
          <w:highlight w:val="none"/>
          <w14:ligatures w14:val="none"/>
        </w:rPr>
      </w:pPr>
      <w:r>
        <w:rPr>
          <w:rFonts w:hint="eastAsia" w:ascii="仿宋" w:hAnsi="仿宋" w:eastAsia="仿宋" w:cs="仿宋"/>
          <w:b/>
          <w:bCs/>
          <w:spacing w:val="-6"/>
          <w:kern w:val="0"/>
          <w:sz w:val="32"/>
          <w:szCs w:val="32"/>
          <w:highlight w:val="none"/>
          <w14:ligatures w14:val="none"/>
        </w:rPr>
        <w:t>1.优化城镇空间布局</w:t>
      </w:r>
    </w:p>
    <w:p>
      <w:pPr>
        <w:spacing w:after="0" w:line="360" w:lineRule="auto"/>
        <w:ind w:firstLine="616" w:firstLineChars="200"/>
        <w:jc w:val="both"/>
        <w:rPr>
          <w:rFonts w:ascii="仿宋" w:hAnsi="仿宋" w:eastAsia="仿宋" w:cs="仿宋"/>
          <w:spacing w:val="-6"/>
          <w:kern w:val="0"/>
          <w:sz w:val="32"/>
          <w:szCs w:val="32"/>
          <w:highlight w:val="none"/>
          <w14:ligatures w14:val="none"/>
        </w:rPr>
      </w:pPr>
      <w:r>
        <w:rPr>
          <w:rFonts w:ascii="仿宋" w:hAnsi="仿宋" w:eastAsia="仿宋" w:cs="仿宋"/>
          <w:spacing w:val="-6"/>
          <w:kern w:val="0"/>
          <w:sz w:val="32"/>
          <w:szCs w:val="32"/>
          <w:highlight w:val="none"/>
          <w14:ligatures w14:val="none"/>
        </w:rPr>
        <w:t>突出“山水园林、生态宜居”城市定位，立足资源环境承载能力和开发适宜性，以县城为核心，以重点培育的小城镇为片区中心，有序推进土地成片开发，逐步形成“一主两副四圈”的城镇空间格局</w:t>
      </w:r>
      <w:r>
        <w:rPr>
          <w:rFonts w:hint="eastAsia" w:ascii="仿宋" w:hAnsi="仿宋" w:eastAsia="仿宋" w:cs="仿宋"/>
          <w:spacing w:val="-6"/>
          <w:kern w:val="0"/>
          <w:sz w:val="32"/>
          <w:szCs w:val="32"/>
          <w:highlight w:val="none"/>
          <w14:ligatures w14:val="none"/>
        </w:rPr>
        <w:t>。“一主”即中心城区；“两副”即泉林镇、圣水峪镇；“四圈”即圣水峪-泗张生态文旅城镇圈、泉林-华村综合城镇发展圈、星村-苗馆现代农业城镇圈和柘沟-杨柳特色农业城镇圈。</w:t>
      </w:r>
    </w:p>
    <w:p>
      <w:pPr>
        <w:spacing w:after="0" w:line="360" w:lineRule="auto"/>
        <w:ind w:firstLine="619" w:firstLineChars="200"/>
        <w:rPr>
          <w:rFonts w:ascii="仿宋" w:hAnsi="仿宋" w:eastAsia="仿宋" w:cs="仿宋"/>
          <w:spacing w:val="-6"/>
          <w:kern w:val="0"/>
          <w:sz w:val="32"/>
          <w:szCs w:val="32"/>
          <w:highlight w:val="none"/>
          <w14:ligatures w14:val="none"/>
        </w:rPr>
      </w:pPr>
      <w:r>
        <w:rPr>
          <w:rFonts w:hint="eastAsia" w:ascii="仿宋" w:hAnsi="仿宋" w:eastAsia="仿宋" w:cs="仿宋"/>
          <w:b/>
          <w:bCs/>
          <w:spacing w:val="-6"/>
          <w:kern w:val="0"/>
          <w:sz w:val="32"/>
          <w:szCs w:val="32"/>
          <w:highlight w:val="none"/>
          <w14:ligatures w14:val="none"/>
        </w:rPr>
        <w:t>2.构建全域生态安全格局</w:t>
      </w:r>
    </w:p>
    <w:p>
      <w:pPr>
        <w:spacing w:after="0" w:line="360" w:lineRule="auto"/>
        <w:ind w:firstLine="616" w:firstLineChars="200"/>
        <w:jc w:val="both"/>
        <w:rPr>
          <w:rFonts w:ascii="仿宋" w:hAnsi="仿宋" w:eastAsia="仿宋" w:cs="仿宋"/>
          <w:spacing w:val="-6"/>
          <w:kern w:val="0"/>
          <w:sz w:val="32"/>
          <w:szCs w:val="32"/>
          <w:highlight w:val="none"/>
          <w14:ligatures w14:val="none"/>
        </w:rPr>
      </w:pPr>
      <w:r>
        <w:rPr>
          <w:rFonts w:hint="eastAsia" w:ascii="仿宋" w:hAnsi="仿宋" w:eastAsia="仿宋" w:cs="仿宋"/>
          <w:spacing w:val="-6"/>
          <w:kern w:val="0"/>
          <w:sz w:val="32"/>
          <w:szCs w:val="32"/>
          <w:highlight w:val="none"/>
          <w14:ligatures w14:val="none"/>
        </w:rPr>
        <w:t>结合区域生态资源本底特征，以田园景观生态为基底，以山体、水系为脉络，以基础设施廊道为补充，构建“三横五纵、六区多点”的生态安全格局。“三横”即南部山脉生态带、北部凤仙山-龙门山山脉生态带和泗河生态廊道；“五纵”即柘沟河、济河、鲍村河、石莱河生态廊道和圣华路交通绿廊；“六区”即山地生态控制区、农田林网生态控制区、城市生态发展建设区、贺庄水库水源涵养区、低山丘陵生态涵养区和农田林果生态控制区；“多点”即县域内多个湿地、湖泊和林地构成的生态节点。</w:t>
      </w:r>
    </w:p>
    <w:p>
      <w:pPr>
        <w:spacing w:line="360" w:lineRule="auto"/>
        <w:ind w:firstLine="619" w:firstLineChars="200"/>
        <w:rPr>
          <w:rFonts w:ascii="仿宋" w:hAnsi="仿宋" w:eastAsia="仿宋" w:cs="仿宋"/>
          <w:b/>
          <w:bCs/>
          <w:spacing w:val="-6"/>
          <w:kern w:val="0"/>
          <w:sz w:val="32"/>
          <w:szCs w:val="32"/>
          <w:highlight w:val="none"/>
          <w14:ligatures w14:val="none"/>
        </w:rPr>
      </w:pPr>
      <w:r>
        <w:rPr>
          <w:rFonts w:hint="eastAsia" w:ascii="仿宋" w:hAnsi="仿宋" w:eastAsia="仿宋" w:cs="仿宋"/>
          <w:b/>
          <w:bCs/>
          <w:spacing w:val="-6"/>
          <w:kern w:val="0"/>
          <w:sz w:val="32"/>
          <w:szCs w:val="32"/>
          <w:highlight w:val="none"/>
          <w14:ligatures w14:val="none"/>
        </w:rPr>
        <w:t>3.落实生态环境分区管控</w:t>
      </w:r>
    </w:p>
    <w:p>
      <w:pPr>
        <w:spacing w:after="0" w:line="360" w:lineRule="auto"/>
        <w:ind w:firstLine="616" w:firstLineChars="200"/>
        <w:jc w:val="both"/>
        <w:rPr>
          <w:rFonts w:ascii="仿宋" w:hAnsi="仿宋" w:eastAsia="仿宋" w:cs="仿宋"/>
          <w:spacing w:val="-6"/>
          <w:kern w:val="0"/>
          <w:sz w:val="32"/>
          <w:szCs w:val="32"/>
          <w:highlight w:val="none"/>
          <w14:ligatures w14:val="none"/>
        </w:rPr>
      </w:pPr>
      <w:r>
        <w:rPr>
          <w:rFonts w:hint="eastAsia" w:ascii="仿宋" w:hAnsi="仿宋" w:eastAsia="仿宋" w:cs="仿宋"/>
          <w:spacing w:val="-6"/>
          <w:kern w:val="0"/>
          <w:sz w:val="32"/>
          <w:szCs w:val="32"/>
          <w:highlight w:val="none"/>
          <w14:ligatures w14:val="none"/>
        </w:rPr>
        <w:t>构建完善的生态环境分区管控体系，持续完善“三线一单”成果，科学划分生态环境管控单元，严格落实生态环境分区管控要求，鼓励发展绿色环保产业、严把项目准入关，走持续发展道路，加强规划衔接应用、强化生态环境监管、严格产业园区的实施和管理。发挥“生态环境准入清单”对招商引资项目引进和现有项目管理的引导和约束作用。严控开发建设，严禁不符合主体功能的各类开发活动。推进重点管控单元产业布局优化和绿色转型升级，加强污染物排放控制和环境风险防控，不断提升资源利用效率。</w:t>
      </w:r>
    </w:p>
    <w:p>
      <w:pPr>
        <w:spacing w:line="360" w:lineRule="auto"/>
        <w:ind w:firstLine="619" w:firstLineChars="200"/>
        <w:rPr>
          <w:rFonts w:ascii="仿宋" w:hAnsi="仿宋" w:eastAsia="仿宋" w:cs="仿宋"/>
          <w:spacing w:val="-6"/>
          <w:kern w:val="0"/>
          <w:sz w:val="32"/>
          <w:szCs w:val="32"/>
          <w:highlight w:val="none"/>
          <w14:ligatures w14:val="none"/>
        </w:rPr>
      </w:pPr>
      <w:r>
        <w:rPr>
          <w:rFonts w:hint="eastAsia" w:ascii="仿宋" w:hAnsi="仿宋" w:eastAsia="仿宋" w:cs="仿宋"/>
          <w:b/>
          <w:bCs/>
          <w:spacing w:val="-6"/>
          <w:kern w:val="0"/>
          <w:sz w:val="32"/>
          <w:szCs w:val="32"/>
          <w:highlight w:val="none"/>
          <w14:ligatures w14:val="none"/>
        </w:rPr>
        <w:t>4.严格保护重要生态空间</w:t>
      </w:r>
    </w:p>
    <w:p>
      <w:pPr>
        <w:spacing w:after="0" w:line="360" w:lineRule="auto"/>
        <w:ind w:firstLine="616" w:firstLineChars="200"/>
        <w:jc w:val="both"/>
        <w:rPr>
          <w:highlight w:val="none"/>
        </w:rPr>
      </w:pPr>
      <w:r>
        <w:rPr>
          <w:rFonts w:hint="eastAsia" w:ascii="仿宋" w:hAnsi="仿宋" w:eastAsia="仿宋" w:cs="仿宋"/>
          <w:spacing w:val="-6"/>
          <w:kern w:val="0"/>
          <w:sz w:val="32"/>
          <w:szCs w:val="32"/>
          <w:highlight w:val="none"/>
          <w14:ligatures w14:val="none"/>
        </w:rPr>
        <w:t>实施最严格的生态保护红线管控。自然保护地核心保护区原则上禁止人为活动，其他区域严格禁止开发性、生产性建设活动，在符合现行法律法规前提下，除国家重大战略项目外，仅允许对生态功能不造成破坏的有限人为活动。探索建立生态保护红线动态评估优化机制，优化生态保护红线布局，确保生态保护红线生态功能不降低、面积不减少、性质不改变。完成自然保护地整合优化工作，科学划分泉林国家森林自然公园和泗水县泉林泉群风景名胜区两处自然保护地范围和功能分区。在自然保护地整合优化方案的基础上，全面完成自然保护地范围和功能分区界线的勘定，形成相关方认可、边界清晰、面积准确、标识清楚、手续合法的勘界立标成果。持续开展“绿盾”自然保护地强化监督行动，加强自然保护地的监督管理。依法开展监督执法，强化与自然资源、水利、林业等相关部门协同执法，形成边界清晰的生态保护统一监管体系，完善执法信息移交、反馈机制。</w:t>
      </w:r>
    </w:p>
    <w:p>
      <w:pPr>
        <w:spacing w:line="360" w:lineRule="auto"/>
        <w:ind w:firstLine="619" w:firstLineChars="200"/>
        <w:rPr>
          <w:highlight w:val="none"/>
        </w:rPr>
      </w:pPr>
      <w:r>
        <w:rPr>
          <w:rFonts w:hint="eastAsia" w:ascii="仿宋" w:hAnsi="仿宋" w:eastAsia="仿宋" w:cs="仿宋"/>
          <w:b/>
          <w:bCs/>
          <w:spacing w:val="-6"/>
          <w:kern w:val="0"/>
          <w:sz w:val="32"/>
          <w:szCs w:val="32"/>
          <w:highlight w:val="none"/>
          <w14:ligatures w14:val="none"/>
        </w:rPr>
        <w:t>5.加强生态系统修复</w:t>
      </w:r>
    </w:p>
    <w:p>
      <w:pPr>
        <w:spacing w:after="0" w:line="360" w:lineRule="auto"/>
        <w:ind w:firstLine="616" w:firstLineChars="200"/>
        <w:jc w:val="both"/>
        <w:rPr>
          <w:rFonts w:ascii="仿宋" w:hAnsi="仿宋" w:eastAsia="仿宋" w:cs="仿宋"/>
          <w:spacing w:val="-6"/>
          <w:kern w:val="0"/>
          <w:sz w:val="32"/>
          <w:szCs w:val="32"/>
          <w:highlight w:val="none"/>
          <w14:ligatures w14:val="none"/>
        </w:rPr>
      </w:pPr>
      <w:r>
        <w:rPr>
          <w:rFonts w:hint="eastAsia" w:ascii="仿宋" w:hAnsi="仿宋" w:eastAsia="仿宋" w:cs="仿宋"/>
          <w:spacing w:val="-6"/>
          <w:kern w:val="0"/>
          <w:sz w:val="32"/>
          <w:szCs w:val="32"/>
          <w:highlight w:val="none"/>
          <w14:ligatures w14:val="none"/>
        </w:rPr>
        <w:t>构筑绿色生态屏障。实施森林质量精准提升工程，强化森林抚育，加强退化防护林修复改造，优化森林结构和功能，促进林分健康稳定，提升森林生态固碳能力。加快实施“四绿”工程。沿泗河等主要河流岸线、交通干线适地适树、乔灌结合，建设绿色长廊。实施森林城市建设工程，城区大力实施道路绿化、公园绿地、穿城林带、环城森林建设，改善城市环境面貌；以辖区内铁路、高速、国省道、县乡公路等为脉络建设绿色通道；大力支持社区、机关、学校、企业、居民小区建设附属绿地，开展垂直绿化、立体绿化示范。实施农田林网生态建设工程，完善补植、更新改造现有林网，带动平原绿化大发展。大力发展城市型、城郊型湿地公园。</w:t>
      </w:r>
    </w:p>
    <w:p>
      <w:pPr>
        <w:spacing w:after="0" w:line="360" w:lineRule="auto"/>
        <w:ind w:firstLine="616" w:firstLineChars="200"/>
        <w:jc w:val="both"/>
        <w:rPr>
          <w:rFonts w:ascii="仿宋" w:hAnsi="仿宋" w:eastAsia="仿宋" w:cs="仿宋"/>
          <w:spacing w:val="-6"/>
          <w:kern w:val="0"/>
          <w:sz w:val="32"/>
          <w:szCs w:val="32"/>
          <w:highlight w:val="none"/>
          <w14:ligatures w14:val="none"/>
        </w:rPr>
      </w:pPr>
      <w:r>
        <w:rPr>
          <w:rFonts w:hint="eastAsia" w:ascii="仿宋" w:hAnsi="仿宋" w:eastAsia="仿宋" w:cs="仿宋"/>
          <w:spacing w:val="-6"/>
          <w:kern w:val="0"/>
          <w:sz w:val="32"/>
          <w:szCs w:val="32"/>
          <w:highlight w:val="none"/>
          <w14:ligatures w14:val="none"/>
        </w:rPr>
        <w:t>推进矿山生态保护修复。严格新建矿山生态保护准入条件，新建矿山必须达到绿色矿山标准。强化源头管理，按照绿色矿山建设标准，新建矿山制定从生产到闭坑矿区生态保护修复的全面规划，形成“采前有规划，过程能控制，采后可修复”准入制度。严格落实地质环境保护与土地复垦方案、水土保持方案要求，实行边开采边治理，对矿山地质环境问题和占损土地进行治理恢复。加强源头控制、预防和控制相结合，生产矿山企业依法履行矿山地质环境保护与土地复垦义务，实现边生产边治理。落实矿山企业地质环境恢复治理主体责任，强化对采矿权人主体责任的社会监督和执法监管。规范矿山地质环境恢复治理基金使用。开展“三区两线”可视范围内历史遗留废弃矿山治理，配合完成《泗水县矿山地质环境保护与治理规划（2018-2025年）》确定的“三区两线”可视范围内历史遗留废弃矿山的治理任务。</w:t>
      </w:r>
    </w:p>
    <w:p>
      <w:pPr>
        <w:spacing w:after="0" w:line="360" w:lineRule="auto"/>
        <w:ind w:firstLine="616" w:firstLineChars="200"/>
        <w:jc w:val="both"/>
        <w:rPr>
          <w:rFonts w:ascii="仿宋" w:hAnsi="仿宋" w:eastAsia="仿宋" w:cs="仿宋"/>
          <w:spacing w:val="-6"/>
          <w:kern w:val="0"/>
          <w:sz w:val="32"/>
          <w:szCs w:val="32"/>
          <w:highlight w:val="none"/>
          <w14:ligatures w14:val="none"/>
        </w:rPr>
      </w:pPr>
      <w:r>
        <w:rPr>
          <w:rFonts w:hint="eastAsia" w:ascii="仿宋" w:hAnsi="仿宋" w:eastAsia="仿宋" w:cs="仿宋"/>
          <w:spacing w:val="-6"/>
          <w:kern w:val="0"/>
          <w:sz w:val="32"/>
          <w:szCs w:val="32"/>
          <w:highlight w:val="none"/>
          <w14:ligatures w14:val="none"/>
        </w:rPr>
        <w:t>加强水土流失综合治理。以小流域为单元，强化坡面防护体系、径流调控体系和沟道防护体系，加大林草植被建设和梯田整修改造力度，加强坡地水土流失综合治理，以坡面和沟壑整治为重点，修建水土保持拦、截、蓄等小微型水保工程，积极推行“山顶乔灌草戴帽、山腰经济林缠绕，山脚粮油瓜菜，堰边种植花、草、条，谷坊、塘坝沿沟建，田、水、林、路都配套”的综合治理模式，将 25以下低标准梯田整修，营造水土保持、水源涵养林，涵养水源，减少土壤侵蚀，促进生态自然修复，提高环境资源承载力，提升农林复合生态调节功能，加强预防监督，严格控制人为水土流失。实施宋家沟、泽沟河等小流域综合治理工程，有效改善水土流失状况，维护生态环境。</w:t>
      </w:r>
    </w:p>
    <w:p>
      <w:pPr>
        <w:pStyle w:val="10"/>
        <w:ind w:firstLine="618"/>
        <w:rPr>
          <w:rFonts w:ascii="仿宋" w:hAnsi="仿宋" w:eastAsia="仿宋"/>
          <w:b/>
          <w:bCs/>
          <w:spacing w:val="-6"/>
          <w:sz w:val="32"/>
          <w:szCs w:val="32"/>
          <w:highlight w:val="none"/>
        </w:rPr>
      </w:pPr>
      <w:r>
        <w:rPr>
          <w:rFonts w:hint="eastAsia" w:ascii="仿宋" w:hAnsi="仿宋" w:eastAsia="仿宋"/>
          <w:b/>
          <w:bCs/>
          <w:spacing w:val="-6"/>
          <w:sz w:val="32"/>
          <w:szCs w:val="32"/>
          <w:highlight w:val="none"/>
        </w:rPr>
        <w:t>6</w:t>
      </w:r>
      <w:r>
        <w:rPr>
          <w:rFonts w:ascii="仿宋" w:hAnsi="仿宋" w:eastAsia="仿宋"/>
          <w:b/>
          <w:bCs/>
          <w:spacing w:val="-6"/>
          <w:sz w:val="32"/>
          <w:szCs w:val="32"/>
          <w:highlight w:val="none"/>
        </w:rPr>
        <w:t>.</w:t>
      </w:r>
      <w:r>
        <w:rPr>
          <w:rFonts w:hint="eastAsia" w:ascii="仿宋" w:hAnsi="仿宋" w:eastAsia="仿宋"/>
          <w:b/>
          <w:bCs/>
          <w:spacing w:val="-6"/>
          <w:sz w:val="32"/>
          <w:szCs w:val="32"/>
          <w:highlight w:val="none"/>
        </w:rPr>
        <w:t>加强生物多样性保护</w:t>
      </w:r>
    </w:p>
    <w:p>
      <w:pPr>
        <w:spacing w:after="0" w:line="360" w:lineRule="auto"/>
        <w:ind w:firstLine="616" w:firstLineChars="200"/>
        <w:jc w:val="both"/>
        <w:rPr>
          <w:rFonts w:ascii="仿宋" w:hAnsi="仿宋" w:eastAsia="仿宋" w:cs="仿宋"/>
          <w:spacing w:val="-6"/>
          <w:kern w:val="0"/>
          <w:sz w:val="32"/>
          <w:szCs w:val="32"/>
          <w:highlight w:val="none"/>
          <w14:ligatures w14:val="none"/>
        </w:rPr>
      </w:pPr>
      <w:r>
        <w:rPr>
          <w:rFonts w:hint="eastAsia" w:ascii="仿宋" w:hAnsi="仿宋" w:eastAsia="仿宋" w:cs="仿宋"/>
          <w:spacing w:val="-6"/>
          <w:kern w:val="0"/>
          <w:sz w:val="32"/>
          <w:szCs w:val="32"/>
          <w:highlight w:val="none"/>
          <w14:ligatures w14:val="none"/>
        </w:rPr>
        <w:t>做好陆生野生动植物保护。加强野生动植物保护监督，全面禁止非法野生动物交易。完善多部门信息交流和联合执法机制，严厉打击非法猎捕、交易、食用野生动物行为。实施生物多样性保护重大工程。统筹就地保护和迁地保护，加强国家重点保护和珍稀濒危野生动植物及栖息地、原生境的保护修复，连通重要物种迁徙扩散生态廊道，构筑生物多样性保护网络。建立野生动物收容救护中心，实施濒危野生动植物抢救性保护，实施珍稀濒危和极小种群物种抢救性保护，恢复提升重要保护物种种群数量。加强野生动植物保护科普宣传，传播生态文明理念和法律法规知识，提高市民保护野生动植物认识，营造全民主动参与保护生态环境安全的良好氛围。</w:t>
      </w:r>
    </w:p>
    <w:p>
      <w:pPr>
        <w:pStyle w:val="3"/>
        <w:widowControl w:val="0"/>
        <w:spacing w:line="240" w:lineRule="auto"/>
        <w:ind w:firstLine="643"/>
        <w:rPr>
          <w:rFonts w:ascii="楷体" w:hAnsi="楷体" w:eastAsia="楷体" w:cs="楷体"/>
          <w:kern w:val="2"/>
          <w:highlight w:val="none"/>
        </w:rPr>
      </w:pPr>
      <w:bookmarkStart w:id="22" w:name="_Toc15823"/>
      <w:r>
        <w:rPr>
          <w:rFonts w:hint="eastAsia" w:ascii="楷体" w:hAnsi="楷体" w:eastAsia="楷体" w:cs="楷体"/>
          <w:kern w:val="2"/>
          <w:highlight w:val="none"/>
        </w:rPr>
        <w:t>（四）构建生态经济体系，促进经济绿色转型</w:t>
      </w:r>
      <w:bookmarkEnd w:id="22"/>
    </w:p>
    <w:p>
      <w:pPr>
        <w:spacing w:line="360" w:lineRule="auto"/>
        <w:ind w:firstLine="619" w:firstLineChars="200"/>
        <w:rPr>
          <w:rFonts w:ascii="仿宋" w:hAnsi="仿宋" w:eastAsia="仿宋" w:cs="仿宋"/>
          <w:b/>
          <w:bCs/>
          <w:spacing w:val="-6"/>
          <w:kern w:val="0"/>
          <w:sz w:val="32"/>
          <w:szCs w:val="32"/>
          <w:highlight w:val="none"/>
          <w14:ligatures w14:val="none"/>
        </w:rPr>
      </w:pPr>
      <w:r>
        <w:rPr>
          <w:rFonts w:hint="eastAsia" w:ascii="仿宋" w:hAnsi="仿宋" w:eastAsia="仿宋" w:cs="仿宋"/>
          <w:b/>
          <w:bCs/>
          <w:spacing w:val="-6"/>
          <w:kern w:val="0"/>
          <w:sz w:val="32"/>
          <w:szCs w:val="32"/>
          <w:highlight w:val="none"/>
          <w14:ligatures w14:val="none"/>
        </w:rPr>
        <w:t>1.加快推动工业绿色转型</w:t>
      </w:r>
    </w:p>
    <w:p>
      <w:pPr>
        <w:spacing w:after="0" w:line="360" w:lineRule="auto"/>
        <w:ind w:firstLine="616" w:firstLineChars="200"/>
        <w:jc w:val="both"/>
        <w:rPr>
          <w:rFonts w:ascii="仿宋" w:hAnsi="仿宋" w:eastAsia="仿宋" w:cs="仿宋"/>
          <w:spacing w:val="-6"/>
          <w:kern w:val="0"/>
          <w:sz w:val="32"/>
          <w:szCs w:val="32"/>
          <w:highlight w:val="none"/>
          <w14:ligatures w14:val="none"/>
        </w:rPr>
      </w:pPr>
      <w:r>
        <w:rPr>
          <w:rFonts w:hint="eastAsia" w:ascii="仿宋" w:hAnsi="仿宋" w:eastAsia="仿宋" w:cs="仿宋"/>
          <w:spacing w:val="-6"/>
          <w:kern w:val="0"/>
          <w:sz w:val="32"/>
          <w:szCs w:val="32"/>
          <w:highlight w:val="none"/>
          <w14:ligatures w14:val="none"/>
        </w:rPr>
        <w:t>强力推进节能降耗。综合运用法律、行政、经济、技术等手段，强力推进落后产能淘汰、过剩产能化解和违法违规产能清理，全力实施“三上三压”，严格实施采暖季工业企业错峰生产。加大政策引导与支持力度，积极发展绿色建筑产业，争创钢结构装配式住宅试点。大力发展节能环保产业，优化空间布局，努力增加绿色新动能。实施煤炭消费总量控制，实行能源消耗总量和强度“双控”行动，推进清洁能源倍增行动。完善全县用水总量、用水效率和水功能区限制纳污控制指标体系，建立总量控制与定额管理相结合的用水管理制度，控制地下水开采，推广使用再生水，统筹生活、生产、生态用水，强力推进高耗水行业节水技术改造，鼓励中水回用，提高水的循环利用率。</w:t>
      </w:r>
    </w:p>
    <w:p>
      <w:pPr>
        <w:spacing w:after="0" w:line="360" w:lineRule="auto"/>
        <w:ind w:firstLine="616" w:firstLineChars="200"/>
        <w:jc w:val="both"/>
        <w:rPr>
          <w:rFonts w:ascii="仿宋" w:hAnsi="仿宋" w:eastAsia="仿宋" w:cs="仿宋"/>
          <w:spacing w:val="-6"/>
          <w:kern w:val="0"/>
          <w:sz w:val="32"/>
          <w:szCs w:val="32"/>
          <w:highlight w:val="none"/>
          <w14:ligatures w14:val="none"/>
        </w:rPr>
      </w:pPr>
      <w:r>
        <w:rPr>
          <w:rFonts w:hint="eastAsia" w:ascii="仿宋" w:hAnsi="仿宋" w:eastAsia="仿宋" w:cs="仿宋"/>
          <w:spacing w:val="-6"/>
          <w:kern w:val="0"/>
          <w:sz w:val="32"/>
          <w:szCs w:val="32"/>
          <w:highlight w:val="none"/>
          <w14:ligatures w14:val="none"/>
        </w:rPr>
        <w:t>积极发展循环经济。推广循环经济发展模式，发展绿色金融，支持绿色技术创新，大力推进清洁生产和生态工业园区建设，推进重点行业和领域绿色化改造，带动发展一批循环经济产业集群。坚持绿色矿业发展理念，加快发展矿业循环经济，积极推进绿色矿山、智能矿山建设，实施开采、恢复并举，持续优化资源开发利用。培育生态循环农业，通过采取秸秆和畜禽粪污资源化、饲料化、基料化、肥料化等途径，解决农业废弃物资源利用，加快农牧一体化进程。支持利用现有新型干法水泥窑协同处置生活垃圾、城市污泥、危险废物等。鼓励和支持建材企业制定清洁生产方案，实施节能减排技术改造，降低能耗和排放水平。</w:t>
      </w:r>
    </w:p>
    <w:p>
      <w:pPr>
        <w:spacing w:after="0" w:line="360" w:lineRule="auto"/>
        <w:ind w:firstLine="616" w:firstLineChars="200"/>
        <w:jc w:val="both"/>
        <w:rPr>
          <w:rFonts w:ascii="仿宋" w:hAnsi="仿宋" w:eastAsia="仿宋" w:cs="仿宋"/>
          <w:spacing w:val="-6"/>
          <w:kern w:val="0"/>
          <w:sz w:val="32"/>
          <w:szCs w:val="32"/>
          <w:highlight w:val="none"/>
          <w14:ligatures w14:val="none"/>
        </w:rPr>
      </w:pPr>
      <w:r>
        <w:rPr>
          <w:rFonts w:hint="eastAsia" w:ascii="仿宋" w:hAnsi="仿宋" w:eastAsia="仿宋" w:cs="仿宋"/>
          <w:spacing w:val="-6"/>
          <w:kern w:val="0"/>
          <w:sz w:val="32"/>
          <w:szCs w:val="32"/>
          <w:highlight w:val="none"/>
          <w14:ligatures w14:val="none"/>
        </w:rPr>
        <w:t>促进工业转型升级。立足传统优势主导产业，瞄准产业链、价值链中高端，绘制优势主导产业生态图谱、创新图谱，分行业做好供应链战略设计和精准施策。坚持“群长”+“链长”负责制为统领，坚持延伸链条与技改升级同步发力，强化项目招引、研发设计、品牌营销，推进全产业链整体跃升，推动企业提质增效。实施新兴产业培植壮大行动，集中力量、集聚资源、集成政策，引进扶持一批高创新性、高关联性、高科技领域的重大项目，推动新兴产业加速崛起、扩容倍增，培育形成新动能。突出新能源新材料基础性、先导性、战略性作用，大力发展可再生能源，推动新材料产品融入高端制造供应链。</w:t>
      </w:r>
    </w:p>
    <w:p>
      <w:pPr>
        <w:spacing w:line="360" w:lineRule="auto"/>
        <w:ind w:firstLine="619" w:firstLineChars="200"/>
        <w:rPr>
          <w:rFonts w:ascii="仿宋" w:hAnsi="仿宋" w:eastAsia="仿宋" w:cs="仿宋"/>
          <w:b/>
          <w:bCs/>
          <w:spacing w:val="-6"/>
          <w:kern w:val="0"/>
          <w:sz w:val="32"/>
          <w:szCs w:val="32"/>
          <w:highlight w:val="none"/>
          <w14:ligatures w14:val="none"/>
        </w:rPr>
      </w:pPr>
      <w:r>
        <w:rPr>
          <w:rFonts w:hint="eastAsia" w:ascii="仿宋" w:hAnsi="仿宋" w:eastAsia="仿宋" w:cs="仿宋"/>
          <w:b/>
          <w:bCs/>
          <w:spacing w:val="-6"/>
          <w:kern w:val="0"/>
          <w:sz w:val="32"/>
          <w:szCs w:val="32"/>
          <w:highlight w:val="none"/>
          <w14:ligatures w14:val="none"/>
        </w:rPr>
        <w:t>2.大力发展现代农业</w:t>
      </w:r>
    </w:p>
    <w:p>
      <w:pPr>
        <w:spacing w:after="0" w:line="360" w:lineRule="auto"/>
        <w:ind w:firstLine="616" w:firstLineChars="200"/>
        <w:jc w:val="both"/>
        <w:rPr>
          <w:rFonts w:ascii="仿宋" w:hAnsi="仿宋" w:eastAsia="仿宋" w:cs="仿宋"/>
          <w:spacing w:val="-6"/>
          <w:kern w:val="0"/>
          <w:sz w:val="32"/>
          <w:szCs w:val="32"/>
          <w:highlight w:val="none"/>
          <w14:ligatures w14:val="none"/>
        </w:rPr>
      </w:pPr>
      <w:r>
        <w:rPr>
          <w:rFonts w:hint="eastAsia" w:ascii="仿宋" w:hAnsi="仿宋" w:eastAsia="仿宋" w:cs="仿宋"/>
          <w:spacing w:val="-6"/>
          <w:kern w:val="0"/>
          <w:sz w:val="32"/>
          <w:szCs w:val="32"/>
          <w:highlight w:val="none"/>
          <w14:ligatures w14:val="none"/>
        </w:rPr>
        <w:t>稳步提升粮食综合产能。严守耕地红线，强化用途管制，坚决遏制“非农化”“非粮化”。加强粮食生产功能区和重要农产品生产保护区建设，加强特色农产品优势区创建工作。实施耕地质量提升行动，加大推广绿色植保、统防统治、增施有机肥、秸秆还田、绿色防控、土壤修复、生物双降解地膜、土地深松、保护性耕作等重大技术措施，提高土壤生态水平，实现耕地资源永续利用。推进集中连片、设施完善、旱涝保收、稳产高产、生态友好、机械化作业的高标准农田建设，提高粮食绿色化规模化生产水平。</w:t>
      </w:r>
    </w:p>
    <w:p>
      <w:pPr>
        <w:spacing w:after="0" w:line="360" w:lineRule="auto"/>
        <w:ind w:firstLine="616" w:firstLineChars="200"/>
        <w:jc w:val="both"/>
        <w:rPr>
          <w:rFonts w:ascii="仿宋" w:hAnsi="仿宋" w:eastAsia="仿宋" w:cs="仿宋"/>
          <w:spacing w:val="-6"/>
          <w:kern w:val="0"/>
          <w:sz w:val="32"/>
          <w:szCs w:val="32"/>
          <w:highlight w:val="none"/>
          <w14:ligatures w14:val="none"/>
        </w:rPr>
      </w:pPr>
      <w:r>
        <w:rPr>
          <w:rFonts w:hint="eastAsia" w:ascii="仿宋" w:hAnsi="仿宋" w:eastAsia="仿宋" w:cs="仿宋"/>
          <w:spacing w:val="-6"/>
          <w:kern w:val="0"/>
          <w:sz w:val="32"/>
          <w:szCs w:val="32"/>
          <w:highlight w:val="none"/>
          <w14:ligatures w14:val="none"/>
        </w:rPr>
        <w:t>推动农村产业转型升级。调整优化种植结构，大力发展名优特新经济作物，推进地瓜、花生、西瓜、黄姜、中药材等特色产业发展，提高蔬菜、高钙菜、优质果品等高效特种农产品种植基地经营水平，实现亩产值达到万元以上。积极发展特色经济林，推动传统果园提质增效、转型升级，扩大元宝枫、桃、油杏、黄金梨、板栗、苹果等特色经济林种植，推广林药、林菌、林菜等林下经济模式。高端发展生态畜牧业，科学布局畜禽养殖区域，重点发展“七大生态畜牧产业”，即生猪、肉牛、肉鸡、肉鸭、蛋鸡、肉羊、肉兔、蜂业，借助温氏生猪、强英鸭业、鸿润食品等项目，率先突破生猪和肉鸭产业。</w:t>
      </w:r>
    </w:p>
    <w:p>
      <w:pPr>
        <w:spacing w:after="0" w:line="360" w:lineRule="auto"/>
        <w:ind w:firstLine="616" w:firstLineChars="200"/>
        <w:jc w:val="both"/>
        <w:rPr>
          <w:rFonts w:ascii="仿宋" w:hAnsi="仿宋" w:eastAsia="仿宋" w:cs="仿宋"/>
          <w:spacing w:val="-6"/>
          <w:kern w:val="0"/>
          <w:sz w:val="32"/>
          <w:szCs w:val="32"/>
          <w:highlight w:val="none"/>
          <w14:ligatures w14:val="none"/>
        </w:rPr>
      </w:pPr>
      <w:r>
        <w:rPr>
          <w:rFonts w:hint="eastAsia" w:ascii="仿宋" w:hAnsi="仿宋" w:eastAsia="仿宋" w:cs="仿宋"/>
          <w:spacing w:val="-6"/>
          <w:kern w:val="0"/>
          <w:sz w:val="32"/>
          <w:szCs w:val="32"/>
          <w:highlight w:val="none"/>
          <w14:ligatures w14:val="none"/>
        </w:rPr>
        <w:t>培育农业优势产业集群。重点支持甘薯、花生、肉禽、四果蔬饮料大食品加工产业发展，培育做强现代农业优势产业群。落实《泗水县推进甘薯产业集群建设的若干措施》，补齐甘薯全产业链条，推动甘薯全产业链融合发展，培育甘薯产业集群，打造泗水县鲁南国家级甘薯优势农产品产业集群。持续招引行业龙头企业，强化集聚效应，建设国内重要的品牌肉禽及烘焙休闲食品生产基地，形成具有国际国内竞争力的健康食品加工产业集群。</w:t>
      </w:r>
    </w:p>
    <w:p>
      <w:pPr>
        <w:spacing w:line="360" w:lineRule="auto"/>
        <w:ind w:firstLine="619" w:firstLineChars="200"/>
        <w:rPr>
          <w:rFonts w:ascii="仿宋" w:hAnsi="仿宋" w:eastAsia="仿宋" w:cs="仿宋"/>
          <w:b/>
          <w:bCs/>
          <w:spacing w:val="-6"/>
          <w:kern w:val="0"/>
          <w:sz w:val="32"/>
          <w:szCs w:val="32"/>
          <w:highlight w:val="none"/>
          <w14:ligatures w14:val="none"/>
        </w:rPr>
      </w:pPr>
      <w:r>
        <w:rPr>
          <w:rFonts w:hint="eastAsia" w:ascii="仿宋" w:hAnsi="仿宋" w:eastAsia="仿宋" w:cs="仿宋"/>
          <w:b/>
          <w:bCs/>
          <w:spacing w:val="-6"/>
          <w:kern w:val="0"/>
          <w:sz w:val="32"/>
          <w:szCs w:val="32"/>
          <w:highlight w:val="none"/>
          <w14:ligatures w14:val="none"/>
        </w:rPr>
        <w:t>3.繁荣发展文化旅游产业</w:t>
      </w:r>
    </w:p>
    <w:p>
      <w:pPr>
        <w:spacing w:after="0" w:line="360" w:lineRule="auto"/>
        <w:ind w:firstLine="616" w:firstLineChars="200"/>
        <w:jc w:val="both"/>
        <w:rPr>
          <w:rFonts w:ascii="仿宋" w:hAnsi="仿宋" w:eastAsia="仿宋" w:cs="仿宋"/>
          <w:spacing w:val="-6"/>
          <w:kern w:val="0"/>
          <w:sz w:val="32"/>
          <w:szCs w:val="32"/>
          <w:highlight w:val="none"/>
          <w14:ligatures w14:val="none"/>
        </w:rPr>
      </w:pPr>
      <w:r>
        <w:rPr>
          <w:rFonts w:hint="eastAsia" w:ascii="仿宋" w:hAnsi="仿宋" w:eastAsia="仿宋" w:cs="仿宋"/>
          <w:spacing w:val="-6"/>
          <w:kern w:val="0"/>
          <w:sz w:val="32"/>
          <w:szCs w:val="32"/>
          <w:highlight w:val="none"/>
          <w14:ligatures w14:val="none"/>
        </w:rPr>
        <w:t>促进文化旅游产业融合发展。</w:t>
      </w:r>
      <w:r>
        <w:rPr>
          <w:rFonts w:ascii="仿宋" w:hAnsi="仿宋" w:eastAsia="仿宋" w:cs="仿宋"/>
          <w:spacing w:val="-6"/>
          <w:kern w:val="0"/>
          <w:sz w:val="32"/>
          <w:szCs w:val="32"/>
          <w:highlight w:val="none"/>
          <w14:ligatures w14:val="none"/>
        </w:rPr>
        <w:t>全面整合各类文化旅游资源，大力引进培植文化龙头企业，稳妥推进泉林泉群保护开发，建设一批文旅融合项目。开展旅游标准化建设，争创省级精品旅游村镇、省级工业旅游基地、市级文化旅游特色小镇、文旅融合发展样板村等，提升省级全域旅游示范区品质</w:t>
      </w:r>
      <w:r>
        <w:rPr>
          <w:rFonts w:hint="eastAsia" w:ascii="仿宋" w:hAnsi="仿宋" w:eastAsia="仿宋" w:cs="仿宋"/>
          <w:spacing w:val="-6"/>
          <w:kern w:val="0"/>
          <w:sz w:val="32"/>
          <w:szCs w:val="32"/>
          <w:highlight w:val="none"/>
          <w14:ligatures w14:val="none"/>
        </w:rPr>
        <w:t>。强化旅游产品策划，不断开发新的旅游业态、旅游产品，推动龙湾湖示范区与“泗水赏花汇”“乡居泗水”旅游品牌紧密衔接，实现与尼山圣境景区错位发展，打造省级区域旅游目的地。培育红色旅游，利用红色资源优势，以革命传统和历史人文景观为底蕴，策划包装泗水县党史纪念馆、泗水县初心学院、北老寨山战斗遗址等红色研学旅游线路。推进文旅服务智慧化，实现“一部手机游泗水”，提升“中国泉乡·圣源泗水”文化品牌影响力。加强文化产业项目建设，重点培育发展包装彩印、文化旅游、国学体验培训、陶石工艺品、影视拍摄、文化娱乐六大产业。加快文化产业示范基地和区域性文化产业集群建设，大力培植文化龙头企业，引导文化企业入区进园，促进文化产业规模化、集约化、专业化发展。实施“文化+”行动计划，发展基于互联网的新兴文化市场业态，改造提升印刷复制、工艺美术、广告服务等传统文化产业，大力发展新型文化业态，实现线上线下融合发展。</w:t>
      </w:r>
    </w:p>
    <w:p>
      <w:pPr>
        <w:spacing w:line="360" w:lineRule="auto"/>
        <w:ind w:firstLine="619" w:firstLineChars="200"/>
        <w:rPr>
          <w:rFonts w:ascii="仿宋" w:hAnsi="仿宋" w:eastAsia="仿宋" w:cs="仿宋"/>
          <w:b/>
          <w:bCs/>
          <w:spacing w:val="-6"/>
          <w:kern w:val="0"/>
          <w:sz w:val="32"/>
          <w:szCs w:val="32"/>
          <w:highlight w:val="none"/>
          <w14:ligatures w14:val="none"/>
        </w:rPr>
      </w:pPr>
      <w:r>
        <w:rPr>
          <w:rFonts w:hint="eastAsia" w:ascii="仿宋" w:hAnsi="仿宋" w:eastAsia="仿宋" w:cs="仿宋"/>
          <w:b/>
          <w:bCs/>
          <w:spacing w:val="-6"/>
          <w:kern w:val="0"/>
          <w:sz w:val="32"/>
          <w:szCs w:val="32"/>
          <w:highlight w:val="none"/>
          <w14:ligatures w14:val="none"/>
        </w:rPr>
        <w:t>4.强化科技创新驱动</w:t>
      </w:r>
    </w:p>
    <w:p>
      <w:pPr>
        <w:spacing w:after="0" w:line="360" w:lineRule="auto"/>
        <w:ind w:firstLine="616" w:firstLineChars="200"/>
        <w:jc w:val="both"/>
        <w:rPr>
          <w:rFonts w:ascii="仿宋" w:hAnsi="仿宋" w:eastAsia="仿宋" w:cs="仿宋"/>
          <w:spacing w:val="-6"/>
          <w:kern w:val="0"/>
          <w:sz w:val="32"/>
          <w:szCs w:val="32"/>
          <w:highlight w:val="none"/>
          <w14:ligatures w14:val="none"/>
        </w:rPr>
      </w:pPr>
      <w:r>
        <w:rPr>
          <w:rFonts w:ascii="仿宋" w:hAnsi="仿宋" w:eastAsia="仿宋" w:cs="仿宋"/>
          <w:spacing w:val="-6"/>
          <w:kern w:val="0"/>
          <w:sz w:val="32"/>
          <w:szCs w:val="32"/>
          <w:highlight w:val="none"/>
          <w14:ligatures w14:val="none"/>
        </w:rPr>
        <w:t>增强科技创新实力</w:t>
      </w:r>
      <w:r>
        <w:rPr>
          <w:rFonts w:hint="eastAsia" w:ascii="仿宋" w:hAnsi="仿宋" w:eastAsia="仿宋" w:cs="仿宋"/>
          <w:spacing w:val="-6"/>
          <w:kern w:val="0"/>
          <w:sz w:val="32"/>
          <w:szCs w:val="32"/>
          <w:highlight w:val="none"/>
          <w14:ligatures w14:val="none"/>
        </w:rPr>
        <w:t>。强化企业创新主体地位，加快构建“引、孵、壮”全生命周期梯次培育体系，提升企业创新发展、领先发展、持续发展能力，激发新动能，增创新优势，促进经济高质量发展。</w:t>
      </w:r>
      <w:r>
        <w:rPr>
          <w:rFonts w:ascii="仿宋" w:hAnsi="仿宋" w:eastAsia="仿宋" w:cs="仿宋"/>
          <w:spacing w:val="-6"/>
          <w:kern w:val="0"/>
          <w:sz w:val="32"/>
          <w:szCs w:val="32"/>
          <w:highlight w:val="none"/>
          <w14:ligatures w14:val="none"/>
        </w:rPr>
        <w:t>强化对科技型企业技术研发活动的支持力度，围绕产业链、创新链、价值链的核心环节，在新一代信息技术、新材料、高端装备等专业细分领域汇集创新资源，培育多元化、专业化的创新主体。引导骨干企业、创新型企业与高校、科研院所、新型研发机构等组建和完善产业技术创新战略联盟，联合承担省、市级重大科技专项，集中突破高端装备、新材料、新一代信息技术、农副产品精深加工等一批“卡脖子”关键核心技术，推动实现产业链上中下游、大中小微企业融通创新，加速新技术、新产品的推广与应用。深入实施“人才强县”战略，实行更加开放的人才政策，完善普惠性与个性化相结合的人才政策体系，为经济社会高质量发展提供智力支持。</w:t>
      </w:r>
    </w:p>
    <w:p>
      <w:pPr>
        <w:pStyle w:val="3"/>
        <w:widowControl w:val="0"/>
        <w:spacing w:line="240" w:lineRule="auto"/>
        <w:ind w:firstLine="643"/>
        <w:rPr>
          <w:rFonts w:ascii="楷体" w:hAnsi="楷体" w:eastAsia="楷体" w:cs="楷体"/>
          <w:kern w:val="2"/>
          <w:highlight w:val="none"/>
        </w:rPr>
      </w:pPr>
      <w:bookmarkStart w:id="23" w:name="_Toc29362"/>
      <w:r>
        <w:rPr>
          <w:rFonts w:hint="eastAsia" w:ascii="楷体" w:hAnsi="楷体" w:eastAsia="楷体" w:cs="楷体"/>
          <w:kern w:val="2"/>
          <w:highlight w:val="none"/>
        </w:rPr>
        <w:t>（五）完善生态生活体系，打造生态宜居画卷</w:t>
      </w:r>
      <w:bookmarkEnd w:id="23"/>
    </w:p>
    <w:p>
      <w:pPr>
        <w:spacing w:line="360" w:lineRule="auto"/>
        <w:ind w:firstLine="619" w:firstLineChars="200"/>
        <w:rPr>
          <w:rFonts w:ascii="仿宋" w:hAnsi="仿宋" w:eastAsia="仿宋" w:cs="仿宋"/>
          <w:b/>
          <w:bCs/>
          <w:spacing w:val="-6"/>
          <w:kern w:val="0"/>
          <w:sz w:val="32"/>
          <w:szCs w:val="32"/>
          <w:highlight w:val="none"/>
          <w14:ligatures w14:val="none"/>
        </w:rPr>
      </w:pPr>
      <w:r>
        <w:rPr>
          <w:rFonts w:hint="eastAsia" w:ascii="仿宋" w:hAnsi="仿宋" w:eastAsia="仿宋" w:cs="仿宋"/>
          <w:b/>
          <w:bCs/>
          <w:spacing w:val="-6"/>
          <w:kern w:val="0"/>
          <w:sz w:val="32"/>
          <w:szCs w:val="32"/>
          <w:highlight w:val="none"/>
          <w14:ligatures w14:val="none"/>
        </w:rPr>
        <w:t>1.积极推行绿色生活方式</w:t>
      </w:r>
    </w:p>
    <w:p>
      <w:pPr>
        <w:spacing w:after="0" w:line="360" w:lineRule="auto"/>
        <w:ind w:firstLine="616" w:firstLineChars="200"/>
        <w:jc w:val="both"/>
        <w:rPr>
          <w:rFonts w:ascii="仿宋" w:hAnsi="仿宋" w:eastAsia="仿宋" w:cs="仿宋"/>
          <w:spacing w:val="-6"/>
          <w:kern w:val="0"/>
          <w:sz w:val="32"/>
          <w:szCs w:val="32"/>
          <w:highlight w:val="none"/>
          <w14:ligatures w14:val="none"/>
        </w:rPr>
      </w:pPr>
      <w:r>
        <w:rPr>
          <w:rFonts w:hint="eastAsia" w:ascii="仿宋" w:hAnsi="仿宋" w:eastAsia="仿宋" w:cs="仿宋"/>
          <w:spacing w:val="-6"/>
          <w:kern w:val="0"/>
          <w:sz w:val="32"/>
          <w:szCs w:val="32"/>
          <w:highlight w:val="none"/>
          <w14:ligatures w14:val="none"/>
        </w:rPr>
        <w:t>促进绿色产品消费。组织开展各类环保实践活动,全面推行绿色低碳的消费模式和生活方式。鼓励宾馆、饭店、景区推出绿色旅游、绿色消费措施，严格限制一次性用品、餐具使用。在机关、学校、商场、医院、酒店等场所全面推广使用节能、节水、环保、再生等绿色产品。加强对企业和居民采购绿色产品的引导，结合移动互联网和大数据技术，建立和完善绿色消费激励回馈机制。加强绿色产品和服务认证管理，完善认证机构信用监管机制，鼓励电商平台设立绿色产品销售专区。开展绿色生活绿色消费统计，定期发布城市和行业绿色消费报告。</w:t>
      </w:r>
    </w:p>
    <w:p>
      <w:pPr>
        <w:spacing w:after="0" w:line="360" w:lineRule="auto"/>
        <w:ind w:firstLine="616" w:firstLineChars="200"/>
        <w:jc w:val="both"/>
        <w:rPr>
          <w:rFonts w:ascii="仿宋" w:hAnsi="仿宋" w:eastAsia="仿宋" w:cs="仿宋"/>
          <w:spacing w:val="-6"/>
          <w:kern w:val="0"/>
          <w:sz w:val="32"/>
          <w:szCs w:val="32"/>
          <w:highlight w:val="none"/>
          <w14:ligatures w14:val="none"/>
        </w:rPr>
      </w:pPr>
      <w:r>
        <w:rPr>
          <w:rFonts w:hint="eastAsia" w:ascii="仿宋" w:hAnsi="仿宋" w:eastAsia="仿宋" w:cs="仿宋"/>
          <w:spacing w:val="-6"/>
          <w:kern w:val="0"/>
          <w:sz w:val="32"/>
          <w:szCs w:val="32"/>
          <w:highlight w:val="none"/>
          <w14:ligatures w14:val="none"/>
        </w:rPr>
        <w:t>倡导绿色低碳生活方式。加快推进节约型机关、绿色低碳社区、绿色学校建设，围绕衣、食、住、行、游等生活环节，加大绿色低碳商品供给。倡导民众积极参与绿色志愿服务，引导市民养成绿色低碳、文明健康的生活方式。加强生态文明宣传教育，强化公民环境意识，引导居民树立绿色增长、共建共享、低碳发展的理念，推动形成节约适度、绿色低碳、文明健康的生活方式和消费模式，形成全社会共同参与的良好风尚。</w:t>
      </w:r>
    </w:p>
    <w:p>
      <w:pPr>
        <w:spacing w:line="360" w:lineRule="auto"/>
        <w:ind w:firstLine="619" w:firstLineChars="200"/>
        <w:rPr>
          <w:rFonts w:ascii="仿宋" w:hAnsi="仿宋" w:eastAsia="仿宋" w:cs="仿宋"/>
          <w:b/>
          <w:bCs/>
          <w:spacing w:val="-6"/>
          <w:kern w:val="0"/>
          <w:sz w:val="32"/>
          <w:szCs w:val="32"/>
          <w:highlight w:val="none"/>
          <w14:ligatures w14:val="none"/>
        </w:rPr>
      </w:pPr>
      <w:r>
        <w:rPr>
          <w:rFonts w:hint="eastAsia" w:ascii="仿宋" w:hAnsi="仿宋" w:eastAsia="仿宋" w:cs="仿宋"/>
          <w:b/>
          <w:bCs/>
          <w:spacing w:val="-6"/>
          <w:kern w:val="0"/>
          <w:sz w:val="32"/>
          <w:szCs w:val="32"/>
          <w:highlight w:val="none"/>
          <w14:ligatures w14:val="none"/>
        </w:rPr>
        <w:t>2.持续提升优化人居环境</w:t>
      </w:r>
    </w:p>
    <w:p>
      <w:pPr>
        <w:spacing w:after="0" w:line="360" w:lineRule="auto"/>
        <w:ind w:firstLine="538" w:firstLineChars="200"/>
        <w:rPr>
          <w:rFonts w:ascii="宋体" w:hAnsi="宋体" w:eastAsia="宋体" w:cs="Times New Roman"/>
          <w:b/>
          <w:bCs/>
          <w:spacing w:val="-6"/>
          <w:kern w:val="0"/>
          <w:sz w:val="28"/>
          <w:highlight w:val="none"/>
          <w14:ligatures w14:val="none"/>
        </w:rPr>
      </w:pPr>
      <w:r>
        <w:rPr>
          <w:rFonts w:hint="eastAsia" w:ascii="宋体" w:hAnsi="宋体" w:eastAsia="宋体" w:cs="Times New Roman"/>
          <w:b/>
          <w:bCs/>
          <w:spacing w:val="-6"/>
          <w:kern w:val="0"/>
          <w:sz w:val="28"/>
          <w:highlight w:val="none"/>
          <w14:ligatures w14:val="none"/>
        </w:rPr>
        <w:t>（1）推进生态城市建设</w:t>
      </w:r>
    </w:p>
    <w:p>
      <w:pPr>
        <w:spacing w:after="0" w:line="360" w:lineRule="auto"/>
        <w:ind w:firstLine="616" w:firstLineChars="200"/>
        <w:jc w:val="both"/>
        <w:rPr>
          <w:rFonts w:ascii="仿宋" w:hAnsi="仿宋" w:eastAsia="仿宋" w:cs="仿宋"/>
          <w:spacing w:val="-6"/>
          <w:kern w:val="0"/>
          <w:sz w:val="32"/>
          <w:szCs w:val="32"/>
          <w:highlight w:val="none"/>
          <w14:ligatures w14:val="none"/>
        </w:rPr>
      </w:pPr>
      <w:r>
        <w:rPr>
          <w:rFonts w:hint="eastAsia" w:ascii="仿宋" w:hAnsi="仿宋" w:eastAsia="仿宋" w:cs="仿宋"/>
          <w:spacing w:val="-6"/>
          <w:kern w:val="0"/>
          <w:sz w:val="32"/>
          <w:szCs w:val="32"/>
          <w:highlight w:val="none"/>
          <w14:ligatures w14:val="none"/>
        </w:rPr>
        <w:t>践行“无废城市”理念。深入推进生活垃圾分类，严格生活垃圾分类收集，建立生活垃圾分类管理工作综合协调机制。完善垃圾分类标识体系，健全垃圾分类奖励制度。集中开展生活垃圾中转站或转运站改造提升行动，做好厨余垃圾、有害垃圾和其他垃圾的分类转运、分区管理。加快推进厨余垃圾收集转运体系建设。深入推进生活垃圾分类体系与再生资源回收利用体系“两网融合”。健全生活垃圾源头减量、分类投放、分类收集、分类运输、分类处理和资源化利用的“全链条”分类体系，不断提高生活垃圾减量化、资源化、无害化处理水平。</w:t>
      </w:r>
    </w:p>
    <w:p>
      <w:pPr>
        <w:spacing w:after="0" w:line="360" w:lineRule="auto"/>
        <w:ind w:firstLine="616" w:firstLineChars="200"/>
        <w:jc w:val="both"/>
        <w:rPr>
          <w:rFonts w:ascii="仿宋" w:hAnsi="仿宋" w:eastAsia="仿宋" w:cs="仿宋"/>
          <w:spacing w:val="-6"/>
          <w:kern w:val="0"/>
          <w:sz w:val="32"/>
          <w:szCs w:val="32"/>
          <w:highlight w:val="none"/>
          <w14:ligatures w14:val="none"/>
        </w:rPr>
      </w:pPr>
      <w:r>
        <w:rPr>
          <w:rFonts w:hint="eastAsia" w:ascii="仿宋" w:hAnsi="仿宋" w:eastAsia="仿宋" w:cs="仿宋"/>
          <w:spacing w:val="-6"/>
          <w:kern w:val="0"/>
          <w:sz w:val="32"/>
          <w:szCs w:val="32"/>
          <w:highlight w:val="none"/>
          <w14:ligatures w14:val="none"/>
        </w:rPr>
        <w:t>推进海绵城市建设。全面普及海绵城市建设理念，在各类建筑小区、水系治理、道路广场、景观绿化等项目建设中严格落实海绵城市理念，推进城区海绵城市建设。鼓励推进新建公共设施，增加雨水渗透、净化和收集利用设施。对非机动车道、地面停车场采用透水性铺装，增加雨水自然渗透空间。公共建筑、保障性住房和棚户区改造项目要率先落实海绵城市的要求。</w:t>
      </w:r>
    </w:p>
    <w:p>
      <w:pPr>
        <w:spacing w:after="0" w:line="360" w:lineRule="auto"/>
        <w:ind w:firstLine="616" w:firstLineChars="200"/>
        <w:jc w:val="both"/>
        <w:rPr>
          <w:rFonts w:ascii="仿宋" w:hAnsi="仿宋" w:eastAsia="仿宋" w:cs="仿宋"/>
          <w:spacing w:val="-6"/>
          <w:kern w:val="0"/>
          <w:sz w:val="32"/>
          <w:szCs w:val="32"/>
          <w:highlight w:val="none"/>
          <w14:ligatures w14:val="none"/>
        </w:rPr>
      </w:pPr>
      <w:r>
        <w:rPr>
          <w:rFonts w:hint="eastAsia" w:ascii="仿宋" w:hAnsi="仿宋" w:eastAsia="仿宋" w:cs="仿宋"/>
          <w:spacing w:val="-6"/>
          <w:kern w:val="0"/>
          <w:sz w:val="32"/>
          <w:szCs w:val="32"/>
          <w:highlight w:val="none"/>
          <w14:ligatures w14:val="none"/>
        </w:rPr>
        <w:t>推动绿色建筑高质量发展。大力发展绿色建筑、装配式建筑，加快推进全县新型建筑工业化全产业链发展。城镇新建民用建筑全面执行绿色建筑标准，政府投资或者以政府投资为主的公共建筑以及其他大型公共建筑，按照二星级以上绿色建筑标准建设，超高层建筑全部执行三星级绿色建筑标准。鼓励引导开展星级绿色建筑规模化建设，推动超低能耗建筑、产能建筑、零碳建筑（社区）建设试点示范，推动绿色建筑高质量集约发展。</w:t>
      </w:r>
    </w:p>
    <w:p>
      <w:pPr>
        <w:spacing w:after="0" w:line="360" w:lineRule="auto"/>
        <w:ind w:firstLine="616" w:firstLineChars="200"/>
        <w:jc w:val="both"/>
        <w:rPr>
          <w:rFonts w:ascii="仿宋" w:hAnsi="仿宋" w:eastAsia="仿宋" w:cs="仿宋"/>
          <w:spacing w:val="-6"/>
          <w:kern w:val="0"/>
          <w:sz w:val="32"/>
          <w:szCs w:val="32"/>
          <w:highlight w:val="none"/>
          <w14:ligatures w14:val="none"/>
        </w:rPr>
      </w:pPr>
      <w:r>
        <w:rPr>
          <w:rFonts w:hint="eastAsia" w:ascii="仿宋" w:hAnsi="仿宋" w:eastAsia="仿宋" w:cs="仿宋"/>
          <w:spacing w:val="-6"/>
          <w:kern w:val="0"/>
          <w:sz w:val="32"/>
          <w:szCs w:val="32"/>
          <w:highlight w:val="none"/>
          <w14:ligatures w14:val="none"/>
        </w:rPr>
        <w:t>倡导绿色交通。加快构建绿色出行体系建设，不断完善公共交通基础设施建设，建立布局合理、设施完善、换乘舒适、衔接顺畅的公共交通站场体系。推动城市慢行交通系统建设，逐步完善步行道、绿道体系。推广网约车、共享自行车等共享经济发展模式。鼓励引导市民选择公交、共享单车、新能源或节能型车辆、步行等绿色出行方式。</w:t>
      </w:r>
    </w:p>
    <w:p>
      <w:pPr>
        <w:spacing w:line="360" w:lineRule="auto"/>
        <w:ind w:firstLine="619" w:firstLineChars="200"/>
        <w:rPr>
          <w:rFonts w:ascii="仿宋" w:hAnsi="仿宋" w:eastAsia="仿宋" w:cs="仿宋"/>
          <w:b/>
          <w:bCs/>
          <w:spacing w:val="-6"/>
          <w:kern w:val="0"/>
          <w:sz w:val="32"/>
          <w:szCs w:val="32"/>
          <w:highlight w:val="none"/>
          <w14:ligatures w14:val="none"/>
        </w:rPr>
      </w:pPr>
      <w:r>
        <w:rPr>
          <w:rFonts w:hint="eastAsia" w:ascii="仿宋" w:hAnsi="仿宋" w:eastAsia="仿宋" w:cs="仿宋"/>
          <w:b/>
          <w:bCs/>
          <w:spacing w:val="-6"/>
          <w:kern w:val="0"/>
          <w:sz w:val="32"/>
          <w:szCs w:val="32"/>
          <w:highlight w:val="none"/>
          <w14:ligatures w14:val="none"/>
        </w:rPr>
        <w:t>（2）打造生态宜居美丽乡村</w:t>
      </w:r>
    </w:p>
    <w:p>
      <w:pPr>
        <w:spacing w:after="0" w:line="360" w:lineRule="auto"/>
        <w:ind w:firstLine="616" w:firstLineChars="200"/>
        <w:jc w:val="both"/>
        <w:rPr>
          <w:rFonts w:ascii="仿宋" w:hAnsi="仿宋" w:eastAsia="仿宋" w:cs="仿宋"/>
          <w:spacing w:val="-6"/>
          <w:kern w:val="0"/>
          <w:sz w:val="32"/>
          <w:szCs w:val="32"/>
          <w:highlight w:val="none"/>
          <w14:ligatures w14:val="none"/>
        </w:rPr>
      </w:pPr>
      <w:r>
        <w:rPr>
          <w:rFonts w:hint="eastAsia" w:ascii="仿宋" w:hAnsi="仿宋" w:eastAsia="仿宋" w:cs="仿宋"/>
          <w:spacing w:val="-6"/>
          <w:kern w:val="0"/>
          <w:sz w:val="32"/>
          <w:szCs w:val="32"/>
          <w:highlight w:val="none"/>
          <w14:ligatures w14:val="none"/>
        </w:rPr>
        <w:t>开展农村环境综合整治，加大村庄硬化、绿化、美化、净化、亮化力度，提升农村公共服务功能，梯次推进环境整洁村、生态文明村、美丽乡村示范片区建设。深入开展村庄清洁行动，实现村庄公共空间及庭院房屋、村庄周边干净整洁。实施村庄绿化工程，绿化本着乔、灌、草结合，实现三季有花、四季常青的目标，乡土树种为主，常绿、开花植物相辅的原则进行行规划设计，确保绿化、美化效果。突出特有的资源禀赋条件，结合古村落保护、文化传承、乡村旅游等特色，围绕山区景观、丘陵风貌、平原风光、滨河（湖）生态美丽乡村示范带，建设其有泗水特色的美丽乡村示范片区。</w:t>
      </w:r>
    </w:p>
    <w:p>
      <w:pPr>
        <w:spacing w:after="0" w:line="360" w:lineRule="auto"/>
        <w:ind w:firstLine="538" w:firstLineChars="200"/>
        <w:rPr>
          <w:rFonts w:ascii="宋体" w:hAnsi="宋体" w:eastAsia="宋体" w:cs="Times New Roman"/>
          <w:b/>
          <w:bCs/>
          <w:spacing w:val="-6"/>
          <w:kern w:val="0"/>
          <w:sz w:val="28"/>
          <w:highlight w:val="none"/>
          <w14:ligatures w14:val="none"/>
        </w:rPr>
      </w:pPr>
      <w:r>
        <w:rPr>
          <w:rFonts w:hint="eastAsia" w:ascii="宋体" w:hAnsi="宋体" w:eastAsia="宋体" w:cs="Times New Roman"/>
          <w:b/>
          <w:bCs/>
          <w:spacing w:val="-6"/>
          <w:kern w:val="0"/>
          <w:sz w:val="28"/>
          <w:highlight w:val="none"/>
          <w14:ligatures w14:val="none"/>
        </w:rPr>
        <w:t>（3）深化城乡人居环境综合整治</w:t>
      </w:r>
    </w:p>
    <w:p>
      <w:pPr>
        <w:spacing w:after="0" w:line="360" w:lineRule="auto"/>
        <w:ind w:firstLine="616" w:firstLineChars="200"/>
        <w:jc w:val="both"/>
        <w:rPr>
          <w:rFonts w:ascii="仿宋" w:hAnsi="仿宋" w:eastAsia="仿宋" w:cs="仿宋"/>
          <w:spacing w:val="-6"/>
          <w:kern w:val="0"/>
          <w:sz w:val="32"/>
          <w:szCs w:val="32"/>
          <w:highlight w:val="none"/>
          <w14:ligatures w14:val="none"/>
        </w:rPr>
      </w:pPr>
      <w:r>
        <w:rPr>
          <w:rFonts w:hint="eastAsia" w:ascii="仿宋" w:hAnsi="仿宋" w:eastAsia="仿宋" w:cs="仿宋"/>
          <w:spacing w:val="-6"/>
          <w:kern w:val="0"/>
          <w:sz w:val="32"/>
          <w:szCs w:val="32"/>
          <w:highlight w:val="none"/>
          <w14:ligatures w14:val="none"/>
        </w:rPr>
        <w:t>强化餐饮油烟污染治理。排放油烟的餐饮服务业经营者应当安装油烟净化设施并保持正常使用，或者采取其他油烟净化措施，使油烟达标排放，并防止对附近居民的正常生活环境造成污染。禁止在居民住宅楼、未配套设立专用烟道的商住综合楼以及商住综合楼内与居住层相邻的商业楼层内新建、改建、扩建产生油烟、异味、废气的餐饮服务项目。</w:t>
      </w:r>
    </w:p>
    <w:p>
      <w:pPr>
        <w:spacing w:after="0" w:line="360" w:lineRule="auto"/>
        <w:ind w:firstLine="616" w:firstLineChars="200"/>
        <w:jc w:val="both"/>
        <w:rPr>
          <w:rFonts w:ascii="仿宋" w:hAnsi="仿宋" w:eastAsia="仿宋" w:cs="仿宋"/>
          <w:spacing w:val="-6"/>
          <w:kern w:val="0"/>
          <w:sz w:val="32"/>
          <w:szCs w:val="32"/>
          <w:highlight w:val="none"/>
          <w14:ligatures w14:val="none"/>
        </w:rPr>
      </w:pPr>
      <w:r>
        <w:rPr>
          <w:rFonts w:hint="eastAsia" w:ascii="仿宋" w:hAnsi="仿宋" w:eastAsia="仿宋" w:cs="仿宋"/>
          <w:spacing w:val="-6"/>
          <w:kern w:val="0"/>
          <w:sz w:val="32"/>
          <w:szCs w:val="32"/>
          <w:highlight w:val="none"/>
          <w14:ligatures w14:val="none"/>
        </w:rPr>
        <w:t>加强农业农村污染防治。启动实施村庄基础设施建设工程，重点实施农村生活污水治理、生活垃圾处置再利用。持续开展农村改厕、垃圾分类，全面推行农村区域化集中供水、生活污水集中治理等行动。优先整治泗河沿线、集中式饮用水水源地、自然保护区等环境敏感区域内的生活污水形成径流的村庄。按照城（厂）边接管，就近联建，鼓励独建的原则，将靠近城市周边村镇的污水，纳入城市污水厂集中处理，鼓励有条件的镇村建设小型污水处理设施，提倡相邻乡镇联合建设污水处理厂，实现区域统筹，共建共享。坚持试点示范、稳步推进的原则，递次推进农村生活污水治理。鼓励“分类投放、村收集、镇运输、县处理、发电厂集中焚烧”生活垃圾处理模式。推进农村气代煤、电代煤、生物质、清洁煤等冬季清洁取暖工程。</w:t>
      </w:r>
    </w:p>
    <w:p>
      <w:pPr>
        <w:spacing w:after="0" w:line="360" w:lineRule="auto"/>
        <w:ind w:firstLine="616" w:firstLineChars="200"/>
        <w:jc w:val="both"/>
        <w:rPr>
          <w:rFonts w:ascii="仿宋" w:hAnsi="仿宋" w:eastAsia="仿宋" w:cs="仿宋"/>
          <w:spacing w:val="-6"/>
          <w:kern w:val="0"/>
          <w:sz w:val="32"/>
          <w:szCs w:val="32"/>
          <w:highlight w:val="none"/>
          <w14:ligatures w14:val="none"/>
        </w:rPr>
      </w:pPr>
      <w:r>
        <w:rPr>
          <w:rFonts w:hint="eastAsia" w:ascii="仿宋" w:hAnsi="仿宋" w:eastAsia="仿宋" w:cs="仿宋"/>
          <w:spacing w:val="-6"/>
          <w:kern w:val="0"/>
          <w:sz w:val="32"/>
          <w:szCs w:val="32"/>
          <w:highlight w:val="none"/>
          <w14:ligatures w14:val="none"/>
        </w:rPr>
        <w:t>加强农业面源污染防治。继续推进全县化肥减量使用行动，大力推广测土配方施肥和水肥一体化技术，指导做好化肥减量增效。大力推广以农业防治、物理防治、生物防治为主的绿色防控技术，预防病虫害发生，减少施药次数，扶持植保专业合作社开展病虫害规范化统防统治，提高防治效果，不断推进农药减量增效。实施畜禽粪污资源化利用项目，实施标准化养殖场创建，培育建设一批以畜禽粪便为原料的有机肥生产主体项目。大力推进秸秆粉碎还田利用、秸秆过腹还田利用、秸秆能源化利用、秸秆基料化利用，鼓励开展秸秆肥还田、积极开辟秸秆利用新渠道、支持建立发展秸秆收集储运体系。</w:t>
      </w:r>
    </w:p>
    <w:p>
      <w:pPr>
        <w:spacing w:line="360" w:lineRule="auto"/>
        <w:ind w:firstLine="538" w:firstLineChars="200"/>
        <w:rPr>
          <w:highlight w:val="none"/>
        </w:rPr>
      </w:pPr>
      <w:r>
        <w:rPr>
          <w:rFonts w:hint="eastAsia" w:ascii="宋体" w:hAnsi="宋体" w:eastAsia="宋体" w:cs="Times New Roman"/>
          <w:b/>
          <w:bCs/>
          <w:spacing w:val="-6"/>
          <w:kern w:val="0"/>
          <w:sz w:val="28"/>
          <w:highlight w:val="none"/>
          <w14:ligatures w14:val="none"/>
        </w:rPr>
        <w:t>3.加强生态环境基础设施建设</w:t>
      </w:r>
    </w:p>
    <w:p>
      <w:pPr>
        <w:spacing w:after="0" w:line="360" w:lineRule="auto"/>
        <w:ind w:firstLine="616" w:firstLineChars="200"/>
        <w:jc w:val="both"/>
        <w:rPr>
          <w:rFonts w:ascii="仿宋" w:hAnsi="仿宋" w:eastAsia="仿宋" w:cs="仿宋"/>
          <w:spacing w:val="-6"/>
          <w:kern w:val="0"/>
          <w:sz w:val="32"/>
          <w:szCs w:val="32"/>
          <w:highlight w:val="none"/>
          <w14:ligatures w14:val="none"/>
        </w:rPr>
      </w:pPr>
      <w:r>
        <w:rPr>
          <w:rFonts w:hint="eastAsia" w:ascii="仿宋" w:hAnsi="仿宋" w:eastAsia="仿宋" w:cs="仿宋"/>
          <w:spacing w:val="-6"/>
          <w:kern w:val="0"/>
          <w:sz w:val="32"/>
          <w:szCs w:val="32"/>
          <w:highlight w:val="none"/>
          <w14:ligatures w14:val="none"/>
        </w:rPr>
        <w:t>完善城市配套设施。推动主城区市政道路改造提升，打通“断头路”，建成快速路、主干道、次干路和支路搭配合理的路网系统。加大供水管网敷设力度，建成区供水管道密度达到10公里/平方公里。实施城区雨污水管网分流、泵站升级和老旧污水管道改造工程，到2025年，改造城区老旧雨污水管网10公里。新建垃圾中转站3座，更新城区垃圾收集设施，实施垃圾分类处理。优化城市绿地布局结构，提高常绿植物种植比例，增加立体绿化。打造城市水系景观，利用组团绿带、楔形绿地、口袋绿地，结合泗河、济河、玉沟河生态走廊，在各组团间建设隔离景观绿带。打造城市景观大道，构建城区绿道路网体系，连接公园绿地，形成城区组团式绿化格局。</w:t>
      </w:r>
    </w:p>
    <w:p>
      <w:pPr>
        <w:spacing w:after="0" w:line="360" w:lineRule="auto"/>
        <w:ind w:firstLine="616" w:firstLineChars="200"/>
        <w:jc w:val="both"/>
        <w:rPr>
          <w:rFonts w:ascii="仿宋" w:hAnsi="仿宋" w:eastAsia="仿宋" w:cs="仿宋"/>
          <w:spacing w:val="-6"/>
          <w:kern w:val="0"/>
          <w:sz w:val="32"/>
          <w:szCs w:val="32"/>
          <w:highlight w:val="none"/>
          <w14:ligatures w14:val="none"/>
        </w:rPr>
      </w:pPr>
      <w:r>
        <w:rPr>
          <w:rFonts w:hint="eastAsia" w:ascii="仿宋" w:hAnsi="仿宋" w:eastAsia="仿宋" w:cs="仿宋"/>
          <w:spacing w:val="-6"/>
          <w:kern w:val="0"/>
          <w:sz w:val="32"/>
          <w:szCs w:val="32"/>
          <w:highlight w:val="none"/>
          <w14:ligatures w14:val="none"/>
        </w:rPr>
        <w:t>加强城市精细化管理。坚持用“绣花”功夫管理城市，强化城市规范化、精细化和智慧化管理。积极探索运用新理念、新技术，引领市政基础设施向集约、智能、绿色、低碳方向发展。强化城市管理，建设智慧城市、数字化城市，提高信息化管理水平，实现城市公共设施的数字化、影像化、可视化、智能化、网格化和精细化。改善城市市容环境，集中整治户外广告，改善城市公共照明系统，靓化城市形象。</w:t>
      </w:r>
    </w:p>
    <w:p>
      <w:pPr>
        <w:spacing w:after="0" w:line="360" w:lineRule="auto"/>
        <w:ind w:firstLine="616" w:firstLineChars="200"/>
        <w:jc w:val="both"/>
        <w:rPr>
          <w:rFonts w:ascii="仿宋" w:hAnsi="仿宋" w:eastAsia="仿宋" w:cs="仿宋"/>
          <w:spacing w:val="-6"/>
          <w:kern w:val="0"/>
          <w:sz w:val="32"/>
          <w:szCs w:val="32"/>
          <w:highlight w:val="none"/>
          <w14:ligatures w14:val="none"/>
        </w:rPr>
      </w:pPr>
      <w:r>
        <w:rPr>
          <w:rFonts w:hint="eastAsia" w:ascii="仿宋" w:hAnsi="仿宋" w:eastAsia="仿宋" w:cs="仿宋"/>
          <w:spacing w:val="-6"/>
          <w:kern w:val="0"/>
          <w:sz w:val="32"/>
          <w:szCs w:val="32"/>
          <w:highlight w:val="none"/>
          <w14:ligatures w14:val="none"/>
        </w:rPr>
        <w:t>提升园区承载能力。完善园区配套设施，推动实施“西扩南延”，按照“九通一平”标准，进一步完善园区道路、供水、雨水、污水、电力及蒸汽管网等基础设施。</w:t>
      </w:r>
    </w:p>
    <w:p>
      <w:pPr>
        <w:pStyle w:val="3"/>
        <w:widowControl w:val="0"/>
        <w:spacing w:line="240" w:lineRule="auto"/>
        <w:ind w:firstLine="643"/>
        <w:rPr>
          <w:rFonts w:ascii="楷体" w:hAnsi="楷体" w:eastAsia="楷体" w:cs="楷体"/>
          <w:kern w:val="2"/>
          <w:highlight w:val="none"/>
        </w:rPr>
      </w:pPr>
      <w:bookmarkStart w:id="24" w:name="_Toc24264"/>
      <w:r>
        <w:rPr>
          <w:rFonts w:hint="eastAsia" w:ascii="楷体" w:hAnsi="楷体" w:eastAsia="楷体" w:cs="楷体"/>
          <w:kern w:val="2"/>
          <w:highlight w:val="none"/>
        </w:rPr>
        <w:t>（六）厚植生态文明理念，擦亮文旅创新名片</w:t>
      </w:r>
      <w:bookmarkEnd w:id="24"/>
    </w:p>
    <w:p>
      <w:pPr>
        <w:spacing w:line="360" w:lineRule="auto"/>
        <w:ind w:firstLine="619" w:firstLineChars="200"/>
        <w:rPr>
          <w:rFonts w:ascii="仿宋" w:hAnsi="仿宋" w:eastAsia="仿宋" w:cs="仿宋"/>
          <w:b/>
          <w:bCs/>
          <w:spacing w:val="-6"/>
          <w:kern w:val="0"/>
          <w:sz w:val="32"/>
          <w:szCs w:val="32"/>
          <w:highlight w:val="none"/>
          <w14:ligatures w14:val="none"/>
        </w:rPr>
      </w:pPr>
      <w:r>
        <w:rPr>
          <w:rFonts w:hint="eastAsia" w:ascii="仿宋" w:hAnsi="仿宋" w:eastAsia="仿宋" w:cs="仿宋"/>
          <w:b/>
          <w:bCs/>
          <w:spacing w:val="-6"/>
          <w:kern w:val="0"/>
          <w:sz w:val="32"/>
          <w:szCs w:val="32"/>
          <w:highlight w:val="none"/>
          <w14:ligatures w14:val="none"/>
        </w:rPr>
        <w:t>1.推进传统文化传承发展</w:t>
      </w:r>
    </w:p>
    <w:p>
      <w:pPr>
        <w:spacing w:after="0" w:line="360" w:lineRule="auto"/>
        <w:ind w:firstLine="616" w:firstLineChars="200"/>
        <w:jc w:val="both"/>
        <w:rPr>
          <w:highlight w:val="none"/>
        </w:rPr>
      </w:pPr>
      <w:r>
        <w:rPr>
          <w:rFonts w:hint="eastAsia" w:ascii="仿宋" w:hAnsi="仿宋" w:eastAsia="仿宋" w:cs="仿宋"/>
          <w:spacing w:val="-6"/>
          <w:kern w:val="0"/>
          <w:sz w:val="32"/>
          <w:szCs w:val="32"/>
          <w:highlight w:val="none"/>
          <w14:ligatures w14:val="none"/>
        </w:rPr>
        <w:t>传承发展优秀传统文化。分挖掘整理传统历史文化，弘扬优秀传统文化，加快建设“文明摇篮·圣源泗水”，打造国家级优秀传统文化传承发展示范区。抓住列入曲阜优秀传统文化传承发展示范区核心区和尼山世界儒学中心机遇，主动融入孔孟文化轴、泗河文化带等市级层面规划布局，推动圣水峪镇对接尼山圣境、龙凤幽谷对接曲阜国际慢城。重点以尼山圣源书院和尼山世界文明论坛为依托，挖掘“圣源文化”，讲好“泗水故事”，办好“儒学讲堂”，常态化举办文化普及教育、文化传承系列活动，建设优秀传统文化“两创”先行区。打造品牌文化活动，发展泗河文化、陶土文化、砭石文化及仲子文化，增强儒陶、鲁柘砚、砭石和核雕等文化遗产的传承活力，积极筹办泗河文化节、砭石文化节等节庆活动。深入挖掘李白、仲子等历史文化资源，擦亮“中国楹联文化县”“齐鲁诗词之乡”等文化品牌。到 2025年，优秀传统文化传承发展体系基本形成，具有泗水特色的文化产品更加丰富，在中华优秀传统文化传承发展中的示范引领作用凸显。</w:t>
      </w:r>
    </w:p>
    <w:p>
      <w:pPr>
        <w:spacing w:line="360" w:lineRule="auto"/>
        <w:ind w:firstLine="619" w:firstLineChars="200"/>
        <w:rPr>
          <w:rFonts w:ascii="仿宋" w:hAnsi="仿宋" w:eastAsia="仿宋" w:cs="仿宋"/>
          <w:b/>
          <w:bCs/>
          <w:spacing w:val="-6"/>
          <w:kern w:val="0"/>
          <w:sz w:val="32"/>
          <w:szCs w:val="32"/>
          <w:highlight w:val="none"/>
          <w14:ligatures w14:val="none"/>
        </w:rPr>
      </w:pPr>
      <w:r>
        <w:rPr>
          <w:rFonts w:hint="eastAsia" w:ascii="仿宋" w:hAnsi="仿宋" w:eastAsia="仿宋" w:cs="仿宋"/>
          <w:b/>
          <w:bCs/>
          <w:spacing w:val="-6"/>
          <w:kern w:val="0"/>
          <w:sz w:val="32"/>
          <w:szCs w:val="32"/>
          <w:highlight w:val="none"/>
          <w14:ligatures w14:val="none"/>
        </w:rPr>
        <w:t>2.深化生态文明宣传教育</w:t>
      </w:r>
    </w:p>
    <w:p>
      <w:pPr>
        <w:spacing w:after="0" w:line="360" w:lineRule="auto"/>
        <w:ind w:firstLine="616" w:firstLineChars="200"/>
        <w:jc w:val="both"/>
        <w:rPr>
          <w:rFonts w:ascii="仿宋" w:hAnsi="仿宋" w:eastAsia="仿宋" w:cs="仿宋"/>
          <w:spacing w:val="-6"/>
          <w:kern w:val="0"/>
          <w:sz w:val="32"/>
          <w:szCs w:val="32"/>
          <w:highlight w:val="none"/>
          <w14:ligatures w14:val="none"/>
        </w:rPr>
      </w:pPr>
      <w:r>
        <w:rPr>
          <w:rFonts w:hint="eastAsia" w:ascii="仿宋" w:hAnsi="仿宋" w:eastAsia="仿宋" w:cs="仿宋"/>
          <w:spacing w:val="-6"/>
          <w:kern w:val="0"/>
          <w:sz w:val="32"/>
          <w:szCs w:val="32"/>
          <w:highlight w:val="none"/>
          <w14:ligatures w14:val="none"/>
        </w:rPr>
        <w:t>加强生态文明宣传教育。完善生态文明教育体系，健全生态文明教育网络，加强全民生态教育，把生态文明教育纳入各类教育活动中，全方位、多层次开展生态教育，将生态文明的思想渗透到全社会，营造生态文明社会氛围。将生态文明纳入国民教育体系和党政领导干部培训体系。对各级学校教师进行生态文明业务培训，组织实施“生态文明理念与常识”专题辅导、生态文明报告讲座、深入生态文明教育基地等多种形势，提高教师生态文明意识，将生态文明教学理念深入至日常教学工作中。创新生态环境保护培训方式，以警示片、守法考试、网上答题等为载体，加大危险废物环境管理、排污许可等培训力度，提高环境管理和排污企业相关人员的业务水平和法律意识。充分利用报纸、电视、网络、社交平台和数字媒介等各类媒体，加大生态文明宣传力度，激励公众积极参与生态环境保护和建设。定期开展生态文明知识竞赛活动，弘扬和传播生态文化。</w:t>
      </w:r>
    </w:p>
    <w:p>
      <w:pPr>
        <w:spacing w:line="360" w:lineRule="auto"/>
        <w:ind w:firstLine="619" w:firstLineChars="200"/>
        <w:rPr>
          <w:rFonts w:ascii="仿宋" w:hAnsi="仿宋" w:eastAsia="仿宋" w:cs="仿宋"/>
          <w:b/>
          <w:bCs/>
          <w:spacing w:val="-6"/>
          <w:kern w:val="0"/>
          <w:sz w:val="32"/>
          <w:szCs w:val="32"/>
          <w:highlight w:val="none"/>
          <w14:ligatures w14:val="none"/>
        </w:rPr>
      </w:pPr>
      <w:r>
        <w:rPr>
          <w:rFonts w:hint="eastAsia" w:ascii="仿宋" w:hAnsi="仿宋" w:eastAsia="仿宋" w:cs="仿宋"/>
          <w:b/>
          <w:bCs/>
          <w:spacing w:val="-6"/>
          <w:kern w:val="0"/>
          <w:sz w:val="32"/>
          <w:szCs w:val="32"/>
          <w:highlight w:val="none"/>
          <w14:ligatures w14:val="none"/>
        </w:rPr>
        <w:t>3.加强生态文明建设全动员</w:t>
      </w:r>
    </w:p>
    <w:p>
      <w:pPr>
        <w:spacing w:after="0" w:line="360" w:lineRule="auto"/>
        <w:ind w:firstLine="616" w:firstLineChars="200"/>
        <w:jc w:val="both"/>
        <w:rPr>
          <w:highlight w:val="none"/>
        </w:rPr>
      </w:pPr>
      <w:r>
        <w:rPr>
          <w:rFonts w:hint="eastAsia" w:ascii="仿宋" w:hAnsi="仿宋" w:eastAsia="仿宋" w:cs="仿宋"/>
          <w:spacing w:val="-6"/>
          <w:kern w:val="0"/>
          <w:sz w:val="32"/>
          <w:szCs w:val="32"/>
          <w:highlight w:val="none"/>
          <w14:ligatures w14:val="none"/>
        </w:rPr>
        <w:t>推动全民参与生态文明建设。推动党政机关厉行勤俭节约、反对铺张浪费，健全节约能源资源管理制度，提高能源资源利用效率，推行绿色办公，加大绿色采购力度，优先选择绿色出行，全面实行垃圾分类，引导党政机关干部职工践行简约适度、绿色低碳的工作与生活方式。动员和引导企业积极参与生态价值理念和生态文化传播，主动履行企业环境社会责任，不断探索创新绿色发展商业模式。强化企业环境主体责任意识，发挥企业在社会治理体系中的重要作用，排污企业应依法向社会公开污染物排放相关信息、环境年报和企业社会责任报告。广泛发展生态环保志愿服务项目和志愿者队伍。加大对环保社会组织的引导、支持和培育力度，推动环保社会组织提供环保公益性服务更加规范化、制度化、法制化、科学化，提升社会组织参与现代环境治理的能力和水平。借助媒体宣传、政策导向，强化公众参与主体意识。推进信访投诉工作机制改革，完善公众监督和举报反馈机制，利用信、访、网、电、微等方式畅通环保监督渠道。</w:t>
      </w:r>
    </w:p>
    <w:p>
      <w:pPr>
        <w:pStyle w:val="2"/>
        <w:widowControl w:val="0"/>
        <w:ind w:firstLine="643"/>
        <w:jc w:val="both"/>
        <w:rPr>
          <w:highlight w:val="none"/>
        </w:rPr>
      </w:pPr>
      <w:bookmarkStart w:id="25" w:name="_Toc13238"/>
      <w:r>
        <w:rPr>
          <w:rFonts w:hint="eastAsia"/>
          <w:highlight w:val="none"/>
        </w:rPr>
        <w:t>五、重点工程与效益分析</w:t>
      </w:r>
      <w:bookmarkEnd w:id="25"/>
    </w:p>
    <w:p>
      <w:pPr>
        <w:pStyle w:val="3"/>
        <w:widowControl w:val="0"/>
        <w:spacing w:line="240" w:lineRule="auto"/>
        <w:ind w:firstLine="643"/>
        <w:rPr>
          <w:rFonts w:ascii="楷体" w:hAnsi="楷体" w:eastAsia="楷体" w:cs="楷体"/>
          <w:kern w:val="2"/>
          <w:highlight w:val="none"/>
        </w:rPr>
      </w:pPr>
      <w:bookmarkStart w:id="26" w:name="_Toc32009"/>
      <w:r>
        <w:rPr>
          <w:rFonts w:hint="eastAsia" w:ascii="楷体" w:hAnsi="楷体" w:eastAsia="楷体" w:cs="楷体"/>
          <w:kern w:val="2"/>
          <w:highlight w:val="none"/>
        </w:rPr>
        <w:t>（一）重点工程</w:t>
      </w:r>
      <w:bookmarkEnd w:id="26"/>
    </w:p>
    <w:p>
      <w:pPr>
        <w:spacing w:after="0" w:line="360" w:lineRule="auto"/>
        <w:ind w:firstLine="616" w:firstLineChars="200"/>
        <w:jc w:val="both"/>
        <w:rPr>
          <w:rFonts w:ascii="仿宋" w:hAnsi="仿宋" w:eastAsia="仿宋" w:cs="仿宋"/>
          <w:spacing w:val="-6"/>
          <w:kern w:val="0"/>
          <w:sz w:val="32"/>
          <w:szCs w:val="32"/>
          <w:highlight w:val="none"/>
          <w14:ligatures w14:val="none"/>
        </w:rPr>
      </w:pPr>
      <w:r>
        <w:rPr>
          <w:rFonts w:hint="eastAsia" w:ascii="仿宋" w:hAnsi="仿宋" w:eastAsia="仿宋" w:cs="仿宋"/>
          <w:spacing w:val="-6"/>
          <w:kern w:val="0"/>
          <w:sz w:val="32"/>
          <w:szCs w:val="32"/>
          <w:highlight w:val="none"/>
          <w14:ligatures w14:val="none"/>
        </w:rPr>
        <w:t>根据生态文明建设指标体系，结合泗水县实际，综合考虑规划目标和规划任务，规划实施28项重点工程项目，总投资约28.19亿元，详见附表。</w:t>
      </w:r>
    </w:p>
    <w:p>
      <w:pPr>
        <w:pStyle w:val="3"/>
        <w:widowControl w:val="0"/>
        <w:spacing w:line="240" w:lineRule="auto"/>
        <w:ind w:firstLine="643"/>
        <w:rPr>
          <w:rFonts w:ascii="楷体" w:hAnsi="楷体" w:eastAsia="楷体" w:cs="楷体"/>
          <w:kern w:val="2"/>
          <w:highlight w:val="none"/>
        </w:rPr>
      </w:pPr>
      <w:bookmarkStart w:id="27" w:name="_Toc19884"/>
      <w:r>
        <w:rPr>
          <w:rFonts w:hint="eastAsia" w:ascii="楷体" w:hAnsi="楷体" w:eastAsia="楷体" w:cs="楷体"/>
          <w:kern w:val="2"/>
          <w:highlight w:val="none"/>
        </w:rPr>
        <w:t>（二）效益分析</w:t>
      </w:r>
      <w:bookmarkEnd w:id="27"/>
    </w:p>
    <w:p>
      <w:pPr>
        <w:spacing w:after="0" w:line="360" w:lineRule="auto"/>
        <w:ind w:firstLine="619" w:firstLineChars="200"/>
        <w:rPr>
          <w:rFonts w:ascii="宋体" w:hAnsi="宋体" w:eastAsia="宋体"/>
          <w:color w:val="333333"/>
          <w:sz w:val="25"/>
          <w:szCs w:val="25"/>
          <w:highlight w:val="none"/>
          <w:shd w:val="clear" w:color="auto" w:fill="FFFFFF"/>
        </w:rPr>
      </w:pPr>
      <w:r>
        <w:rPr>
          <w:rFonts w:hint="eastAsia" w:ascii="仿宋" w:hAnsi="仿宋" w:eastAsia="仿宋" w:cs="Times New Roman"/>
          <w:b/>
          <w:bCs/>
          <w:spacing w:val="-6"/>
          <w:kern w:val="0"/>
          <w:sz w:val="32"/>
          <w:szCs w:val="32"/>
          <w:highlight w:val="none"/>
          <w14:ligatures w14:val="none"/>
        </w:rPr>
        <w:t>1.生态效益</w:t>
      </w:r>
    </w:p>
    <w:p>
      <w:pPr>
        <w:pStyle w:val="17"/>
        <w:ind w:firstLine="616" w:firstLineChars="200"/>
        <w:jc w:val="both"/>
        <w:rPr>
          <w:rFonts w:cs="Times New Roman"/>
          <w:spacing w:val="-6"/>
          <w:sz w:val="32"/>
          <w:szCs w:val="32"/>
          <w:highlight w:val="none"/>
          <w:lang w:val="en-US" w:bidi="ar-SA"/>
        </w:rPr>
      </w:pPr>
      <w:r>
        <w:rPr>
          <w:rFonts w:hint="eastAsia" w:cs="Times New Roman"/>
          <w:spacing w:val="-6"/>
          <w:sz w:val="32"/>
          <w:szCs w:val="32"/>
          <w:highlight w:val="none"/>
          <w:lang w:val="en-US" w:bidi="ar-SA"/>
        </w:rPr>
        <w:t>生态文明建设重点工程的实施，将加快补齐生态建设指标短板，提升泗水县生态环境治理体系和治理能力，提升生态环境治理效能；推动泗水县生态安全格局优化、生物多样性保护加强、生态制度逐步健全，不断增强生态系统稳定性，促进生态系统服务功能提升；人居环境品质得到明显改善，优质生态产品的供给能力和保障能力稳步增强，最终实现生态环境质量改善提升。</w:t>
      </w:r>
    </w:p>
    <w:p>
      <w:pPr>
        <w:spacing w:after="0" w:line="360" w:lineRule="auto"/>
        <w:ind w:firstLine="619" w:firstLineChars="200"/>
        <w:rPr>
          <w:rFonts w:ascii="仿宋" w:hAnsi="仿宋" w:eastAsia="仿宋" w:cs="Times New Roman"/>
          <w:b/>
          <w:bCs/>
          <w:spacing w:val="-6"/>
          <w:kern w:val="0"/>
          <w:sz w:val="32"/>
          <w:szCs w:val="32"/>
          <w:highlight w:val="none"/>
          <w14:ligatures w14:val="none"/>
        </w:rPr>
      </w:pPr>
      <w:r>
        <w:rPr>
          <w:rFonts w:hint="eastAsia" w:ascii="仿宋" w:hAnsi="仿宋" w:eastAsia="仿宋" w:cs="Times New Roman"/>
          <w:b/>
          <w:bCs/>
          <w:spacing w:val="-6"/>
          <w:kern w:val="0"/>
          <w:sz w:val="32"/>
          <w:szCs w:val="32"/>
          <w:highlight w:val="none"/>
          <w14:ligatures w14:val="none"/>
        </w:rPr>
        <w:t>2.经济效益</w:t>
      </w:r>
    </w:p>
    <w:p>
      <w:pPr>
        <w:pStyle w:val="17"/>
        <w:ind w:firstLine="616" w:firstLineChars="200"/>
        <w:jc w:val="both"/>
        <w:rPr>
          <w:rFonts w:cs="Times New Roman"/>
          <w:spacing w:val="-6"/>
          <w:sz w:val="32"/>
          <w:szCs w:val="32"/>
          <w:highlight w:val="none"/>
          <w:lang w:val="en-US" w:bidi="ar-SA"/>
        </w:rPr>
      </w:pPr>
      <w:r>
        <w:rPr>
          <w:rFonts w:hint="eastAsia" w:cs="Times New Roman"/>
          <w:spacing w:val="-6"/>
          <w:sz w:val="32"/>
          <w:szCs w:val="32"/>
          <w:highlight w:val="none"/>
          <w:lang w:val="en-US" w:bidi="ar-SA"/>
        </w:rPr>
        <w:t>生态文明建设重点工程的实施，将在优化产业结构、促进产业循环发展、资源节约与利用等方面发挥重要作用。通过大力实施治污减排、节能降碳，可以推动经济结构调整优化，促进能源利用效率提高，节约利用资源，使产业发展更加绿色化。同时，通过大力发展文化、旅游等特色现代服务业体系，有效减少资源消耗，减少污染物排放，美化生活环境，保护生态环境，科学“变现”生态资产，释放生态经济发展的活力。</w:t>
      </w:r>
    </w:p>
    <w:p>
      <w:pPr>
        <w:spacing w:after="0" w:line="360" w:lineRule="auto"/>
        <w:ind w:firstLine="619" w:firstLineChars="200"/>
        <w:rPr>
          <w:rFonts w:ascii="仿宋" w:hAnsi="仿宋" w:eastAsia="仿宋" w:cs="Times New Roman"/>
          <w:b/>
          <w:bCs/>
          <w:spacing w:val="-6"/>
          <w:kern w:val="0"/>
          <w:sz w:val="32"/>
          <w:szCs w:val="32"/>
          <w:highlight w:val="none"/>
          <w14:ligatures w14:val="none"/>
        </w:rPr>
      </w:pPr>
      <w:r>
        <w:rPr>
          <w:rFonts w:hint="eastAsia" w:ascii="仿宋" w:hAnsi="仿宋" w:eastAsia="仿宋" w:cs="Times New Roman"/>
          <w:b/>
          <w:bCs/>
          <w:spacing w:val="-6"/>
          <w:kern w:val="0"/>
          <w:sz w:val="32"/>
          <w:szCs w:val="32"/>
          <w:highlight w:val="none"/>
          <w14:ligatures w14:val="none"/>
        </w:rPr>
        <w:t xml:space="preserve">3.社会效益 </w:t>
      </w:r>
    </w:p>
    <w:p>
      <w:pPr>
        <w:pStyle w:val="17"/>
        <w:ind w:firstLine="616" w:firstLineChars="200"/>
        <w:jc w:val="both"/>
        <w:rPr>
          <w:highlight w:val="none"/>
          <w:lang w:val="en-US"/>
        </w:rPr>
      </w:pPr>
      <w:r>
        <w:rPr>
          <w:rFonts w:hint="eastAsia" w:cs="Times New Roman"/>
          <w:spacing w:val="-6"/>
          <w:sz w:val="32"/>
          <w:szCs w:val="32"/>
          <w:highlight w:val="none"/>
          <w:lang w:val="en-US" w:bidi="ar-SA"/>
        </w:rPr>
        <w:t>生态文明建设重点工程的实施，将完善城乡基础设施系统，改善城乡居民生活环境，构建更为宜居的绿色生态环境，显著提高公众生活质量，提升人民群众幸福感；将促进形成以经济社会发展与生态环境保护相互协调、相互促进为目标的新型绿色发展格局，城市的品位和形象得到大幅提升，投资环境的竞争力大大增强，知名度进一步提高；有利于促进整个社会生态文明程度和人口素质的显著提高，提高干部群众的生态环境意识，更好地保护生态环境质量，保障生态系统的健康持续发展。</w:t>
      </w:r>
    </w:p>
    <w:p>
      <w:pPr>
        <w:pStyle w:val="2"/>
        <w:widowControl w:val="0"/>
        <w:ind w:firstLine="643"/>
        <w:jc w:val="both"/>
        <w:rPr>
          <w:highlight w:val="none"/>
        </w:rPr>
      </w:pPr>
      <w:bookmarkStart w:id="28" w:name="_Toc1826"/>
      <w:r>
        <w:rPr>
          <w:rFonts w:hint="eastAsia"/>
          <w:highlight w:val="none"/>
        </w:rPr>
        <w:t>六、保障措施</w:t>
      </w:r>
      <w:bookmarkEnd w:id="28"/>
    </w:p>
    <w:p>
      <w:pPr>
        <w:pStyle w:val="3"/>
        <w:widowControl w:val="0"/>
        <w:spacing w:line="240" w:lineRule="auto"/>
        <w:ind w:firstLine="643"/>
        <w:rPr>
          <w:rFonts w:ascii="楷体" w:hAnsi="楷体" w:eastAsia="楷体" w:cs="楷体"/>
          <w:kern w:val="2"/>
          <w:highlight w:val="none"/>
        </w:rPr>
      </w:pPr>
      <w:bookmarkStart w:id="29" w:name="_Toc1294"/>
      <w:r>
        <w:rPr>
          <w:rFonts w:hint="eastAsia" w:ascii="楷体" w:hAnsi="楷体" w:eastAsia="楷体" w:cs="楷体"/>
          <w:kern w:val="2"/>
          <w:highlight w:val="none"/>
        </w:rPr>
        <w:t>（一）加强组织领导</w:t>
      </w:r>
      <w:bookmarkEnd w:id="29"/>
    </w:p>
    <w:p>
      <w:pPr>
        <w:spacing w:after="0" w:line="360" w:lineRule="auto"/>
        <w:ind w:firstLine="616" w:firstLineChars="200"/>
        <w:jc w:val="both"/>
        <w:rPr>
          <w:rFonts w:ascii="仿宋" w:hAnsi="仿宋" w:eastAsia="仿宋" w:cs="仿宋"/>
          <w:spacing w:val="-6"/>
          <w:kern w:val="0"/>
          <w:sz w:val="32"/>
          <w:szCs w:val="32"/>
          <w:highlight w:val="none"/>
          <w14:ligatures w14:val="none"/>
        </w:rPr>
      </w:pPr>
      <w:r>
        <w:rPr>
          <w:rFonts w:hint="eastAsia" w:ascii="仿宋" w:hAnsi="仿宋" w:eastAsia="仿宋" w:cs="仿宋"/>
          <w:spacing w:val="-6"/>
          <w:kern w:val="0"/>
          <w:sz w:val="32"/>
          <w:szCs w:val="32"/>
          <w:highlight w:val="none"/>
          <w14:ligatures w14:val="none"/>
        </w:rPr>
        <w:t>加强组织领导，成立泗水县生态文明建设领导小组，县领导任组长、各有关部门主要领导为成员，并设立办公室，加强对创建工作的组织领导和检查指导，对本规划的重点工程进行统筹监督、协调沟通。各街镇相应成立工作领导小组，各有关部门明确分管领导和责任科室。制定生态文明建设的年度计划，分解落实生态文明建设任务，确保生态文明建设各项工程和任务的组织落实、任务落实、措施落实和管理落实。</w:t>
      </w:r>
    </w:p>
    <w:p>
      <w:pPr>
        <w:pStyle w:val="3"/>
        <w:widowControl w:val="0"/>
        <w:spacing w:line="240" w:lineRule="auto"/>
        <w:ind w:firstLine="643"/>
        <w:rPr>
          <w:rFonts w:ascii="楷体" w:hAnsi="楷体" w:eastAsia="楷体" w:cs="楷体"/>
          <w:kern w:val="2"/>
          <w:highlight w:val="none"/>
        </w:rPr>
      </w:pPr>
      <w:bookmarkStart w:id="30" w:name="_Toc18191"/>
      <w:r>
        <w:rPr>
          <w:rFonts w:hint="eastAsia" w:ascii="楷体" w:hAnsi="楷体" w:eastAsia="楷体" w:cs="楷体"/>
          <w:kern w:val="2"/>
          <w:highlight w:val="none"/>
        </w:rPr>
        <w:t>（二）加强评估考核</w:t>
      </w:r>
      <w:bookmarkEnd w:id="30"/>
    </w:p>
    <w:p>
      <w:pPr>
        <w:spacing w:after="0" w:line="360" w:lineRule="auto"/>
        <w:ind w:firstLine="616" w:firstLineChars="200"/>
        <w:jc w:val="both"/>
        <w:rPr>
          <w:rFonts w:ascii="仿宋" w:hAnsi="仿宋" w:eastAsia="仿宋" w:cs="仿宋"/>
          <w:spacing w:val="-6"/>
          <w:kern w:val="0"/>
          <w:sz w:val="32"/>
          <w:szCs w:val="32"/>
          <w:highlight w:val="none"/>
          <w14:ligatures w14:val="none"/>
        </w:rPr>
      </w:pPr>
      <w:r>
        <w:rPr>
          <w:rFonts w:hint="eastAsia" w:ascii="仿宋" w:hAnsi="仿宋" w:eastAsia="仿宋" w:cs="仿宋"/>
          <w:spacing w:val="-6"/>
          <w:kern w:val="0"/>
          <w:sz w:val="32"/>
          <w:szCs w:val="32"/>
          <w:highlight w:val="none"/>
          <w14:ligatures w14:val="none"/>
        </w:rPr>
        <w:t>落实生态文明建设标准体系，严格执行生态文明建设的各项制度，组织开展规划实施情况评估，完善考核评估机制，依据评估结果对规划目标任务进行科学调整。提高生态文明建设管理水平和管理效率。加强目标责任考核管理，强化生态环境保护、节能减排等约束性指标管理。县委、县政府对规划年度目标执行情况的督促和检查，进行生态创建工作总结，对完成责任指标的单位和个人给予表彰奖励，确保生态文明建设示范区建设规划实施。</w:t>
      </w:r>
    </w:p>
    <w:p>
      <w:pPr>
        <w:pStyle w:val="3"/>
        <w:widowControl w:val="0"/>
        <w:spacing w:line="240" w:lineRule="auto"/>
        <w:ind w:firstLine="643"/>
        <w:rPr>
          <w:rFonts w:ascii="楷体" w:hAnsi="楷体" w:eastAsia="楷体" w:cs="楷体"/>
          <w:kern w:val="2"/>
          <w:highlight w:val="none"/>
        </w:rPr>
      </w:pPr>
      <w:bookmarkStart w:id="31" w:name="_Toc23985"/>
      <w:r>
        <w:rPr>
          <w:rFonts w:hint="eastAsia" w:ascii="楷体" w:hAnsi="楷体" w:eastAsia="楷体" w:cs="楷体"/>
          <w:kern w:val="2"/>
          <w:highlight w:val="none"/>
        </w:rPr>
        <w:t>（三）做好资金保障</w:t>
      </w:r>
      <w:bookmarkEnd w:id="31"/>
    </w:p>
    <w:p>
      <w:pPr>
        <w:spacing w:after="0" w:line="360" w:lineRule="auto"/>
        <w:ind w:firstLine="616" w:firstLineChars="200"/>
        <w:jc w:val="both"/>
        <w:rPr>
          <w:rFonts w:ascii="仿宋" w:hAnsi="仿宋" w:eastAsia="仿宋" w:cs="仿宋"/>
          <w:spacing w:val="-6"/>
          <w:kern w:val="0"/>
          <w:sz w:val="32"/>
          <w:szCs w:val="32"/>
          <w:highlight w:val="none"/>
          <w14:ligatures w14:val="none"/>
        </w:rPr>
      </w:pPr>
      <w:r>
        <w:rPr>
          <w:rFonts w:hint="eastAsia" w:ascii="仿宋" w:hAnsi="仿宋" w:eastAsia="仿宋" w:cs="仿宋"/>
          <w:spacing w:val="-6"/>
          <w:kern w:val="0"/>
          <w:sz w:val="32"/>
          <w:szCs w:val="32"/>
          <w:highlight w:val="none"/>
          <w14:ligatures w14:val="none"/>
        </w:rPr>
        <w:t>加大本级年度财政预算对生态文明建设资金的投入力度，加大污染防治攻坚、生态环境保护和修复、生物多样性保护等相关重点项目的资金投入力度。发挥财政资源配置职能和引导作用，建立“政府引导、社会参与、市场运作、社会参与”的多元化投融资体系。拓宽投融资渠道，创造良好投资环境，吸引社会资本参与，鼓励社会资金转向生态文明建设领域。建立有效的资金使用和监管制度，严格落实专款专用、先审后拨和项目公开招投标制度。对资金的使用全过程加强监督，严格执行投资问效、追踪管理，提高资金的使用绩效。</w:t>
      </w:r>
    </w:p>
    <w:p>
      <w:pPr>
        <w:pStyle w:val="3"/>
        <w:widowControl w:val="0"/>
        <w:spacing w:line="240" w:lineRule="auto"/>
        <w:ind w:firstLine="643"/>
        <w:rPr>
          <w:rFonts w:ascii="楷体" w:hAnsi="楷体" w:eastAsia="楷体" w:cs="楷体"/>
          <w:kern w:val="2"/>
          <w:highlight w:val="none"/>
        </w:rPr>
      </w:pPr>
      <w:bookmarkStart w:id="32" w:name="_Toc5129"/>
      <w:r>
        <w:rPr>
          <w:rFonts w:hint="eastAsia" w:ascii="楷体" w:hAnsi="楷体" w:eastAsia="楷体" w:cs="楷体"/>
          <w:kern w:val="2"/>
          <w:highlight w:val="none"/>
        </w:rPr>
        <w:t>（四）推进科技创新</w:t>
      </w:r>
      <w:bookmarkEnd w:id="32"/>
    </w:p>
    <w:p>
      <w:pPr>
        <w:spacing w:after="0" w:line="360" w:lineRule="auto"/>
        <w:ind w:firstLine="616" w:firstLineChars="200"/>
        <w:jc w:val="both"/>
        <w:rPr>
          <w:rFonts w:ascii="仿宋" w:hAnsi="仿宋" w:eastAsia="仿宋" w:cs="仿宋"/>
          <w:spacing w:val="-6"/>
          <w:kern w:val="0"/>
          <w:sz w:val="32"/>
          <w:szCs w:val="32"/>
          <w:highlight w:val="none"/>
          <w14:ligatures w14:val="none"/>
        </w:rPr>
      </w:pPr>
      <w:r>
        <w:rPr>
          <w:rFonts w:hint="eastAsia" w:ascii="仿宋" w:hAnsi="仿宋" w:eastAsia="仿宋" w:cs="仿宋"/>
          <w:spacing w:val="-6"/>
          <w:kern w:val="0"/>
          <w:sz w:val="32"/>
          <w:szCs w:val="32"/>
          <w:highlight w:val="none"/>
          <w14:ligatures w14:val="none"/>
        </w:rPr>
        <w:t>加强生态文明建设先进技术的引进、推广。发挥科研院所的智库作用和专业优势，鼓励在污染控制、生态保护修复、绿色发展、清洁生产等领域的基础研究和技术研发，发展技术先导型、资源节约型、环境保护型产业和产品，加速创新成果生产力转化，提升生态环境保护修复的科学技术支撑力。完善环境科技研究体系和创新环境，加强生态系统服务、生态环境承载力评估、生态安全阈值等基础理论研究，促进环境科技工作由“跟踪应急型”向 “先导创新型”的转变，为生态环境保护、环境监测、污染防治、 监督执法等提供强坚实的理论依据。</w:t>
      </w:r>
    </w:p>
    <w:p>
      <w:pPr>
        <w:pStyle w:val="3"/>
        <w:widowControl w:val="0"/>
        <w:spacing w:line="240" w:lineRule="auto"/>
        <w:ind w:firstLine="643"/>
        <w:rPr>
          <w:rFonts w:ascii="楷体" w:hAnsi="楷体" w:eastAsia="楷体" w:cs="楷体"/>
          <w:kern w:val="2"/>
          <w:highlight w:val="none"/>
        </w:rPr>
      </w:pPr>
      <w:bookmarkStart w:id="33" w:name="_Toc4538"/>
      <w:r>
        <w:rPr>
          <w:rFonts w:hint="eastAsia" w:ascii="楷体" w:hAnsi="楷体" w:eastAsia="楷体" w:cs="楷体"/>
          <w:kern w:val="2"/>
          <w:highlight w:val="none"/>
        </w:rPr>
        <w:t>（五）推动全民参与</w:t>
      </w:r>
      <w:bookmarkEnd w:id="33"/>
    </w:p>
    <w:p>
      <w:pPr>
        <w:spacing w:after="0" w:line="360" w:lineRule="auto"/>
        <w:ind w:firstLine="616" w:firstLineChars="200"/>
        <w:jc w:val="both"/>
        <w:rPr>
          <w:rFonts w:ascii="仿宋" w:hAnsi="仿宋" w:eastAsia="仿宋" w:cs="仿宋"/>
          <w:spacing w:val="-6"/>
          <w:kern w:val="0"/>
          <w:sz w:val="32"/>
          <w:szCs w:val="32"/>
          <w:highlight w:val="none"/>
          <w14:ligatures w14:val="none"/>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spacing w:val="-6"/>
          <w:kern w:val="0"/>
          <w:sz w:val="32"/>
          <w:szCs w:val="32"/>
          <w:highlight w:val="none"/>
          <w14:ligatures w14:val="none"/>
        </w:rPr>
        <w:t>加强生态文明宣传工作，大力培育公民的生态文明意识。强化信息公开制度，拓展公众参与渠道。通过媒体、网络、现场活动等方式，普及生态文明知识，引导全社会树立正确的生态文明价值观，注重对青少年生态文明意识的培养，将生态文明教育融入义务教育体系。总结、宣传、推广先进经验典型，在全社会营造全面创建绿色生活、全社会共享生态文明的良好氛围。</w:t>
      </w:r>
    </w:p>
    <w:p>
      <w:pPr>
        <w:pStyle w:val="2"/>
        <w:widowControl w:val="0"/>
        <w:ind w:firstLine="643"/>
        <w:rPr>
          <w:highlight w:val="none"/>
        </w:rPr>
      </w:pPr>
      <w:bookmarkStart w:id="34" w:name="_Toc18475"/>
      <w:r>
        <w:rPr>
          <w:rFonts w:hint="eastAsia"/>
          <w:highlight w:val="none"/>
        </w:rPr>
        <w:t>附表：泗水县省级生态文明建设示范区重点工程一览表</w:t>
      </w:r>
      <w:bookmarkEnd w:id="34"/>
    </w:p>
    <w:tbl>
      <w:tblPr>
        <w:tblStyle w:val="20"/>
        <w:tblW w:w="155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1201"/>
        <w:gridCol w:w="2066"/>
        <w:gridCol w:w="8044"/>
        <w:gridCol w:w="1095"/>
        <w:gridCol w:w="1188"/>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63" w:type="dxa"/>
            <w:vAlign w:val="center"/>
          </w:tcPr>
          <w:p>
            <w:pPr>
              <w:widowControl w:val="0"/>
              <w:jc w:val="center"/>
              <w:rPr>
                <w:rFonts w:ascii="仿宋" w:hAnsi="仿宋" w:eastAsia="仿宋" w:cs="仿宋"/>
                <w:b/>
                <w:bCs/>
                <w:sz w:val="20"/>
                <w:szCs w:val="20"/>
                <w:highlight w:val="none"/>
              </w:rPr>
            </w:pPr>
            <w:r>
              <w:rPr>
                <w:rFonts w:hint="eastAsia" w:ascii="仿宋" w:hAnsi="仿宋" w:eastAsia="仿宋" w:cs="仿宋"/>
                <w:b/>
                <w:bCs/>
                <w:sz w:val="20"/>
                <w:szCs w:val="20"/>
                <w:highlight w:val="none"/>
              </w:rPr>
              <w:t>序号</w:t>
            </w:r>
          </w:p>
        </w:tc>
        <w:tc>
          <w:tcPr>
            <w:tcW w:w="1201" w:type="dxa"/>
            <w:vAlign w:val="center"/>
          </w:tcPr>
          <w:p>
            <w:pPr>
              <w:widowControl w:val="0"/>
              <w:jc w:val="center"/>
              <w:rPr>
                <w:rFonts w:ascii="仿宋" w:hAnsi="仿宋" w:eastAsia="仿宋" w:cs="仿宋"/>
                <w:b/>
                <w:bCs/>
                <w:sz w:val="20"/>
                <w:szCs w:val="20"/>
                <w:highlight w:val="none"/>
              </w:rPr>
            </w:pPr>
            <w:r>
              <w:rPr>
                <w:rFonts w:hint="eastAsia" w:ascii="仿宋" w:hAnsi="仿宋" w:eastAsia="仿宋" w:cs="仿宋"/>
                <w:b/>
                <w:bCs/>
                <w:sz w:val="20"/>
                <w:szCs w:val="20"/>
                <w:highlight w:val="none"/>
              </w:rPr>
              <w:t>任务</w:t>
            </w:r>
          </w:p>
        </w:tc>
        <w:tc>
          <w:tcPr>
            <w:tcW w:w="2066" w:type="dxa"/>
            <w:vAlign w:val="center"/>
          </w:tcPr>
          <w:p>
            <w:pPr>
              <w:widowControl w:val="0"/>
              <w:jc w:val="center"/>
              <w:rPr>
                <w:rFonts w:ascii="仿宋" w:hAnsi="仿宋" w:eastAsia="仿宋" w:cs="仿宋"/>
                <w:b/>
                <w:bCs/>
                <w:sz w:val="20"/>
                <w:szCs w:val="20"/>
                <w:highlight w:val="none"/>
              </w:rPr>
            </w:pPr>
            <w:r>
              <w:rPr>
                <w:rFonts w:hint="eastAsia" w:ascii="仿宋" w:hAnsi="仿宋" w:eastAsia="仿宋" w:cs="仿宋"/>
                <w:b/>
                <w:bCs/>
                <w:sz w:val="20"/>
                <w:szCs w:val="20"/>
                <w:highlight w:val="none"/>
              </w:rPr>
              <w:t>项目名称</w:t>
            </w:r>
          </w:p>
        </w:tc>
        <w:tc>
          <w:tcPr>
            <w:tcW w:w="8044" w:type="dxa"/>
            <w:vAlign w:val="center"/>
          </w:tcPr>
          <w:p>
            <w:pPr>
              <w:widowControl w:val="0"/>
              <w:jc w:val="center"/>
              <w:rPr>
                <w:rFonts w:ascii="仿宋" w:hAnsi="仿宋" w:eastAsia="仿宋" w:cs="仿宋"/>
                <w:b/>
                <w:bCs/>
                <w:sz w:val="20"/>
                <w:szCs w:val="20"/>
                <w:highlight w:val="none"/>
              </w:rPr>
            </w:pPr>
            <w:r>
              <w:rPr>
                <w:rFonts w:hint="eastAsia" w:ascii="仿宋" w:hAnsi="仿宋" w:eastAsia="仿宋" w:cs="仿宋"/>
                <w:b/>
                <w:bCs/>
                <w:sz w:val="20"/>
                <w:szCs w:val="20"/>
                <w:highlight w:val="none"/>
              </w:rPr>
              <w:t>建设内容和规模</w:t>
            </w:r>
          </w:p>
        </w:tc>
        <w:tc>
          <w:tcPr>
            <w:tcW w:w="1095" w:type="dxa"/>
            <w:vAlign w:val="center"/>
          </w:tcPr>
          <w:p>
            <w:pPr>
              <w:widowControl w:val="0"/>
              <w:jc w:val="center"/>
              <w:rPr>
                <w:rFonts w:ascii="仿宋" w:hAnsi="仿宋" w:eastAsia="仿宋" w:cs="仿宋"/>
                <w:b/>
                <w:bCs/>
                <w:sz w:val="20"/>
                <w:szCs w:val="20"/>
                <w:highlight w:val="none"/>
              </w:rPr>
            </w:pPr>
            <w:r>
              <w:rPr>
                <w:rFonts w:hint="eastAsia" w:ascii="仿宋" w:hAnsi="仿宋" w:eastAsia="仿宋" w:cs="仿宋"/>
                <w:b/>
                <w:bCs/>
                <w:sz w:val="20"/>
                <w:szCs w:val="20"/>
                <w:highlight w:val="none"/>
              </w:rPr>
              <w:t>建设起止年限</w:t>
            </w:r>
          </w:p>
        </w:tc>
        <w:tc>
          <w:tcPr>
            <w:tcW w:w="1188" w:type="dxa"/>
            <w:vAlign w:val="center"/>
          </w:tcPr>
          <w:p>
            <w:pPr>
              <w:widowControl w:val="0"/>
              <w:jc w:val="center"/>
              <w:rPr>
                <w:rFonts w:ascii="仿宋" w:hAnsi="仿宋" w:eastAsia="仿宋" w:cs="仿宋"/>
                <w:b/>
                <w:bCs/>
                <w:sz w:val="20"/>
                <w:szCs w:val="20"/>
                <w:highlight w:val="none"/>
              </w:rPr>
            </w:pPr>
            <w:r>
              <w:rPr>
                <w:rFonts w:hint="eastAsia" w:ascii="仿宋" w:hAnsi="仿宋" w:eastAsia="仿宋" w:cs="仿宋"/>
                <w:b/>
                <w:bCs/>
                <w:sz w:val="20"/>
                <w:szCs w:val="20"/>
                <w:highlight w:val="none"/>
              </w:rPr>
              <w:t>总投资</w:t>
            </w:r>
          </w:p>
          <w:p>
            <w:pPr>
              <w:widowControl w:val="0"/>
              <w:jc w:val="center"/>
              <w:rPr>
                <w:rFonts w:ascii="仿宋" w:hAnsi="仿宋" w:eastAsia="仿宋" w:cs="仿宋"/>
                <w:b/>
                <w:bCs/>
                <w:sz w:val="20"/>
                <w:szCs w:val="20"/>
                <w:highlight w:val="none"/>
              </w:rPr>
            </w:pPr>
            <w:r>
              <w:rPr>
                <w:rFonts w:hint="eastAsia" w:ascii="仿宋" w:hAnsi="仿宋" w:eastAsia="仿宋" w:cs="仿宋"/>
                <w:b/>
                <w:bCs/>
                <w:sz w:val="20"/>
                <w:szCs w:val="20"/>
                <w:highlight w:val="none"/>
              </w:rPr>
              <w:t>（万元）</w:t>
            </w:r>
          </w:p>
        </w:tc>
        <w:tc>
          <w:tcPr>
            <w:tcW w:w="1239" w:type="dxa"/>
            <w:vAlign w:val="center"/>
          </w:tcPr>
          <w:p>
            <w:pPr>
              <w:widowControl w:val="0"/>
              <w:jc w:val="center"/>
              <w:rPr>
                <w:rFonts w:ascii="仿宋" w:hAnsi="仿宋" w:eastAsia="仿宋" w:cs="仿宋"/>
                <w:b/>
                <w:bCs/>
                <w:sz w:val="20"/>
                <w:szCs w:val="20"/>
                <w:highlight w:val="none"/>
              </w:rPr>
            </w:pPr>
            <w:r>
              <w:rPr>
                <w:rFonts w:hint="eastAsia" w:ascii="仿宋" w:hAnsi="仿宋" w:eastAsia="仿宋" w:cs="仿宋"/>
                <w:b/>
                <w:bCs/>
                <w:sz w:val="20"/>
                <w:szCs w:val="20"/>
                <w:highlight w:val="none"/>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1</w:t>
            </w:r>
          </w:p>
        </w:tc>
        <w:tc>
          <w:tcPr>
            <w:tcW w:w="1201"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生态安全</w:t>
            </w:r>
          </w:p>
        </w:tc>
        <w:tc>
          <w:tcPr>
            <w:tcW w:w="2066"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宋家沟小流域治理</w:t>
            </w:r>
          </w:p>
        </w:tc>
        <w:tc>
          <w:tcPr>
            <w:tcW w:w="8044"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小流域治理面积14.00km</w:t>
            </w:r>
            <w:r>
              <w:rPr>
                <w:rFonts w:hint="eastAsia" w:ascii="仿宋" w:hAnsi="仿宋" w:eastAsia="仿宋" w:cs="仿宋"/>
                <w:highlight w:val="none"/>
                <w:vertAlign w:val="superscript"/>
              </w:rPr>
              <w:t>2</w:t>
            </w:r>
            <w:r>
              <w:rPr>
                <w:rFonts w:hint="eastAsia" w:ascii="仿宋" w:hAnsi="仿宋" w:eastAsia="仿宋" w:cs="仿宋"/>
                <w:sz w:val="20"/>
                <w:szCs w:val="20"/>
                <w:highlight w:val="none"/>
              </w:rPr>
              <w:t>，采用工程措施、林草措施和封育治理综合治理，具体治理措施为：整修梯田537.27hm</w:t>
            </w:r>
            <w:r>
              <w:rPr>
                <w:rFonts w:hint="eastAsia" w:ascii="仿宋" w:hAnsi="仿宋" w:eastAsia="仿宋" w:cs="仿宋"/>
                <w:sz w:val="20"/>
                <w:szCs w:val="20"/>
                <w:highlight w:val="none"/>
                <w:vertAlign w:val="superscript"/>
              </w:rPr>
              <w:t>2</w:t>
            </w:r>
            <w:r>
              <w:rPr>
                <w:rFonts w:hint="eastAsia" w:ascii="仿宋" w:hAnsi="仿宋" w:eastAsia="仿宋" w:cs="仿宋"/>
                <w:sz w:val="20"/>
                <w:szCs w:val="20"/>
                <w:highlight w:val="none"/>
              </w:rPr>
              <w:t>；发展经果林32.81hm</w:t>
            </w:r>
            <w:r>
              <w:rPr>
                <w:rFonts w:hint="eastAsia" w:ascii="仿宋" w:hAnsi="仿宋" w:eastAsia="仿宋" w:cs="仿宋"/>
                <w:sz w:val="20"/>
                <w:szCs w:val="20"/>
                <w:highlight w:val="none"/>
                <w:vertAlign w:val="superscript"/>
              </w:rPr>
              <w:t>2</w:t>
            </w:r>
            <w:r>
              <w:rPr>
                <w:rFonts w:hint="eastAsia" w:ascii="仿宋" w:hAnsi="仿宋" w:eastAsia="仿宋" w:cs="仿宋"/>
                <w:sz w:val="20"/>
                <w:szCs w:val="20"/>
                <w:highlight w:val="none"/>
              </w:rPr>
              <w:t>；水蚀坡林地整治235.66hm</w:t>
            </w:r>
            <w:r>
              <w:rPr>
                <w:rFonts w:hint="eastAsia" w:ascii="仿宋" w:hAnsi="仿宋" w:eastAsia="仿宋" w:cs="仿宋"/>
                <w:sz w:val="20"/>
                <w:szCs w:val="20"/>
                <w:highlight w:val="none"/>
                <w:vertAlign w:val="superscript"/>
              </w:rPr>
              <w:t>2</w:t>
            </w:r>
            <w:r>
              <w:rPr>
                <w:rFonts w:hint="eastAsia" w:ascii="仿宋" w:hAnsi="仿宋" w:eastAsia="仿宋" w:cs="仿宋"/>
                <w:sz w:val="20"/>
                <w:szCs w:val="20"/>
                <w:highlight w:val="none"/>
              </w:rPr>
              <w:t>；封育治理594.26hm</w:t>
            </w:r>
            <w:r>
              <w:rPr>
                <w:rFonts w:hint="eastAsia" w:ascii="仿宋" w:hAnsi="仿宋" w:eastAsia="仿宋" w:cs="仿宋"/>
                <w:sz w:val="20"/>
                <w:szCs w:val="20"/>
                <w:highlight w:val="none"/>
                <w:vertAlign w:val="superscript"/>
              </w:rPr>
              <w:t>2</w:t>
            </w:r>
            <w:r>
              <w:rPr>
                <w:rFonts w:hint="eastAsia" w:ascii="仿宋" w:hAnsi="仿宋" w:eastAsia="仿宋" w:cs="仿宋"/>
                <w:sz w:val="20"/>
                <w:szCs w:val="20"/>
                <w:highlight w:val="none"/>
              </w:rPr>
              <w:t>；新建堰坝4座；新建蓄水池2座；新建混凝土道路2.15km；新建宣传碑1座</w:t>
            </w:r>
          </w:p>
        </w:tc>
        <w:tc>
          <w:tcPr>
            <w:tcW w:w="1095"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2023年</w:t>
            </w:r>
          </w:p>
        </w:tc>
        <w:tc>
          <w:tcPr>
            <w:tcW w:w="1188"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700</w:t>
            </w:r>
          </w:p>
        </w:tc>
        <w:tc>
          <w:tcPr>
            <w:tcW w:w="1239" w:type="dxa"/>
            <w:vAlign w:val="center"/>
          </w:tcPr>
          <w:p>
            <w:pPr>
              <w:widowControl/>
              <w:spacing w:line="360" w:lineRule="exact"/>
              <w:jc w:val="center"/>
              <w:textAlignment w:val="center"/>
              <w:rPr>
                <w:rFonts w:ascii="仿宋" w:hAnsi="仿宋" w:eastAsia="仿宋" w:cs="仿宋"/>
                <w:color w:val="000000"/>
                <w:kern w:val="0"/>
                <w:sz w:val="20"/>
                <w:szCs w:val="20"/>
                <w:highlight w:val="none"/>
                <w:lang w:bidi="ar"/>
              </w:rPr>
            </w:pPr>
            <w:r>
              <w:rPr>
                <w:rFonts w:hint="eastAsia" w:ascii="仿宋" w:hAnsi="仿宋" w:eastAsia="仿宋" w:cs="仿宋"/>
                <w:color w:val="000000"/>
                <w:kern w:val="0"/>
                <w:sz w:val="20"/>
                <w:szCs w:val="20"/>
                <w:highlight w:val="none"/>
                <w:lang w:bidi="ar"/>
              </w:rPr>
              <w:t>县水务局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2</w:t>
            </w:r>
          </w:p>
        </w:tc>
        <w:tc>
          <w:tcPr>
            <w:tcW w:w="1201"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生态安全</w:t>
            </w:r>
          </w:p>
        </w:tc>
        <w:tc>
          <w:tcPr>
            <w:tcW w:w="2066"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泽沟河小流域治理</w:t>
            </w:r>
          </w:p>
        </w:tc>
        <w:tc>
          <w:tcPr>
            <w:tcW w:w="8044"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小流域治理面积8.00km</w:t>
            </w:r>
            <w:r>
              <w:rPr>
                <w:rFonts w:hint="eastAsia" w:ascii="仿宋" w:hAnsi="仿宋" w:eastAsia="仿宋" w:cs="仿宋"/>
                <w:sz w:val="20"/>
                <w:szCs w:val="20"/>
                <w:highlight w:val="none"/>
                <w:vertAlign w:val="superscript"/>
              </w:rPr>
              <w:t>2</w:t>
            </w:r>
            <w:r>
              <w:rPr>
                <w:rFonts w:hint="eastAsia" w:ascii="仿宋" w:hAnsi="仿宋" w:eastAsia="仿宋" w:cs="仿宋"/>
                <w:sz w:val="20"/>
                <w:szCs w:val="20"/>
                <w:highlight w:val="none"/>
              </w:rPr>
              <w:t>，具体治理措施为：整修梯田515.41hm</w:t>
            </w:r>
            <w:r>
              <w:rPr>
                <w:rFonts w:hint="eastAsia" w:ascii="仿宋" w:hAnsi="仿宋" w:eastAsia="仿宋" w:cs="仿宋"/>
                <w:sz w:val="20"/>
                <w:szCs w:val="20"/>
                <w:highlight w:val="none"/>
                <w:vertAlign w:val="superscript"/>
              </w:rPr>
              <w:t>2</w:t>
            </w:r>
            <w:r>
              <w:rPr>
                <w:rFonts w:hint="eastAsia" w:ascii="仿宋" w:hAnsi="仿宋" w:eastAsia="仿宋" w:cs="仿宋"/>
                <w:sz w:val="20"/>
                <w:szCs w:val="20"/>
                <w:highlight w:val="none"/>
              </w:rPr>
              <w:t>（其中石坎梯田25.24hm</w:t>
            </w:r>
            <w:r>
              <w:rPr>
                <w:rFonts w:hint="eastAsia" w:ascii="仿宋" w:hAnsi="仿宋" w:eastAsia="仿宋" w:cs="仿宋"/>
                <w:sz w:val="20"/>
                <w:szCs w:val="20"/>
                <w:highlight w:val="none"/>
                <w:vertAlign w:val="superscript"/>
              </w:rPr>
              <w:t>2</w:t>
            </w:r>
            <w:r>
              <w:rPr>
                <w:rFonts w:hint="eastAsia" w:ascii="仿宋" w:hAnsi="仿宋" w:eastAsia="仿宋" w:cs="仿宋"/>
                <w:sz w:val="20"/>
                <w:szCs w:val="20"/>
                <w:highlight w:val="none"/>
              </w:rPr>
              <w:t>，土坎梯田490.17hm</w:t>
            </w:r>
            <w:r>
              <w:rPr>
                <w:rFonts w:hint="eastAsia" w:ascii="仿宋" w:hAnsi="仿宋" w:eastAsia="仿宋" w:cs="仿宋"/>
                <w:sz w:val="20"/>
                <w:szCs w:val="20"/>
                <w:highlight w:val="none"/>
                <w:vertAlign w:val="superscript"/>
              </w:rPr>
              <w:t>2</w:t>
            </w:r>
            <w:r>
              <w:rPr>
                <w:rFonts w:hint="eastAsia" w:ascii="仿宋" w:hAnsi="仿宋" w:eastAsia="仿宋" w:cs="仿宋"/>
                <w:sz w:val="20"/>
                <w:szCs w:val="20"/>
                <w:highlight w:val="none"/>
              </w:rPr>
              <w:t>）；营造水土保持林37.84hm</w:t>
            </w:r>
            <w:r>
              <w:rPr>
                <w:rFonts w:hint="eastAsia" w:ascii="仿宋" w:hAnsi="仿宋" w:eastAsia="仿宋" w:cs="仿宋"/>
                <w:sz w:val="20"/>
                <w:szCs w:val="20"/>
                <w:highlight w:val="none"/>
                <w:vertAlign w:val="superscript"/>
              </w:rPr>
              <w:t>2</w:t>
            </w:r>
            <w:r>
              <w:rPr>
                <w:rFonts w:hint="eastAsia" w:ascii="仿宋" w:hAnsi="仿宋" w:eastAsia="仿宋" w:cs="仿宋"/>
                <w:sz w:val="20"/>
                <w:szCs w:val="20"/>
                <w:highlight w:val="none"/>
              </w:rPr>
              <w:t>封育治理246.75hm</w:t>
            </w:r>
            <w:r>
              <w:rPr>
                <w:rFonts w:hint="eastAsia" w:ascii="仿宋" w:hAnsi="仿宋" w:eastAsia="仿宋" w:cs="仿宋"/>
                <w:sz w:val="20"/>
                <w:szCs w:val="20"/>
                <w:highlight w:val="none"/>
                <w:vertAlign w:val="superscript"/>
              </w:rPr>
              <w:t>2</w:t>
            </w:r>
            <w:r>
              <w:rPr>
                <w:rFonts w:hint="eastAsia" w:ascii="仿宋" w:hAnsi="仿宋" w:eastAsia="仿宋" w:cs="仿宋"/>
                <w:sz w:val="20"/>
                <w:szCs w:val="20"/>
                <w:highlight w:val="none"/>
              </w:rPr>
              <w:t>；新建谷坊1座；新建蓄水池1座；护岸460m；新建混凝土道路1.6km</w:t>
            </w:r>
          </w:p>
        </w:tc>
        <w:tc>
          <w:tcPr>
            <w:tcW w:w="1095"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2023年</w:t>
            </w:r>
          </w:p>
        </w:tc>
        <w:tc>
          <w:tcPr>
            <w:tcW w:w="1188"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480</w:t>
            </w:r>
          </w:p>
        </w:tc>
        <w:tc>
          <w:tcPr>
            <w:tcW w:w="1239" w:type="dxa"/>
            <w:vAlign w:val="center"/>
          </w:tcPr>
          <w:p>
            <w:pPr>
              <w:widowControl/>
              <w:spacing w:line="360" w:lineRule="exact"/>
              <w:jc w:val="center"/>
              <w:textAlignment w:val="center"/>
              <w:rPr>
                <w:rFonts w:ascii="仿宋" w:hAnsi="仿宋" w:eastAsia="仿宋" w:cs="仿宋"/>
                <w:color w:val="000000"/>
                <w:kern w:val="0"/>
                <w:sz w:val="20"/>
                <w:szCs w:val="20"/>
                <w:highlight w:val="none"/>
                <w:lang w:bidi="ar"/>
              </w:rPr>
            </w:pPr>
            <w:r>
              <w:rPr>
                <w:rFonts w:hint="eastAsia" w:ascii="仿宋" w:hAnsi="仿宋" w:eastAsia="仿宋" w:cs="仿宋"/>
                <w:color w:val="000000"/>
                <w:kern w:val="0"/>
                <w:sz w:val="20"/>
                <w:szCs w:val="20"/>
                <w:highlight w:val="none"/>
                <w:lang w:bidi="ar"/>
              </w:rPr>
              <w:t>县水务局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3</w:t>
            </w:r>
          </w:p>
        </w:tc>
        <w:tc>
          <w:tcPr>
            <w:tcW w:w="1201"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生态安全</w:t>
            </w:r>
          </w:p>
        </w:tc>
        <w:tc>
          <w:tcPr>
            <w:tcW w:w="2066"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泗水县泗河岳陵拦河闸工程</w:t>
            </w:r>
          </w:p>
        </w:tc>
        <w:tc>
          <w:tcPr>
            <w:tcW w:w="8044"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新建拦河闸共12孔，单孔净宽12米，总宽168米；闸墩顶部下游侧设交通桥，总宽7米。水闸从上游至下游依次为上游连接段、闸室段、下游连接段；蓄水高度6米，拦蓄水量为470万立方</w:t>
            </w:r>
          </w:p>
        </w:tc>
        <w:tc>
          <w:tcPr>
            <w:tcW w:w="1095"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2023年</w:t>
            </w:r>
          </w:p>
        </w:tc>
        <w:tc>
          <w:tcPr>
            <w:tcW w:w="1188"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11926.23</w:t>
            </w:r>
          </w:p>
        </w:tc>
        <w:tc>
          <w:tcPr>
            <w:tcW w:w="1239" w:type="dxa"/>
            <w:vAlign w:val="center"/>
          </w:tcPr>
          <w:p>
            <w:pPr>
              <w:widowControl/>
              <w:spacing w:line="360" w:lineRule="exact"/>
              <w:jc w:val="center"/>
              <w:textAlignment w:val="center"/>
              <w:rPr>
                <w:rFonts w:ascii="仿宋" w:hAnsi="仿宋" w:eastAsia="仿宋" w:cs="仿宋"/>
                <w:color w:val="000000"/>
                <w:kern w:val="0"/>
                <w:sz w:val="20"/>
                <w:szCs w:val="20"/>
                <w:highlight w:val="none"/>
                <w:lang w:bidi="ar"/>
              </w:rPr>
            </w:pPr>
            <w:r>
              <w:rPr>
                <w:rFonts w:hint="eastAsia" w:ascii="仿宋" w:hAnsi="仿宋" w:eastAsia="仿宋" w:cs="仿宋"/>
                <w:color w:val="000000"/>
                <w:kern w:val="0"/>
                <w:sz w:val="20"/>
                <w:szCs w:val="20"/>
                <w:highlight w:val="none"/>
                <w:lang w:bidi="ar"/>
              </w:rPr>
              <w:t>县水务局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4</w:t>
            </w:r>
          </w:p>
        </w:tc>
        <w:tc>
          <w:tcPr>
            <w:tcW w:w="1201"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生态安全</w:t>
            </w:r>
          </w:p>
        </w:tc>
        <w:tc>
          <w:tcPr>
            <w:tcW w:w="2066"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泗水县丑村拦河闸除险加固项目</w:t>
            </w:r>
          </w:p>
        </w:tc>
        <w:tc>
          <w:tcPr>
            <w:tcW w:w="8044"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拦河闸及河道整治工程：丑村河桩号3+630-4+400段扩挖疏浚，在桩号0+400断面重建拦河闸</w:t>
            </w:r>
          </w:p>
        </w:tc>
        <w:tc>
          <w:tcPr>
            <w:tcW w:w="1095"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2023年</w:t>
            </w:r>
          </w:p>
        </w:tc>
        <w:tc>
          <w:tcPr>
            <w:tcW w:w="1188"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1519.97</w:t>
            </w:r>
          </w:p>
        </w:tc>
        <w:tc>
          <w:tcPr>
            <w:tcW w:w="1239" w:type="dxa"/>
            <w:vAlign w:val="center"/>
          </w:tcPr>
          <w:p>
            <w:pPr>
              <w:widowControl/>
              <w:spacing w:line="360" w:lineRule="exact"/>
              <w:jc w:val="center"/>
              <w:textAlignment w:val="center"/>
              <w:rPr>
                <w:rFonts w:ascii="仿宋" w:hAnsi="仿宋" w:eastAsia="仿宋" w:cs="仿宋"/>
                <w:color w:val="000000"/>
                <w:kern w:val="0"/>
                <w:sz w:val="20"/>
                <w:szCs w:val="20"/>
                <w:highlight w:val="none"/>
                <w:lang w:bidi="ar"/>
              </w:rPr>
            </w:pPr>
            <w:r>
              <w:rPr>
                <w:rFonts w:hint="eastAsia" w:ascii="仿宋" w:hAnsi="仿宋" w:eastAsia="仿宋" w:cs="仿宋"/>
                <w:color w:val="000000"/>
                <w:kern w:val="0"/>
                <w:sz w:val="20"/>
                <w:szCs w:val="20"/>
                <w:highlight w:val="none"/>
                <w:lang w:bidi="ar"/>
              </w:rPr>
              <w:t>县水务局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5</w:t>
            </w:r>
          </w:p>
        </w:tc>
        <w:tc>
          <w:tcPr>
            <w:tcW w:w="1201"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生态安全</w:t>
            </w:r>
          </w:p>
        </w:tc>
        <w:tc>
          <w:tcPr>
            <w:tcW w:w="2066"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泗水县泗张拦河闸除险加固项目</w:t>
            </w:r>
          </w:p>
        </w:tc>
        <w:tc>
          <w:tcPr>
            <w:tcW w:w="8044"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拦河闸及河道清淤工程：在原址处改建拦河闸，以拦河闸为起点对下游1.3km河道进行清淤治理</w:t>
            </w:r>
          </w:p>
        </w:tc>
        <w:tc>
          <w:tcPr>
            <w:tcW w:w="1095"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2023年</w:t>
            </w:r>
          </w:p>
        </w:tc>
        <w:tc>
          <w:tcPr>
            <w:tcW w:w="1188"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1793.66</w:t>
            </w:r>
          </w:p>
        </w:tc>
        <w:tc>
          <w:tcPr>
            <w:tcW w:w="1239" w:type="dxa"/>
            <w:vAlign w:val="center"/>
          </w:tcPr>
          <w:p>
            <w:pPr>
              <w:widowControl/>
              <w:spacing w:line="360" w:lineRule="exact"/>
              <w:jc w:val="center"/>
              <w:textAlignment w:val="center"/>
              <w:rPr>
                <w:rFonts w:ascii="仿宋" w:hAnsi="仿宋" w:eastAsia="仿宋" w:cs="仿宋"/>
                <w:color w:val="000000"/>
                <w:kern w:val="0"/>
                <w:sz w:val="20"/>
                <w:szCs w:val="20"/>
                <w:highlight w:val="none"/>
                <w:lang w:bidi="ar"/>
              </w:rPr>
            </w:pPr>
            <w:r>
              <w:rPr>
                <w:rFonts w:hint="eastAsia" w:ascii="仿宋" w:hAnsi="仿宋" w:eastAsia="仿宋" w:cs="仿宋"/>
                <w:color w:val="000000"/>
                <w:kern w:val="0"/>
                <w:sz w:val="20"/>
                <w:szCs w:val="20"/>
                <w:highlight w:val="none"/>
                <w:lang w:bidi="ar"/>
              </w:rPr>
              <w:t>县水务局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6</w:t>
            </w:r>
          </w:p>
        </w:tc>
        <w:tc>
          <w:tcPr>
            <w:tcW w:w="1201"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生态安全</w:t>
            </w:r>
          </w:p>
        </w:tc>
        <w:tc>
          <w:tcPr>
            <w:tcW w:w="2066"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泗水县柘沟拦河闸除险加固项目</w:t>
            </w:r>
          </w:p>
        </w:tc>
        <w:tc>
          <w:tcPr>
            <w:tcW w:w="8044"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拦河闸及河道清淤工程：在原址处改建拦河闸，对拦河闸上游500m至下游300m进行清淤治理</w:t>
            </w:r>
          </w:p>
        </w:tc>
        <w:tc>
          <w:tcPr>
            <w:tcW w:w="1095"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2023年</w:t>
            </w:r>
          </w:p>
        </w:tc>
        <w:tc>
          <w:tcPr>
            <w:tcW w:w="1188"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1540.66</w:t>
            </w:r>
          </w:p>
        </w:tc>
        <w:tc>
          <w:tcPr>
            <w:tcW w:w="1239" w:type="dxa"/>
            <w:vAlign w:val="center"/>
          </w:tcPr>
          <w:p>
            <w:pPr>
              <w:widowControl/>
              <w:spacing w:line="360" w:lineRule="exact"/>
              <w:jc w:val="center"/>
              <w:textAlignment w:val="center"/>
              <w:rPr>
                <w:rFonts w:ascii="仿宋" w:hAnsi="仿宋" w:eastAsia="仿宋" w:cs="仿宋"/>
                <w:color w:val="000000"/>
                <w:kern w:val="0"/>
                <w:sz w:val="20"/>
                <w:szCs w:val="20"/>
                <w:highlight w:val="none"/>
                <w:lang w:bidi="ar"/>
              </w:rPr>
            </w:pPr>
            <w:r>
              <w:rPr>
                <w:rFonts w:hint="eastAsia" w:ascii="仿宋" w:hAnsi="仿宋" w:eastAsia="仿宋" w:cs="仿宋"/>
                <w:color w:val="000000"/>
                <w:kern w:val="0"/>
                <w:sz w:val="20"/>
                <w:szCs w:val="20"/>
                <w:highlight w:val="none"/>
                <w:lang w:bidi="ar"/>
              </w:rPr>
              <w:t>县水务局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7</w:t>
            </w:r>
          </w:p>
        </w:tc>
        <w:tc>
          <w:tcPr>
            <w:tcW w:w="1201"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生态安全</w:t>
            </w:r>
          </w:p>
        </w:tc>
        <w:tc>
          <w:tcPr>
            <w:tcW w:w="2066"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泗水县华村水库增容工程</w:t>
            </w:r>
          </w:p>
        </w:tc>
        <w:tc>
          <w:tcPr>
            <w:tcW w:w="8044"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库区清淤扩挖、配套设施建设，增容后，兴利库容增加329.07万m³，总库容增加227.06万m³，水库规模为中型</w:t>
            </w:r>
          </w:p>
        </w:tc>
        <w:tc>
          <w:tcPr>
            <w:tcW w:w="1095"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2023年</w:t>
            </w:r>
          </w:p>
        </w:tc>
        <w:tc>
          <w:tcPr>
            <w:tcW w:w="1188"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8295.09</w:t>
            </w:r>
          </w:p>
        </w:tc>
        <w:tc>
          <w:tcPr>
            <w:tcW w:w="1239" w:type="dxa"/>
            <w:vAlign w:val="center"/>
          </w:tcPr>
          <w:p>
            <w:pPr>
              <w:widowControl/>
              <w:spacing w:line="360" w:lineRule="exact"/>
              <w:jc w:val="center"/>
              <w:textAlignment w:val="center"/>
              <w:rPr>
                <w:rFonts w:ascii="仿宋" w:hAnsi="仿宋" w:eastAsia="仿宋" w:cs="仿宋"/>
                <w:color w:val="000000"/>
                <w:kern w:val="0"/>
                <w:sz w:val="20"/>
                <w:szCs w:val="20"/>
                <w:highlight w:val="none"/>
                <w:lang w:bidi="ar"/>
              </w:rPr>
            </w:pPr>
            <w:r>
              <w:rPr>
                <w:rFonts w:hint="eastAsia" w:ascii="仿宋" w:hAnsi="仿宋" w:eastAsia="仿宋" w:cs="仿宋"/>
                <w:color w:val="000000"/>
                <w:kern w:val="0"/>
                <w:sz w:val="20"/>
                <w:szCs w:val="20"/>
                <w:highlight w:val="none"/>
                <w:lang w:bidi="ar"/>
              </w:rPr>
              <w:t>县水务局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8</w:t>
            </w:r>
          </w:p>
        </w:tc>
        <w:tc>
          <w:tcPr>
            <w:tcW w:w="1201"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生态安全</w:t>
            </w:r>
          </w:p>
        </w:tc>
        <w:tc>
          <w:tcPr>
            <w:tcW w:w="2066"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泗河治理工程</w:t>
            </w:r>
          </w:p>
        </w:tc>
        <w:tc>
          <w:tcPr>
            <w:tcW w:w="8044"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治理工程范围为泗河三角湾河入口（78+200）至贺庄水库大坝（130+700），全长52.5km。主要内容包括河道疏挖 20.57km，岸线及滩地整治长21.88km，防汛道路维修10.3km，支流口岸坡防护1.0km、险工护岸5.5km</w:t>
            </w:r>
          </w:p>
        </w:tc>
        <w:tc>
          <w:tcPr>
            <w:tcW w:w="1095"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2023年</w:t>
            </w:r>
          </w:p>
        </w:tc>
        <w:tc>
          <w:tcPr>
            <w:tcW w:w="1188"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18333.12</w:t>
            </w:r>
          </w:p>
        </w:tc>
        <w:tc>
          <w:tcPr>
            <w:tcW w:w="1239"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县水务局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9</w:t>
            </w:r>
          </w:p>
        </w:tc>
        <w:tc>
          <w:tcPr>
            <w:tcW w:w="1201"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生态安全</w:t>
            </w:r>
          </w:p>
        </w:tc>
        <w:tc>
          <w:tcPr>
            <w:tcW w:w="2066"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济河山洪沟防洪治理工程</w:t>
            </w:r>
          </w:p>
        </w:tc>
        <w:tc>
          <w:tcPr>
            <w:tcW w:w="8044"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项目投资1000万，主要进行河道疏浚开挖，综合治理3公里</w:t>
            </w:r>
          </w:p>
        </w:tc>
        <w:tc>
          <w:tcPr>
            <w:tcW w:w="1095"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2023年</w:t>
            </w:r>
          </w:p>
        </w:tc>
        <w:tc>
          <w:tcPr>
            <w:tcW w:w="1188"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1000</w:t>
            </w:r>
          </w:p>
        </w:tc>
        <w:tc>
          <w:tcPr>
            <w:tcW w:w="1239"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县水务局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10</w:t>
            </w:r>
          </w:p>
        </w:tc>
        <w:tc>
          <w:tcPr>
            <w:tcW w:w="1201"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生态安全</w:t>
            </w:r>
          </w:p>
        </w:tc>
        <w:tc>
          <w:tcPr>
            <w:tcW w:w="2066"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泗水县杨柳灌区续建配套与节水改造项目</w:t>
            </w:r>
          </w:p>
        </w:tc>
        <w:tc>
          <w:tcPr>
            <w:tcW w:w="8044"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干渠防渗改造，干渠水闸拆除重建，新建分水闸</w:t>
            </w:r>
          </w:p>
        </w:tc>
        <w:tc>
          <w:tcPr>
            <w:tcW w:w="1095"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2023年</w:t>
            </w:r>
          </w:p>
        </w:tc>
        <w:tc>
          <w:tcPr>
            <w:tcW w:w="1188"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2825</w:t>
            </w:r>
          </w:p>
        </w:tc>
        <w:tc>
          <w:tcPr>
            <w:tcW w:w="1239"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县水务局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11</w:t>
            </w:r>
          </w:p>
        </w:tc>
        <w:tc>
          <w:tcPr>
            <w:tcW w:w="1201"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生态生活</w:t>
            </w:r>
          </w:p>
        </w:tc>
        <w:tc>
          <w:tcPr>
            <w:tcW w:w="2066"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第二污水处理厂提标改造工程</w:t>
            </w:r>
          </w:p>
        </w:tc>
        <w:tc>
          <w:tcPr>
            <w:tcW w:w="8044"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新建事故池，应对进水 COD 短时急剧增加的情况；其次对现状 AAO 生物反应池进行改造，向好氧区投加填料，提高污泥浓度，延长污泥龄，强化氨氮去除效果；再次对现状 V 型滤池进行改造，更换配水系统、滤料及反冲洗风机等，改造为具有反硝化功能的深床滤池，强化总氮去除能力；最后在现状 V 型滤池与接触消毒池之间新增臭氧催化氧化单元，用于 COD 的深度去除，保障出水 COD 稳定达标</w:t>
            </w:r>
          </w:p>
        </w:tc>
        <w:tc>
          <w:tcPr>
            <w:tcW w:w="1095"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2023年</w:t>
            </w:r>
          </w:p>
        </w:tc>
        <w:tc>
          <w:tcPr>
            <w:tcW w:w="1188"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7949.37</w:t>
            </w:r>
          </w:p>
        </w:tc>
        <w:tc>
          <w:tcPr>
            <w:tcW w:w="1239"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县水务局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12</w:t>
            </w:r>
          </w:p>
        </w:tc>
        <w:tc>
          <w:tcPr>
            <w:tcW w:w="1201"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生态生活</w:t>
            </w:r>
          </w:p>
        </w:tc>
        <w:tc>
          <w:tcPr>
            <w:tcW w:w="2066"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泗水县生态新城污水处理厂</w:t>
            </w:r>
          </w:p>
        </w:tc>
        <w:tc>
          <w:tcPr>
            <w:tcW w:w="8044"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主要工程内容包括：地下箱体一座（含速闭闸门井、粗格栅、细格栅、曝气沉砂池、精细格栅、速沉池、A2O反应池、膜池及设备间、鼓风机房、污泥脱水机房、加药间、检修泵房、排涝泵房、消防水池、车行道及管廊等），地下箱体通道两座，紫外线消毒及出水计量渠一座，清水池及回用水泵房一座，综合楼一座，传达室一座等</w:t>
            </w:r>
          </w:p>
        </w:tc>
        <w:tc>
          <w:tcPr>
            <w:tcW w:w="1095"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2023年-2024年</w:t>
            </w:r>
          </w:p>
        </w:tc>
        <w:tc>
          <w:tcPr>
            <w:tcW w:w="1188"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55000</w:t>
            </w:r>
          </w:p>
        </w:tc>
        <w:tc>
          <w:tcPr>
            <w:tcW w:w="1239"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县水务局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13</w:t>
            </w:r>
          </w:p>
        </w:tc>
        <w:tc>
          <w:tcPr>
            <w:tcW w:w="1201"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生态经济</w:t>
            </w:r>
          </w:p>
        </w:tc>
        <w:tc>
          <w:tcPr>
            <w:tcW w:w="2066"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国家现代农业产业园</w:t>
            </w:r>
          </w:p>
        </w:tc>
        <w:tc>
          <w:tcPr>
            <w:tcW w:w="8044"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国家现代农业产业园范围包括杨柳镇、圣水峪镇、济河街道、苗馆镇、华村镇5个镇街和县经济开发区，规划面积49.2万亩，以甘薯产业为主导产业，重点打造种苗繁育、绿色种植、保鲜储存、精深加工、品牌营销、文化休闲于一体的现代农业产业园。</w:t>
            </w:r>
          </w:p>
        </w:tc>
        <w:tc>
          <w:tcPr>
            <w:tcW w:w="1095"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2022年-2024年</w:t>
            </w:r>
          </w:p>
        </w:tc>
        <w:tc>
          <w:tcPr>
            <w:tcW w:w="1188"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40150</w:t>
            </w:r>
          </w:p>
        </w:tc>
        <w:tc>
          <w:tcPr>
            <w:tcW w:w="1239"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14</w:t>
            </w:r>
          </w:p>
        </w:tc>
        <w:tc>
          <w:tcPr>
            <w:tcW w:w="1201"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生态生活</w:t>
            </w:r>
          </w:p>
        </w:tc>
        <w:tc>
          <w:tcPr>
            <w:tcW w:w="2066"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高标准农田建设</w:t>
            </w:r>
          </w:p>
        </w:tc>
        <w:tc>
          <w:tcPr>
            <w:tcW w:w="8044"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高标准农田建设项目建设面积6万亩，新建4万亩，改造提升2万亩，其中包含高效节水灌溉面积1.5万亩</w:t>
            </w:r>
          </w:p>
        </w:tc>
        <w:tc>
          <w:tcPr>
            <w:tcW w:w="1095"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2023年</w:t>
            </w:r>
          </w:p>
        </w:tc>
        <w:tc>
          <w:tcPr>
            <w:tcW w:w="1188"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14850</w:t>
            </w:r>
          </w:p>
        </w:tc>
        <w:tc>
          <w:tcPr>
            <w:tcW w:w="1239"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763"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15</w:t>
            </w:r>
          </w:p>
        </w:tc>
        <w:tc>
          <w:tcPr>
            <w:tcW w:w="1201"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生态经济</w:t>
            </w:r>
          </w:p>
        </w:tc>
        <w:tc>
          <w:tcPr>
            <w:tcW w:w="2066"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曲阜中联水泥有限公司工程材料分公司超低排放改造项目</w:t>
            </w:r>
          </w:p>
        </w:tc>
        <w:tc>
          <w:tcPr>
            <w:tcW w:w="8044"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根据山东省生态环境厅、山东省发展和改革委员会、山东省工业和信息化厅联合发布《山东省水泥行业超低排放改造实施方案》（鲁环发〔2022〕8 号）要求，公司进行有组织和无组织超低排放改造并进行验收</w:t>
            </w:r>
          </w:p>
        </w:tc>
        <w:tc>
          <w:tcPr>
            <w:tcW w:w="1095"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2023年</w:t>
            </w:r>
          </w:p>
        </w:tc>
        <w:tc>
          <w:tcPr>
            <w:tcW w:w="1188"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1200</w:t>
            </w:r>
          </w:p>
        </w:tc>
        <w:tc>
          <w:tcPr>
            <w:tcW w:w="1239"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曲阜中联水泥有限公司工程材料分公司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16</w:t>
            </w:r>
          </w:p>
        </w:tc>
        <w:tc>
          <w:tcPr>
            <w:tcW w:w="1201" w:type="dxa"/>
            <w:vAlign w:val="center"/>
          </w:tcPr>
          <w:p>
            <w:pPr>
              <w:widowControl/>
              <w:spacing w:line="380" w:lineRule="exact"/>
              <w:jc w:val="center"/>
              <w:textAlignment w:val="center"/>
              <w:rPr>
                <w:rFonts w:ascii="仿宋" w:hAnsi="仿宋" w:eastAsia="仿宋" w:cs="仿宋"/>
                <w:sz w:val="20"/>
                <w:szCs w:val="20"/>
                <w:highlight w:val="none"/>
              </w:rPr>
            </w:pPr>
            <w:r>
              <w:rPr>
                <w:rFonts w:hint="eastAsia" w:ascii="仿宋" w:hAnsi="仿宋" w:eastAsia="仿宋" w:cs="仿宋"/>
                <w:sz w:val="20"/>
                <w:szCs w:val="20"/>
                <w:highlight w:val="none"/>
              </w:rPr>
              <w:t>生态经济</w:t>
            </w:r>
          </w:p>
        </w:tc>
        <w:tc>
          <w:tcPr>
            <w:tcW w:w="2066"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济宁海螺超低排放改造项目</w:t>
            </w:r>
          </w:p>
        </w:tc>
        <w:tc>
          <w:tcPr>
            <w:tcW w:w="8044"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超低排放改造，对矿山3.5公里长皮带廊道封闭，建设一套环保一体化管控平台，清洁运输改造</w:t>
            </w:r>
          </w:p>
        </w:tc>
        <w:tc>
          <w:tcPr>
            <w:tcW w:w="1095"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2023年</w:t>
            </w:r>
          </w:p>
        </w:tc>
        <w:tc>
          <w:tcPr>
            <w:tcW w:w="1188"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2300</w:t>
            </w:r>
          </w:p>
        </w:tc>
        <w:tc>
          <w:tcPr>
            <w:tcW w:w="1239"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济宁海螺有限责任公司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17</w:t>
            </w:r>
          </w:p>
        </w:tc>
        <w:tc>
          <w:tcPr>
            <w:tcW w:w="1201" w:type="dxa"/>
            <w:vAlign w:val="center"/>
          </w:tcPr>
          <w:p>
            <w:pPr>
              <w:widowControl/>
              <w:spacing w:line="380" w:lineRule="exact"/>
              <w:jc w:val="center"/>
              <w:textAlignment w:val="center"/>
              <w:rPr>
                <w:rFonts w:ascii="仿宋" w:hAnsi="仿宋" w:eastAsia="仿宋" w:cs="仿宋"/>
                <w:sz w:val="20"/>
                <w:szCs w:val="20"/>
                <w:highlight w:val="none"/>
              </w:rPr>
            </w:pPr>
            <w:r>
              <w:rPr>
                <w:rFonts w:hint="eastAsia" w:ascii="仿宋" w:hAnsi="仿宋" w:eastAsia="仿宋" w:cs="仿宋"/>
                <w:sz w:val="20"/>
                <w:szCs w:val="20"/>
                <w:highlight w:val="none"/>
              </w:rPr>
              <w:t>生态经济</w:t>
            </w:r>
          </w:p>
        </w:tc>
        <w:tc>
          <w:tcPr>
            <w:tcW w:w="2066"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济宁中联有组织排放改造</w:t>
            </w:r>
          </w:p>
        </w:tc>
        <w:tc>
          <w:tcPr>
            <w:tcW w:w="8044"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深度自脱硝+精准SNCR改造，消减污染物排放</w:t>
            </w:r>
          </w:p>
        </w:tc>
        <w:tc>
          <w:tcPr>
            <w:tcW w:w="1095"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2023年</w:t>
            </w:r>
          </w:p>
        </w:tc>
        <w:tc>
          <w:tcPr>
            <w:tcW w:w="1188"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3990</w:t>
            </w:r>
          </w:p>
        </w:tc>
        <w:tc>
          <w:tcPr>
            <w:tcW w:w="1239"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济宁中联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18</w:t>
            </w:r>
          </w:p>
        </w:tc>
        <w:tc>
          <w:tcPr>
            <w:tcW w:w="1201"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生态生活</w:t>
            </w:r>
          </w:p>
        </w:tc>
        <w:tc>
          <w:tcPr>
            <w:tcW w:w="2066"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城市生活垃圾分类</w:t>
            </w:r>
          </w:p>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工程</w:t>
            </w:r>
          </w:p>
        </w:tc>
        <w:tc>
          <w:tcPr>
            <w:tcW w:w="8044"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实施城区161个建筑小区、95个公共机构、10个公园广场生活垃圾分类设施建设，配置分类垃圾桶、建设垃圾分类投放点，购置分类垃圾收集运输车12辆,改造垃圾中转站14座</w:t>
            </w:r>
          </w:p>
        </w:tc>
        <w:tc>
          <w:tcPr>
            <w:tcW w:w="1095"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2023年</w:t>
            </w:r>
          </w:p>
        </w:tc>
        <w:tc>
          <w:tcPr>
            <w:tcW w:w="1188"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5500</w:t>
            </w:r>
          </w:p>
        </w:tc>
        <w:tc>
          <w:tcPr>
            <w:tcW w:w="1239"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县住房城乡建设局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19</w:t>
            </w:r>
          </w:p>
        </w:tc>
        <w:tc>
          <w:tcPr>
            <w:tcW w:w="1201"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生态生活</w:t>
            </w:r>
          </w:p>
        </w:tc>
        <w:tc>
          <w:tcPr>
            <w:tcW w:w="2066"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城区雨污分流改造</w:t>
            </w:r>
          </w:p>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工程</w:t>
            </w:r>
          </w:p>
        </w:tc>
        <w:tc>
          <w:tcPr>
            <w:tcW w:w="8044"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实施45个以上老旧小区雨污分流改造；实施城区雨污水管网混接错接点排查整治及管网清淤疏通；实施城区雨污分流改造工程第三方检测。</w:t>
            </w:r>
          </w:p>
        </w:tc>
        <w:tc>
          <w:tcPr>
            <w:tcW w:w="1095"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2023年</w:t>
            </w:r>
          </w:p>
        </w:tc>
        <w:tc>
          <w:tcPr>
            <w:tcW w:w="1188"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2740</w:t>
            </w:r>
          </w:p>
        </w:tc>
        <w:tc>
          <w:tcPr>
            <w:tcW w:w="1239"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县住房城乡建设局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20</w:t>
            </w:r>
          </w:p>
        </w:tc>
        <w:tc>
          <w:tcPr>
            <w:tcW w:w="1201"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生态生活</w:t>
            </w:r>
          </w:p>
        </w:tc>
        <w:tc>
          <w:tcPr>
            <w:tcW w:w="2066"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城区老旧市政基础</w:t>
            </w:r>
          </w:p>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设施提升工程</w:t>
            </w:r>
          </w:p>
        </w:tc>
        <w:tc>
          <w:tcPr>
            <w:tcW w:w="8044"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实施城区部分道路门前区提升改造、桥梁检测及喷漆、道路修补及路沿石更换、照明设施提升、城区绿化提升；实施城区公共服务区域无障碍设施标准化改造；对垃圾填埋场填埋区及渗滤液调节池进行两侧防渗层检测；按照垃圾分类标准更换城区果皮箱300个；聘请第三方编制绿地系统规划、海绵城市规划，进行城区绿化遥感测绘、市自体检，制作宣传片；城区供热供汽管网改造建设</w:t>
            </w:r>
          </w:p>
        </w:tc>
        <w:tc>
          <w:tcPr>
            <w:tcW w:w="1095"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2023年</w:t>
            </w:r>
          </w:p>
        </w:tc>
        <w:tc>
          <w:tcPr>
            <w:tcW w:w="1188"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4920</w:t>
            </w:r>
          </w:p>
        </w:tc>
        <w:tc>
          <w:tcPr>
            <w:tcW w:w="1239"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县住房城乡建设局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21</w:t>
            </w:r>
          </w:p>
        </w:tc>
        <w:tc>
          <w:tcPr>
            <w:tcW w:w="1201"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生态生活</w:t>
            </w:r>
          </w:p>
        </w:tc>
        <w:tc>
          <w:tcPr>
            <w:tcW w:w="2066"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农村厕所革命工程</w:t>
            </w:r>
          </w:p>
        </w:tc>
        <w:tc>
          <w:tcPr>
            <w:tcW w:w="8044"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农村户厕后续管护,全县9.8万户厕，按照“十有”标准建立后续服务长效机制；全县农村户厕及公厕粪污年运输、处理；实施新增户厕改造100户</w:t>
            </w:r>
          </w:p>
        </w:tc>
        <w:tc>
          <w:tcPr>
            <w:tcW w:w="1095"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2023年</w:t>
            </w:r>
          </w:p>
        </w:tc>
        <w:tc>
          <w:tcPr>
            <w:tcW w:w="1188"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374</w:t>
            </w:r>
          </w:p>
        </w:tc>
        <w:tc>
          <w:tcPr>
            <w:tcW w:w="1239"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县住房城乡建设局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22</w:t>
            </w:r>
          </w:p>
        </w:tc>
        <w:tc>
          <w:tcPr>
            <w:tcW w:w="1201"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生态生活</w:t>
            </w:r>
          </w:p>
        </w:tc>
        <w:tc>
          <w:tcPr>
            <w:tcW w:w="2066"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城区道路绿化、亮化工程</w:t>
            </w:r>
          </w:p>
        </w:tc>
        <w:tc>
          <w:tcPr>
            <w:tcW w:w="8044"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实施中兴路、圣华路、泗阳大道和万向城北侧,占地36.49公顷的绿化工程建设；实施泗阳大道、圣哲路、圣华路东支路、圣册路东支路、圣康路、洙泗小学东道路、金柘线、东盛路廊桥、圣安路6处街头绿地451 杆路灯和3台变压器安装；实施城区9600盏路灯节能及智慧化管控升级改造，对路灯加装单灯智能控制系统，实现单灯智能调光、远程开关控制等</w:t>
            </w:r>
          </w:p>
        </w:tc>
        <w:tc>
          <w:tcPr>
            <w:tcW w:w="1095"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2023年</w:t>
            </w:r>
          </w:p>
        </w:tc>
        <w:tc>
          <w:tcPr>
            <w:tcW w:w="1188"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13372</w:t>
            </w:r>
          </w:p>
        </w:tc>
        <w:tc>
          <w:tcPr>
            <w:tcW w:w="1239"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县住房城乡</w:t>
            </w:r>
          </w:p>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23</w:t>
            </w:r>
          </w:p>
        </w:tc>
        <w:tc>
          <w:tcPr>
            <w:tcW w:w="1201"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生态生活</w:t>
            </w:r>
          </w:p>
        </w:tc>
        <w:tc>
          <w:tcPr>
            <w:tcW w:w="2066" w:type="dxa"/>
            <w:vAlign w:val="center"/>
          </w:tcPr>
          <w:p>
            <w:pPr>
              <w:widowControl w:val="0"/>
              <w:jc w:val="both"/>
              <w:rPr>
                <w:rFonts w:ascii="仿宋" w:hAnsi="仿宋" w:eastAsia="仿宋" w:cs="仿宋"/>
                <w:sz w:val="20"/>
                <w:szCs w:val="20"/>
                <w:highlight w:val="none"/>
              </w:rPr>
            </w:pPr>
            <w:r>
              <w:rPr>
                <w:rFonts w:hint="eastAsia" w:ascii="仿宋" w:hAnsi="仿宋" w:eastAsia="仿宋" w:cs="仿宋"/>
                <w:sz w:val="20"/>
                <w:szCs w:val="20"/>
                <w:highlight w:val="none"/>
              </w:rPr>
              <w:t>乡村道路提升及户户通工程</w:t>
            </w:r>
          </w:p>
        </w:tc>
        <w:tc>
          <w:tcPr>
            <w:tcW w:w="8044"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实施50公里乡村道路提升及75公里户户通工程</w:t>
            </w:r>
          </w:p>
        </w:tc>
        <w:tc>
          <w:tcPr>
            <w:tcW w:w="1095"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2023年</w:t>
            </w:r>
          </w:p>
        </w:tc>
        <w:tc>
          <w:tcPr>
            <w:tcW w:w="1188"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7220</w:t>
            </w:r>
          </w:p>
        </w:tc>
        <w:tc>
          <w:tcPr>
            <w:tcW w:w="1239"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县交通</w:t>
            </w:r>
          </w:p>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24</w:t>
            </w:r>
          </w:p>
        </w:tc>
        <w:tc>
          <w:tcPr>
            <w:tcW w:w="1201"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生态生活</w:t>
            </w:r>
          </w:p>
        </w:tc>
        <w:tc>
          <w:tcPr>
            <w:tcW w:w="2066"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2023年泗水县农村</w:t>
            </w:r>
          </w:p>
          <w:p>
            <w:pPr>
              <w:widowControl w:val="0"/>
              <w:jc w:val="both"/>
              <w:rPr>
                <w:rFonts w:ascii="仿宋" w:hAnsi="仿宋" w:eastAsia="仿宋" w:cs="仿宋"/>
                <w:sz w:val="20"/>
                <w:szCs w:val="20"/>
                <w:highlight w:val="none"/>
              </w:rPr>
            </w:pPr>
            <w:r>
              <w:rPr>
                <w:rFonts w:hint="eastAsia" w:ascii="仿宋" w:hAnsi="仿宋" w:eastAsia="仿宋" w:cs="仿宋"/>
                <w:sz w:val="20"/>
                <w:szCs w:val="20"/>
                <w:highlight w:val="none"/>
              </w:rPr>
              <w:t>生活污水治理项目</w:t>
            </w:r>
          </w:p>
        </w:tc>
        <w:tc>
          <w:tcPr>
            <w:tcW w:w="8044"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对9个镇（街道）95个村庄进行污水治理，主要建设管网工程、污水处理终端工程以及坑塘（沟渠）治理工程。新建污水处理装置总处理规模3360m</w:t>
            </w:r>
            <w:r>
              <w:rPr>
                <w:rFonts w:hint="eastAsia" w:ascii="仿宋" w:hAnsi="仿宋" w:eastAsia="仿宋" w:cs="仿宋"/>
                <w:sz w:val="20"/>
                <w:szCs w:val="20"/>
                <w:highlight w:val="none"/>
                <w:vertAlign w:val="superscript"/>
              </w:rPr>
              <w:t>3</w:t>
            </w:r>
            <w:r>
              <w:rPr>
                <w:rFonts w:hint="eastAsia" w:ascii="仿宋" w:hAnsi="仿宋" w:eastAsia="仿宋" w:cs="仿宋"/>
                <w:sz w:val="20"/>
                <w:szCs w:val="20"/>
                <w:highlight w:val="none"/>
              </w:rPr>
              <w:t>/d,采用分散处理治理模式</w:t>
            </w:r>
          </w:p>
        </w:tc>
        <w:tc>
          <w:tcPr>
            <w:tcW w:w="1095"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2023年</w:t>
            </w:r>
          </w:p>
        </w:tc>
        <w:tc>
          <w:tcPr>
            <w:tcW w:w="1188"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19000</w:t>
            </w:r>
          </w:p>
        </w:tc>
        <w:tc>
          <w:tcPr>
            <w:tcW w:w="1239"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县水务局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25</w:t>
            </w:r>
          </w:p>
        </w:tc>
        <w:tc>
          <w:tcPr>
            <w:tcW w:w="1201"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生态空间</w:t>
            </w:r>
          </w:p>
        </w:tc>
        <w:tc>
          <w:tcPr>
            <w:tcW w:w="2066"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泗水县林业生态建设工程</w:t>
            </w:r>
          </w:p>
        </w:tc>
        <w:tc>
          <w:tcPr>
            <w:tcW w:w="8044"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开展森林质量精准提升、宜林地造林、村庄绿化、森林防火能力提升等工程，规划荒山绿化造林13246亩,森林抚育6000亩,村庄绿化20个,涉及11个镇(街道)和2个国有林场</w:t>
            </w:r>
          </w:p>
        </w:tc>
        <w:tc>
          <w:tcPr>
            <w:tcW w:w="1095"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2023年-2024年</w:t>
            </w:r>
          </w:p>
        </w:tc>
        <w:tc>
          <w:tcPr>
            <w:tcW w:w="1188"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10535</w:t>
            </w:r>
          </w:p>
        </w:tc>
        <w:tc>
          <w:tcPr>
            <w:tcW w:w="1239"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县自然资源</w:t>
            </w:r>
          </w:p>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26</w:t>
            </w:r>
          </w:p>
        </w:tc>
        <w:tc>
          <w:tcPr>
            <w:tcW w:w="1201"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生态空间</w:t>
            </w:r>
          </w:p>
        </w:tc>
        <w:tc>
          <w:tcPr>
            <w:tcW w:w="2066" w:type="dxa"/>
            <w:vAlign w:val="center"/>
          </w:tcPr>
          <w:p>
            <w:pPr>
              <w:widowControl w:val="0"/>
              <w:jc w:val="both"/>
              <w:rPr>
                <w:rFonts w:ascii="仿宋" w:hAnsi="仿宋" w:eastAsia="仿宋" w:cs="仿宋"/>
                <w:sz w:val="20"/>
                <w:szCs w:val="20"/>
                <w:highlight w:val="none"/>
              </w:rPr>
            </w:pPr>
            <w:r>
              <w:rPr>
                <w:rFonts w:hint="eastAsia" w:ascii="仿宋" w:hAnsi="仿宋" w:eastAsia="仿宋" w:cs="仿宋"/>
                <w:sz w:val="20"/>
                <w:szCs w:val="20"/>
                <w:highlight w:val="none"/>
              </w:rPr>
              <w:t>历史遗留关停矿山</w:t>
            </w:r>
          </w:p>
          <w:p>
            <w:pPr>
              <w:widowControl w:val="0"/>
              <w:jc w:val="both"/>
              <w:rPr>
                <w:rFonts w:ascii="仿宋" w:hAnsi="仿宋" w:eastAsia="仿宋" w:cs="仿宋"/>
                <w:sz w:val="20"/>
                <w:szCs w:val="20"/>
                <w:highlight w:val="none"/>
              </w:rPr>
            </w:pPr>
            <w:r>
              <w:rPr>
                <w:rFonts w:hint="eastAsia" w:ascii="仿宋" w:hAnsi="仿宋" w:eastAsia="仿宋" w:cs="仿宋"/>
                <w:sz w:val="20"/>
                <w:szCs w:val="20"/>
                <w:highlight w:val="none"/>
              </w:rPr>
              <w:t>生态修复工程</w:t>
            </w:r>
          </w:p>
        </w:tc>
        <w:tc>
          <w:tcPr>
            <w:tcW w:w="8044"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根据《泗水县矿山生态修复总体方案2022-2025年》对历史遗留矿山治理区域通过削坡、整平、覆土、栽植绿化苗木等措施，对破损山体进行修复治理</w:t>
            </w:r>
          </w:p>
        </w:tc>
        <w:tc>
          <w:tcPr>
            <w:tcW w:w="1095"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2023年-2025年</w:t>
            </w:r>
          </w:p>
        </w:tc>
        <w:tc>
          <w:tcPr>
            <w:tcW w:w="1188"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14400</w:t>
            </w:r>
          </w:p>
        </w:tc>
        <w:tc>
          <w:tcPr>
            <w:tcW w:w="1239"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县自然资源</w:t>
            </w:r>
          </w:p>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27</w:t>
            </w:r>
          </w:p>
        </w:tc>
        <w:tc>
          <w:tcPr>
            <w:tcW w:w="1201"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生态安全</w:t>
            </w:r>
          </w:p>
        </w:tc>
        <w:tc>
          <w:tcPr>
            <w:tcW w:w="2066"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泗水县应急物资仓</w:t>
            </w:r>
          </w:p>
          <w:p>
            <w:pPr>
              <w:widowControl w:val="0"/>
              <w:jc w:val="both"/>
              <w:rPr>
                <w:rFonts w:ascii="仿宋" w:hAnsi="仿宋" w:eastAsia="仿宋" w:cs="仿宋"/>
                <w:sz w:val="20"/>
                <w:szCs w:val="20"/>
                <w:highlight w:val="none"/>
              </w:rPr>
            </w:pPr>
            <w:r>
              <w:rPr>
                <w:rFonts w:hint="eastAsia" w:ascii="仿宋" w:hAnsi="仿宋" w:eastAsia="仿宋" w:cs="仿宋"/>
                <w:sz w:val="20"/>
                <w:szCs w:val="20"/>
                <w:highlight w:val="none"/>
              </w:rPr>
              <w:t>储中心建设项目</w:t>
            </w:r>
          </w:p>
        </w:tc>
        <w:tc>
          <w:tcPr>
            <w:tcW w:w="8044"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该项目总建筑面积1.65万平方米,建设抢险救灾、防疫物资、消防救援、生活保障、防汛抗旱、森林防火等物资仓储库。同步建设室外配套工程，主要包括供热、供电、供水等附属工程</w:t>
            </w:r>
          </w:p>
        </w:tc>
        <w:tc>
          <w:tcPr>
            <w:tcW w:w="1095"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2023年-2025年</w:t>
            </w:r>
          </w:p>
        </w:tc>
        <w:tc>
          <w:tcPr>
            <w:tcW w:w="1188"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8000</w:t>
            </w:r>
          </w:p>
        </w:tc>
        <w:tc>
          <w:tcPr>
            <w:tcW w:w="1239"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县应急局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28</w:t>
            </w:r>
          </w:p>
        </w:tc>
        <w:tc>
          <w:tcPr>
            <w:tcW w:w="1201"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生态经济</w:t>
            </w:r>
          </w:p>
        </w:tc>
        <w:tc>
          <w:tcPr>
            <w:tcW w:w="2066"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泗水县圣源湖景区提升工程</w:t>
            </w:r>
          </w:p>
        </w:tc>
        <w:tc>
          <w:tcPr>
            <w:tcW w:w="8044"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计划建设地上文创商业综合体18000 平方米、地下停车场15000平方米,其中停车场10000 平方米,其他5000平方米，实施景观、铺装、道路等基础设施</w:t>
            </w:r>
          </w:p>
        </w:tc>
        <w:tc>
          <w:tcPr>
            <w:tcW w:w="1095"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2023年-2024年</w:t>
            </w:r>
          </w:p>
        </w:tc>
        <w:tc>
          <w:tcPr>
            <w:tcW w:w="1188"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22000</w:t>
            </w:r>
          </w:p>
        </w:tc>
        <w:tc>
          <w:tcPr>
            <w:tcW w:w="1239" w:type="dxa"/>
            <w:vAlign w:val="center"/>
          </w:tcPr>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县住房城乡</w:t>
            </w:r>
          </w:p>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建设局、</w:t>
            </w:r>
          </w:p>
          <w:p>
            <w:pPr>
              <w:widowControl w:val="0"/>
              <w:jc w:val="center"/>
              <w:rPr>
                <w:rFonts w:ascii="仿宋" w:hAnsi="仿宋" w:eastAsia="仿宋" w:cs="仿宋"/>
                <w:sz w:val="20"/>
                <w:szCs w:val="20"/>
                <w:highlight w:val="none"/>
              </w:rPr>
            </w:pPr>
            <w:r>
              <w:rPr>
                <w:rFonts w:hint="eastAsia" w:ascii="仿宋" w:hAnsi="仿宋" w:eastAsia="仿宋" w:cs="仿宋"/>
                <w:sz w:val="20"/>
                <w:szCs w:val="20"/>
                <w:highlight w:val="none"/>
              </w:rPr>
              <w:t>泗兴集团</w:t>
            </w:r>
          </w:p>
        </w:tc>
      </w:tr>
    </w:tbl>
    <w:p>
      <w:pPr>
        <w:rPr>
          <w:highlight w:val="none"/>
        </w:rPr>
        <w:sectPr>
          <w:pgSz w:w="16838" w:h="11906" w:orient="landscape"/>
          <w:pgMar w:top="1800" w:right="1440" w:bottom="1800" w:left="1440" w:header="851" w:footer="992" w:gutter="0"/>
          <w:cols w:space="425" w:num="1"/>
          <w:docGrid w:type="lines" w:linePitch="312" w:charSpace="0"/>
        </w:sectPr>
      </w:pPr>
    </w:p>
    <w:p>
      <w:pPr>
        <w:pStyle w:val="11"/>
        <w:ind w:firstLine="0" w:firstLineChars="0"/>
        <w:rPr>
          <w:highlight w:val="none"/>
        </w:rPr>
      </w:pP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default" w:ascii="方正小标宋简体" w:hAnsi="方正小标宋简体" w:eastAsia="方正小标宋简体" w:cs="方正小标宋简体"/>
          <w:sz w:val="44"/>
          <w:szCs w:val="44"/>
          <w:lang w:val="en-US" w:eastAsia="zh-CN"/>
        </w:rPr>
        <w:t>《</w:t>
      </w:r>
      <w:r>
        <w:rPr>
          <w:rFonts w:hint="eastAsia" w:ascii="方正小标宋简体" w:hAnsi="方正小标宋简体" w:eastAsia="方正小标宋简体" w:cs="方正小标宋简体"/>
          <w:sz w:val="44"/>
          <w:szCs w:val="44"/>
          <w:lang w:val="en-US" w:eastAsia="zh-CN"/>
        </w:rPr>
        <w:t>济宁市泗水县</w:t>
      </w:r>
      <w:r>
        <w:rPr>
          <w:rFonts w:hint="default" w:ascii="方正小标宋简体" w:hAnsi="方正小标宋简体" w:eastAsia="方正小标宋简体" w:cs="方正小标宋简体"/>
          <w:sz w:val="44"/>
          <w:szCs w:val="44"/>
          <w:lang w:val="en-US" w:eastAsia="zh-CN"/>
        </w:rPr>
        <w:t>生态文明建设示范区</w:t>
      </w:r>
      <w:r>
        <w:rPr>
          <w:rFonts w:hint="eastAsia" w:ascii="方正小标宋简体" w:hAnsi="方正小标宋简体" w:eastAsia="方正小标宋简体" w:cs="方正小标宋简体"/>
          <w:sz w:val="44"/>
          <w:szCs w:val="44"/>
          <w:lang w:val="en-US" w:eastAsia="zh-CN"/>
        </w:rPr>
        <w:t>规划</w:t>
      </w:r>
      <w:r>
        <w:rPr>
          <w:rFonts w:hint="default" w:ascii="方正小标宋简体" w:hAnsi="方正小标宋简体" w:eastAsia="方正小标宋简体" w:cs="方正小标宋简体"/>
          <w:sz w:val="44"/>
          <w:szCs w:val="44"/>
          <w:lang w:val="en-US" w:eastAsia="zh-CN"/>
        </w:rPr>
        <w:t>（2023</w:t>
      </w:r>
      <w:r>
        <w:rPr>
          <w:rFonts w:hint="eastAsia" w:ascii="方正小标宋简体" w:hAnsi="方正小标宋简体" w:eastAsia="方正小标宋简体" w:cs="方正小标宋简体"/>
          <w:sz w:val="44"/>
          <w:szCs w:val="44"/>
          <w:lang w:val="en-US" w:eastAsia="zh-CN"/>
        </w:rPr>
        <w:t>-</w:t>
      </w:r>
      <w:r>
        <w:rPr>
          <w:rFonts w:hint="default" w:ascii="方正小标宋简体" w:hAnsi="方正小标宋简体" w:eastAsia="方正小标宋简体" w:cs="方正小标宋简体"/>
          <w:sz w:val="44"/>
          <w:szCs w:val="44"/>
          <w:lang w:val="en-US" w:eastAsia="zh-CN"/>
        </w:rPr>
        <w:t>203</w:t>
      </w:r>
      <w:r>
        <w:rPr>
          <w:rFonts w:hint="eastAsia" w:ascii="方正小标宋简体" w:hAnsi="方正小标宋简体" w:eastAsia="方正小标宋简体" w:cs="方正小标宋简体"/>
          <w:sz w:val="44"/>
          <w:szCs w:val="44"/>
          <w:lang w:val="en-US" w:eastAsia="zh-CN"/>
        </w:rPr>
        <w:t>0</w:t>
      </w:r>
      <w:r>
        <w:rPr>
          <w:rFonts w:hint="default" w:ascii="方正小标宋简体" w:hAnsi="方正小标宋简体" w:eastAsia="方正小标宋简体" w:cs="方正小标宋简体"/>
          <w:sz w:val="44"/>
          <w:szCs w:val="44"/>
          <w:lang w:val="en-US" w:eastAsia="zh-CN"/>
        </w:rPr>
        <w:t>年）》</w:t>
      </w:r>
      <w:r>
        <w:rPr>
          <w:rFonts w:hint="eastAsia" w:ascii="方正小标宋简体" w:hAnsi="方正小标宋简体" w:eastAsia="方正小标宋简体" w:cs="方正小标宋简体"/>
          <w:sz w:val="44"/>
          <w:szCs w:val="44"/>
          <w:lang w:val="en-US" w:eastAsia="zh-CN"/>
        </w:rPr>
        <w:t>文件解读</w:t>
      </w:r>
    </w:p>
    <w:p>
      <w:pPr>
        <w:keepNext w:val="0"/>
        <w:keepLines w:val="0"/>
        <w:pageBreakBefore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一、《规划》出台的背景</w:t>
      </w:r>
    </w:p>
    <w:p>
      <w:pPr>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党的十八大将生态文明建设纳入中国特色社会主义事业“五位一体”总体布局，“美丽中国”成为生态文明建设的远景目标。党的十九大提出，建设生态文明是中华民族永续发展的千年大计，功在当代、利在千秋。党的二十大报告再次强调“尊重自然、顺应自然、保护自然”，要求“牢固树立和践行绿水青山就是金山银山的理念，站在人与自然和谐共生的高度谋划发展”，一系列重大部署，宣示了以习近平同志为核心的党中央推进生态文明建设的坚定决心。</w:t>
      </w:r>
    </w:p>
    <w:p>
      <w:pPr>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十四五”时期，我国生态文明建设进入以降碳为重点战略方向、推动减污降碳协同增效、促进经济社会发展全面绿色转型、实现生态环境质量改善由量变到质变的关键时期，也是山东省奋力实现“走在前列、全面开创”的关键时期。</w:t>
      </w:r>
    </w:p>
    <w:p>
      <w:pPr>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创建生态文明建设示范区，是深入践行习近平生态文明思想，全面贯彻落实习近平总书记视察山东重要讲话精神的具体体现；是深入推进“生态立县”战略部署，聚焦加快建成“生态泗水、活力泗水、文化泗水、幸福泗水”，打造生态文明建设先行区示范区的重要抓手；是以绿色经济为引领，推动泗水县经济社会高质量发展的内在要求。</w:t>
      </w:r>
    </w:p>
    <w:p>
      <w:pPr>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二、《规划》的制订依据</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答:《规划》主要依据《中华人民共和国环境保护法》《中华人民共和国水污染防治法》等14部法律法规，《中共中央 国务院关于加快推进生态文明建设的意见》《生态文明体制改革总体方案》等19部国家相关文件，《关于加快推进生态文明建设的实施方案》《山东省生态环境厅关于印发&lt;山东省省级生态文明建设示范区管理规程&gt;&lt;山东省省级生态文明建设示范区指标&gt;和&lt;山东省省级“绿水青山就是金山银山”实践创新基地建设管理规程（试行）&gt;的通知》等12部山东省相关文件以及《济宁市人民政府关于印发济宁市国民经济和社会发展第十四个五年规划和 2035 年远景目标纲要的通知》《泗水县生态环境保护委员会办公室关于印发泗水县2023年污染防治攻坚方案的通知》等22部市、县相关文件进行编制。</w:t>
      </w:r>
    </w:p>
    <w:p>
      <w:pPr>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三、《规划》的主要目标</w:t>
      </w:r>
    </w:p>
    <w:p>
      <w:pPr>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答:全面深入推进生态文明建设和生态环境保护，高站位、高标准、高质量创建生态文明建设示范区，不断完善生态环境治理体系，提升治理能力现代化水平，实行最严格的生态环境保护制度，创新和完善生态文明体制机制，持续改善生态环境质量，构建以绿色、低碳、循环为特征的生态经济体系，基本形成符合生态文明理念的发展模式、产业体系和生活方式，为建成“生态泗水、活力泗水、文化泗水、幸福泗水”提供坚实保障。 </w:t>
      </w:r>
    </w:p>
    <w:p>
      <w:pPr>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四、《规划》的主要范围及时限</w:t>
      </w:r>
    </w:p>
    <w:p>
      <w:pPr>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答:本次规划范围为泗水县行政辖区范围，包括泉林镇、柘沟镇、杨柳镇、中册镇、高峪镇、苗馆镇、金庄镇、泗张镇、圣水峪镇、华村镇、泗河街道、济河街道11个镇2个街道，总面积1118.12平方公里。本规划基准年为2022年，近期规划期限为2023年-2025年，远期规划期限为2026 年-2030年。</w:t>
      </w:r>
    </w:p>
    <w:p>
      <w:pPr>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五、《规划》的主要内容</w:t>
      </w:r>
    </w:p>
    <w:p>
      <w:pPr>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答:依据《山东省省级生态文明建设示范区指标》《国家生态文明建设示范区建设指标（修订版）》等相关要求，确定济宁市泗水县生态文明建设示范区规划指标体系，包括生态制度、生态安全、生态空间、生态经济、生态生活、生态文化六大领域，共计37项指标。</w:t>
      </w:r>
    </w:p>
    <w:p>
      <w:pPr>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规划任务紧紧围绕生态文明建设示范区涵盖的6个领域来设置，主要分为以下六个部分:</w:t>
      </w:r>
    </w:p>
    <w:p>
      <w:pPr>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第一部分为建设基础。总结泗水县</w:t>
      </w:r>
      <w:r>
        <w:rPr>
          <w:rFonts w:hint="default" w:ascii="方正仿宋_GBK" w:hAnsi="方正仿宋_GBK" w:eastAsia="方正仿宋_GBK" w:cs="方正仿宋_GBK"/>
          <w:sz w:val="32"/>
          <w:szCs w:val="32"/>
          <w:lang w:val="en-US" w:eastAsia="zh-CN"/>
        </w:rPr>
        <w:t>生态文明创建的优势条件和工作成效</w:t>
      </w:r>
      <w:r>
        <w:rPr>
          <w:rFonts w:hint="eastAsia" w:ascii="方正仿宋_GBK" w:hAnsi="方正仿宋_GBK" w:eastAsia="方正仿宋_GBK" w:cs="方正仿宋_GBK"/>
          <w:sz w:val="32"/>
          <w:szCs w:val="32"/>
          <w:lang w:val="en-US" w:eastAsia="zh-CN"/>
        </w:rPr>
        <w:t>。</w:t>
      </w:r>
    </w:p>
    <w:p>
      <w:pPr>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第二部分为形势分析。针对生态文明建设示范区涵盖的6个领域，提出主要问题和短板，分析面临的机遇与挑战。</w:t>
      </w:r>
    </w:p>
    <w:p>
      <w:pPr>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第三部分为规划总则。提出规划指导思想、规划原则</w:t>
      </w:r>
      <w:r>
        <w:rPr>
          <w:rFonts w:hint="default"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lang w:val="en-US" w:eastAsia="zh-CN"/>
        </w:rPr>
        <w:t>编制依据、</w:t>
      </w:r>
      <w:r>
        <w:rPr>
          <w:rFonts w:hint="default" w:ascii="方正仿宋_GBK" w:hAnsi="方正仿宋_GBK" w:eastAsia="方正仿宋_GBK" w:cs="方正仿宋_GBK"/>
          <w:sz w:val="32"/>
          <w:szCs w:val="32"/>
          <w:lang w:val="en-US" w:eastAsia="zh-CN"/>
        </w:rPr>
        <w:t>规划范围与期限、</w:t>
      </w:r>
      <w:r>
        <w:rPr>
          <w:rFonts w:hint="eastAsia" w:ascii="方正仿宋_GBK" w:hAnsi="方正仿宋_GBK" w:eastAsia="方正仿宋_GBK" w:cs="方正仿宋_GBK"/>
          <w:sz w:val="32"/>
          <w:szCs w:val="32"/>
          <w:lang w:val="en-US" w:eastAsia="zh-CN"/>
        </w:rPr>
        <w:t>战略定位、</w:t>
      </w:r>
      <w:r>
        <w:rPr>
          <w:rFonts w:hint="default" w:ascii="方正仿宋_GBK" w:hAnsi="方正仿宋_GBK" w:eastAsia="方正仿宋_GBK" w:cs="方正仿宋_GBK"/>
          <w:sz w:val="32"/>
          <w:szCs w:val="32"/>
          <w:lang w:val="en-US" w:eastAsia="zh-CN"/>
        </w:rPr>
        <w:t>规划目标、建设指标。依据《山东省省级生态文明建设示范区指标》，提出规划总体目标、阶段目标和3</w:t>
      </w:r>
      <w:r>
        <w:rPr>
          <w:rFonts w:hint="eastAsia" w:ascii="方正仿宋_GBK" w:hAnsi="方正仿宋_GBK" w:eastAsia="方正仿宋_GBK" w:cs="方正仿宋_GBK"/>
          <w:sz w:val="32"/>
          <w:szCs w:val="32"/>
          <w:lang w:val="en-US" w:eastAsia="zh-CN"/>
        </w:rPr>
        <w:t>7</w:t>
      </w:r>
      <w:r>
        <w:rPr>
          <w:rFonts w:hint="default" w:ascii="方正仿宋_GBK" w:hAnsi="方正仿宋_GBK" w:eastAsia="方正仿宋_GBK" w:cs="方正仿宋_GBK"/>
          <w:sz w:val="32"/>
          <w:szCs w:val="32"/>
          <w:lang w:val="en-US" w:eastAsia="zh-CN"/>
        </w:rPr>
        <w:t>项建设指标，分析各项指标的达标情况。</w:t>
      </w:r>
    </w:p>
    <w:p>
      <w:pPr>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第四部分为</w:t>
      </w:r>
      <w:r>
        <w:rPr>
          <w:rFonts w:hint="default" w:ascii="方正仿宋_GBK" w:hAnsi="方正仿宋_GBK" w:eastAsia="方正仿宋_GBK" w:cs="方正仿宋_GBK"/>
          <w:sz w:val="32"/>
          <w:szCs w:val="32"/>
          <w:lang w:val="en-US" w:eastAsia="zh-CN"/>
        </w:rPr>
        <w:t>规划任务与措施</w:t>
      </w:r>
      <w:r>
        <w:rPr>
          <w:rFonts w:hint="eastAsia" w:ascii="方正仿宋_GBK" w:hAnsi="方正仿宋_GBK" w:eastAsia="方正仿宋_GBK" w:cs="方正仿宋_GBK"/>
          <w:sz w:val="32"/>
          <w:szCs w:val="32"/>
          <w:lang w:val="en-US" w:eastAsia="zh-CN"/>
        </w:rPr>
        <w:t>。结合泗水县</w:t>
      </w:r>
      <w:r>
        <w:rPr>
          <w:rFonts w:hint="default" w:ascii="方正仿宋_GBK" w:hAnsi="方正仿宋_GBK" w:eastAsia="方正仿宋_GBK" w:cs="方正仿宋_GBK"/>
          <w:sz w:val="32"/>
          <w:szCs w:val="32"/>
          <w:lang w:val="en-US" w:eastAsia="zh-CN"/>
        </w:rPr>
        <w:t>生态文明建设的现实基础与面临形势，根据规划目标，坚持目标导向和问题导向，研究提出建立完善的生态制度体系、</w:t>
      </w:r>
      <w:r>
        <w:rPr>
          <w:rFonts w:hint="eastAsia" w:ascii="方正仿宋_GBK" w:hAnsi="方正仿宋_GBK" w:eastAsia="方正仿宋_GBK" w:cs="方正仿宋_GBK"/>
          <w:sz w:val="32"/>
          <w:szCs w:val="32"/>
          <w:lang w:val="en-US" w:eastAsia="zh-CN"/>
        </w:rPr>
        <w:t>完善生态安全体系、优化国土空间开发、构筑生态经济体系、完善生态生活体系、厚植生态文明理念</w:t>
      </w:r>
      <w:r>
        <w:rPr>
          <w:rFonts w:hint="default" w:ascii="方正仿宋_GBK" w:hAnsi="方正仿宋_GBK" w:eastAsia="方正仿宋_GBK" w:cs="方正仿宋_GBK"/>
          <w:sz w:val="32"/>
          <w:szCs w:val="32"/>
          <w:lang w:val="en-US" w:eastAsia="zh-CN"/>
        </w:rPr>
        <w:t>等六大体系任务措施。生态文明建设全面融入经济建设、政治建设、文化建设、社会建设各方面和全过程，生态文明建设示范区成为</w:t>
      </w:r>
      <w:r>
        <w:rPr>
          <w:rFonts w:hint="eastAsia" w:ascii="方正仿宋_GBK" w:hAnsi="方正仿宋_GBK" w:eastAsia="方正仿宋_GBK" w:cs="方正仿宋_GBK"/>
          <w:sz w:val="32"/>
          <w:szCs w:val="32"/>
          <w:lang w:val="en-US" w:eastAsia="zh-CN"/>
        </w:rPr>
        <w:t>泗水</w:t>
      </w:r>
      <w:r>
        <w:rPr>
          <w:rFonts w:hint="default" w:ascii="方正仿宋_GBK" w:hAnsi="方正仿宋_GBK" w:eastAsia="方正仿宋_GBK" w:cs="方正仿宋_GBK"/>
          <w:sz w:val="32"/>
          <w:szCs w:val="32"/>
          <w:lang w:val="en-US" w:eastAsia="zh-CN"/>
        </w:rPr>
        <w:t>发展的重要品牌。绿色发展水平显著提升，生态文明理念深入人心，生态文明制度更加健全，生态环境质量显著改善，生态服务功能稳定发挥，生态文明建设典型示范作用显著。</w:t>
      </w:r>
    </w:p>
    <w:p>
      <w:pPr>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第五部分为</w:t>
      </w:r>
      <w:r>
        <w:rPr>
          <w:rFonts w:hint="default" w:ascii="方正仿宋_GBK" w:hAnsi="方正仿宋_GBK" w:eastAsia="方正仿宋_GBK" w:cs="方正仿宋_GBK"/>
          <w:sz w:val="32"/>
          <w:szCs w:val="32"/>
          <w:lang w:val="en-US" w:eastAsia="zh-CN"/>
        </w:rPr>
        <w:t>重点工程</w:t>
      </w:r>
      <w:r>
        <w:rPr>
          <w:rFonts w:hint="eastAsia" w:ascii="方正仿宋_GBK" w:hAnsi="方正仿宋_GBK" w:eastAsia="方正仿宋_GBK" w:cs="方正仿宋_GBK"/>
          <w:sz w:val="32"/>
          <w:szCs w:val="32"/>
          <w:lang w:val="en-US" w:eastAsia="zh-CN"/>
        </w:rPr>
        <w:t>与效益分析</w:t>
      </w:r>
      <w:r>
        <w:rPr>
          <w:rFonts w:hint="default" w:ascii="方正仿宋_GBK" w:hAnsi="方正仿宋_GBK" w:eastAsia="方正仿宋_GBK" w:cs="方正仿宋_GBK"/>
          <w:sz w:val="32"/>
          <w:szCs w:val="32"/>
          <w:lang w:val="en-US" w:eastAsia="zh-CN"/>
        </w:rPr>
        <w:t>。根据生态文明建设指标体系，结合泗水县实际，综合考虑规划目标和规划任务，规划实施31项重点工程项目，总投资约49亿元，</w:t>
      </w:r>
      <w:r>
        <w:rPr>
          <w:rFonts w:hint="eastAsia" w:ascii="方正仿宋_GBK" w:hAnsi="方正仿宋_GBK" w:eastAsia="方正仿宋_GBK" w:cs="方正仿宋_GBK"/>
          <w:sz w:val="32"/>
          <w:szCs w:val="32"/>
          <w:lang w:val="en-US" w:eastAsia="zh-CN"/>
        </w:rPr>
        <w:t>共11</w:t>
      </w:r>
      <w:r>
        <w:rPr>
          <w:rFonts w:hint="default" w:ascii="方正仿宋_GBK" w:hAnsi="方正仿宋_GBK" w:eastAsia="方正仿宋_GBK" w:cs="方正仿宋_GBK"/>
          <w:sz w:val="32"/>
          <w:szCs w:val="32"/>
          <w:lang w:val="en-US" w:eastAsia="zh-CN"/>
        </w:rPr>
        <w:t>个生态安全类重点工程项目、</w:t>
      </w:r>
      <w:r>
        <w:rPr>
          <w:rFonts w:hint="eastAsia" w:ascii="方正仿宋_GBK" w:hAnsi="方正仿宋_GBK" w:eastAsia="方正仿宋_GBK" w:cs="方正仿宋_GBK"/>
          <w:sz w:val="32"/>
          <w:szCs w:val="32"/>
          <w:lang w:val="en-US" w:eastAsia="zh-CN"/>
        </w:rPr>
        <w:t>2个生态空间类重点工程项目，6</w:t>
      </w:r>
      <w:r>
        <w:rPr>
          <w:rFonts w:hint="default" w:ascii="方正仿宋_GBK" w:hAnsi="方正仿宋_GBK" w:eastAsia="方正仿宋_GBK" w:cs="方正仿宋_GBK"/>
          <w:sz w:val="32"/>
          <w:szCs w:val="32"/>
          <w:lang w:val="en-US" w:eastAsia="zh-CN"/>
        </w:rPr>
        <w:t>个生态经济类重点工程项目、1</w:t>
      </w:r>
      <w:r>
        <w:rPr>
          <w:rFonts w:hint="eastAsia" w:ascii="方正仿宋_GBK" w:hAnsi="方正仿宋_GBK" w:eastAsia="方正仿宋_GBK" w:cs="方正仿宋_GBK"/>
          <w:sz w:val="32"/>
          <w:szCs w:val="32"/>
          <w:lang w:val="en-US" w:eastAsia="zh-CN"/>
        </w:rPr>
        <w:t>0</w:t>
      </w:r>
      <w:r>
        <w:rPr>
          <w:rFonts w:hint="default" w:ascii="方正仿宋_GBK" w:hAnsi="方正仿宋_GBK" w:eastAsia="方正仿宋_GBK" w:cs="方正仿宋_GBK"/>
          <w:sz w:val="32"/>
          <w:szCs w:val="32"/>
          <w:lang w:val="en-US" w:eastAsia="zh-CN"/>
        </w:rPr>
        <w:t>个生态生活类重点工程项目。</w:t>
      </w:r>
    </w:p>
    <w:p>
      <w:pPr>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第</w:t>
      </w:r>
      <w:r>
        <w:rPr>
          <w:rFonts w:hint="eastAsia" w:ascii="方正仿宋_GBK" w:hAnsi="方正仿宋_GBK" w:eastAsia="方正仿宋_GBK" w:cs="方正仿宋_GBK"/>
          <w:sz w:val="32"/>
          <w:szCs w:val="32"/>
          <w:lang w:val="en-US" w:eastAsia="zh-CN"/>
        </w:rPr>
        <w:t>六</w:t>
      </w:r>
      <w:r>
        <w:rPr>
          <w:rFonts w:hint="default" w:ascii="方正仿宋_GBK" w:hAnsi="方正仿宋_GBK" w:eastAsia="方正仿宋_GBK" w:cs="方正仿宋_GBK"/>
          <w:sz w:val="32"/>
          <w:szCs w:val="32"/>
          <w:lang w:val="en-US" w:eastAsia="zh-CN"/>
        </w:rPr>
        <w:t>部分为保障措施。从加强组织领导、严格监督考核、资金统筹保障、强化科技创新、鼓励公众参与等方面，提出规划实施保障措施。</w:t>
      </w:r>
    </w:p>
    <w:p>
      <w:pPr>
        <w:spacing w:after="0" w:line="360" w:lineRule="auto"/>
        <w:ind w:firstLine="616" w:firstLineChars="200"/>
        <w:jc w:val="both"/>
        <w:rPr>
          <w:rFonts w:hint="eastAsia" w:ascii="仿宋" w:hAnsi="仿宋" w:eastAsia="仿宋" w:cs="仿宋"/>
          <w:spacing w:val="-6"/>
          <w:kern w:val="0"/>
          <w:sz w:val="32"/>
          <w:szCs w:val="32"/>
          <w:highlight w:val="none"/>
          <w:lang w:val="en-US" w:eastAsia="zh-CN"/>
          <w14:ligatures w14:val="none"/>
        </w:rPr>
      </w:pPr>
    </w:p>
    <w:p>
      <w:pPr>
        <w:pStyle w:val="11"/>
        <w:ind w:firstLine="0" w:firstLineChars="0"/>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embedRegular r:id="rId1" w:fontKey="{1E08E7C9-0415-4FD2-B84F-92CAC7DB8B87}"/>
  </w:font>
  <w:font w:name="KaiTi_GB2312">
    <w:altName w:val="楷体"/>
    <w:panose1 w:val="02010609060101010101"/>
    <w:charset w:val="00"/>
    <w:family w:val="roman"/>
    <w:pitch w:val="default"/>
    <w:sig w:usb0="00000000" w:usb1="00000000" w:usb2="00000000" w:usb3="00000000" w:csb0="00040001" w:csb1="00000000"/>
  </w:font>
  <w:font w:name="Angsana New">
    <w:altName w:val="Times New Roman"/>
    <w:panose1 w:val="02020603050405020304"/>
    <w:charset w:val="00"/>
    <w:family w:val="roman"/>
    <w:pitch w:val="default"/>
    <w:sig w:usb0="00000000" w:usb1="00000000" w:usb2="00000000" w:usb3="00000000" w:csb0="00010001" w:csb1="00000000"/>
  </w:font>
  <w:font w:name="仿宋_GB2312">
    <w:panose1 w:val="02010609030101010101"/>
    <w:charset w:val="86"/>
    <w:family w:val="modern"/>
    <w:pitch w:val="default"/>
    <w:sig w:usb0="00000001" w:usb1="080E0000" w:usb2="00000000" w:usb3="00000000" w:csb0="00040000" w:csb1="00000000"/>
  </w:font>
  <w:font w:name="Trebuchet MS">
    <w:panose1 w:val="020B0603020202020204"/>
    <w:charset w:val="00"/>
    <w:family w:val="swiss"/>
    <w:pitch w:val="default"/>
    <w:sig w:usb0="00000687" w:usb1="00000000" w:usb2="00000000" w:usb3="00000000" w:csb0="2000009F" w:csb1="00000000"/>
  </w:font>
  <w:font w:name="ヒラギノ角ゴ Pro W3">
    <w:altName w:val="Times New Roman"/>
    <w:panose1 w:val="00000000000000000000"/>
    <w:charset w:val="00"/>
    <w:family w:val="auto"/>
    <w:pitch w:val="default"/>
    <w:sig w:usb0="00000000" w:usb1="00000000" w:usb2="00000000" w:usb3="00000000" w:csb0="00040001" w:csb1="00000000"/>
  </w:font>
  <w:font w:name="方正楷体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2" w:fontKey="{BA28999C-AC50-459D-8C47-570CB5ADA317}"/>
  </w:font>
  <w:font w:name="方正仿宋_GBK">
    <w:panose1 w:val="02000000000000000000"/>
    <w:charset w:val="86"/>
    <w:family w:val="auto"/>
    <w:pitch w:val="default"/>
    <w:sig w:usb0="A00002BF" w:usb1="38CF7CFA" w:usb2="00082016" w:usb3="00000000" w:csb0="00040001" w:csb1="00000000"/>
    <w:embedRegular r:id="rId3" w:fontKey="{FDA3DFBD-55C7-4F49-A353-8CC0AE11DC0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ind w:firstLine="360"/>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4"/>
                      <w:ind w:firstLine="360"/>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6E2640"/>
    <w:multiLevelType w:val="singleLevel"/>
    <w:tmpl w:val="AD6E2640"/>
    <w:lvl w:ilvl="0" w:tentative="0">
      <w:start w:val="2"/>
      <w:numFmt w:val="decimal"/>
      <w:suff w:val="nothing"/>
      <w:lvlText w:val="（%1）"/>
      <w:lvlJc w:val="left"/>
    </w:lvl>
  </w:abstractNum>
  <w:abstractNum w:abstractNumId="1">
    <w:nsid w:val="1F235092"/>
    <w:multiLevelType w:val="singleLevel"/>
    <w:tmpl w:val="1F235092"/>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EwYmQyYmM3Nzg5ZjAwNDNhZTI0ZDI0NTE2ZTQwZmEifQ=="/>
  </w:docVars>
  <w:rsids>
    <w:rsidRoot w:val="00C9149F"/>
    <w:rsid w:val="00036E5C"/>
    <w:rsid w:val="00054704"/>
    <w:rsid w:val="00062DDF"/>
    <w:rsid w:val="0009505D"/>
    <w:rsid w:val="000A60D1"/>
    <w:rsid w:val="000F04D1"/>
    <w:rsid w:val="001529D2"/>
    <w:rsid w:val="001A4E66"/>
    <w:rsid w:val="001E1FCF"/>
    <w:rsid w:val="002512C4"/>
    <w:rsid w:val="00251D7E"/>
    <w:rsid w:val="002642DF"/>
    <w:rsid w:val="00264715"/>
    <w:rsid w:val="00275A08"/>
    <w:rsid w:val="00285E9B"/>
    <w:rsid w:val="002A43C6"/>
    <w:rsid w:val="002C2469"/>
    <w:rsid w:val="002E39FA"/>
    <w:rsid w:val="0030613F"/>
    <w:rsid w:val="00311081"/>
    <w:rsid w:val="0031380D"/>
    <w:rsid w:val="00383873"/>
    <w:rsid w:val="003A36C5"/>
    <w:rsid w:val="003C26F8"/>
    <w:rsid w:val="003C468C"/>
    <w:rsid w:val="004203DD"/>
    <w:rsid w:val="00437041"/>
    <w:rsid w:val="0045063D"/>
    <w:rsid w:val="00457A67"/>
    <w:rsid w:val="004F052C"/>
    <w:rsid w:val="00501EE6"/>
    <w:rsid w:val="00537801"/>
    <w:rsid w:val="005401C9"/>
    <w:rsid w:val="00545508"/>
    <w:rsid w:val="005A0051"/>
    <w:rsid w:val="00612A69"/>
    <w:rsid w:val="00615034"/>
    <w:rsid w:val="00625318"/>
    <w:rsid w:val="0064210B"/>
    <w:rsid w:val="006470D4"/>
    <w:rsid w:val="006554A6"/>
    <w:rsid w:val="006613C8"/>
    <w:rsid w:val="00664888"/>
    <w:rsid w:val="006B6053"/>
    <w:rsid w:val="006E665B"/>
    <w:rsid w:val="006E704C"/>
    <w:rsid w:val="007156A8"/>
    <w:rsid w:val="00796543"/>
    <w:rsid w:val="007A7F71"/>
    <w:rsid w:val="007B143D"/>
    <w:rsid w:val="007E34AA"/>
    <w:rsid w:val="008034B5"/>
    <w:rsid w:val="008071A9"/>
    <w:rsid w:val="0099720C"/>
    <w:rsid w:val="00A11A74"/>
    <w:rsid w:val="00A229BE"/>
    <w:rsid w:val="00A51A79"/>
    <w:rsid w:val="00A64AAF"/>
    <w:rsid w:val="00A87B73"/>
    <w:rsid w:val="00AB4A77"/>
    <w:rsid w:val="00AF7497"/>
    <w:rsid w:val="00B0708A"/>
    <w:rsid w:val="00B43747"/>
    <w:rsid w:val="00B846F7"/>
    <w:rsid w:val="00BD6740"/>
    <w:rsid w:val="00C40231"/>
    <w:rsid w:val="00C53AE7"/>
    <w:rsid w:val="00C9149F"/>
    <w:rsid w:val="00CA11C8"/>
    <w:rsid w:val="00CF61F0"/>
    <w:rsid w:val="00CF7301"/>
    <w:rsid w:val="00D76D39"/>
    <w:rsid w:val="00D91D11"/>
    <w:rsid w:val="00DB7E1D"/>
    <w:rsid w:val="00E34D87"/>
    <w:rsid w:val="00E4029E"/>
    <w:rsid w:val="00E57EE2"/>
    <w:rsid w:val="00EC24B9"/>
    <w:rsid w:val="00F05DEA"/>
    <w:rsid w:val="00F07151"/>
    <w:rsid w:val="00F22F9D"/>
    <w:rsid w:val="00F40AC5"/>
    <w:rsid w:val="00FD61AC"/>
    <w:rsid w:val="00FE2EE1"/>
    <w:rsid w:val="010270A9"/>
    <w:rsid w:val="01E4322D"/>
    <w:rsid w:val="01F82439"/>
    <w:rsid w:val="02615689"/>
    <w:rsid w:val="02A82FBB"/>
    <w:rsid w:val="0337211C"/>
    <w:rsid w:val="03BC2ECF"/>
    <w:rsid w:val="044B3BB1"/>
    <w:rsid w:val="04583A5F"/>
    <w:rsid w:val="04776B01"/>
    <w:rsid w:val="047A2189"/>
    <w:rsid w:val="04D71D0B"/>
    <w:rsid w:val="04EB63DB"/>
    <w:rsid w:val="05961D80"/>
    <w:rsid w:val="060A6FDB"/>
    <w:rsid w:val="064B4707"/>
    <w:rsid w:val="06740D63"/>
    <w:rsid w:val="06A85D0F"/>
    <w:rsid w:val="06B07B7C"/>
    <w:rsid w:val="0758433E"/>
    <w:rsid w:val="079440E8"/>
    <w:rsid w:val="081D624D"/>
    <w:rsid w:val="086D0145"/>
    <w:rsid w:val="08A20838"/>
    <w:rsid w:val="08B944EC"/>
    <w:rsid w:val="08CA7D75"/>
    <w:rsid w:val="08F00765"/>
    <w:rsid w:val="097A18F6"/>
    <w:rsid w:val="0A285C81"/>
    <w:rsid w:val="0AE43D5C"/>
    <w:rsid w:val="0B19531A"/>
    <w:rsid w:val="0B196B42"/>
    <w:rsid w:val="0B30220B"/>
    <w:rsid w:val="0B424B21"/>
    <w:rsid w:val="0B813C06"/>
    <w:rsid w:val="0BD40D3C"/>
    <w:rsid w:val="0C0D2B91"/>
    <w:rsid w:val="0C46551C"/>
    <w:rsid w:val="0C5F3FC4"/>
    <w:rsid w:val="0C8F2C35"/>
    <w:rsid w:val="0CD21ED4"/>
    <w:rsid w:val="0CEC743A"/>
    <w:rsid w:val="0CFF0E63"/>
    <w:rsid w:val="0DAE5963"/>
    <w:rsid w:val="0DAF6885"/>
    <w:rsid w:val="0DFD64FC"/>
    <w:rsid w:val="0E0A401C"/>
    <w:rsid w:val="0E48063E"/>
    <w:rsid w:val="0E620CFF"/>
    <w:rsid w:val="0F01665B"/>
    <w:rsid w:val="0F144A4C"/>
    <w:rsid w:val="0F587565"/>
    <w:rsid w:val="0FBC7598"/>
    <w:rsid w:val="0FC30926"/>
    <w:rsid w:val="0FF87EA4"/>
    <w:rsid w:val="100457AC"/>
    <w:rsid w:val="104834AB"/>
    <w:rsid w:val="10783709"/>
    <w:rsid w:val="10E30B54"/>
    <w:rsid w:val="10E6682C"/>
    <w:rsid w:val="11605B6A"/>
    <w:rsid w:val="119C142F"/>
    <w:rsid w:val="122B4561"/>
    <w:rsid w:val="12C213FD"/>
    <w:rsid w:val="13425968"/>
    <w:rsid w:val="138F6AB3"/>
    <w:rsid w:val="147F3537"/>
    <w:rsid w:val="14953F2B"/>
    <w:rsid w:val="14C36CD2"/>
    <w:rsid w:val="14C64A14"/>
    <w:rsid w:val="153C2FC6"/>
    <w:rsid w:val="155F190B"/>
    <w:rsid w:val="159A7E1A"/>
    <w:rsid w:val="15A34B39"/>
    <w:rsid w:val="15A5597B"/>
    <w:rsid w:val="15EC09B2"/>
    <w:rsid w:val="15F74CE3"/>
    <w:rsid w:val="16315EBE"/>
    <w:rsid w:val="16436219"/>
    <w:rsid w:val="165A18B8"/>
    <w:rsid w:val="165A6C2F"/>
    <w:rsid w:val="1687517E"/>
    <w:rsid w:val="16C21FF0"/>
    <w:rsid w:val="173B3498"/>
    <w:rsid w:val="175B3768"/>
    <w:rsid w:val="175B7696"/>
    <w:rsid w:val="176519FB"/>
    <w:rsid w:val="17A76437"/>
    <w:rsid w:val="17F90C5D"/>
    <w:rsid w:val="18180145"/>
    <w:rsid w:val="18954E2A"/>
    <w:rsid w:val="18A230A3"/>
    <w:rsid w:val="18E24EF9"/>
    <w:rsid w:val="18FF648E"/>
    <w:rsid w:val="193E0010"/>
    <w:rsid w:val="19771303"/>
    <w:rsid w:val="19C83AFC"/>
    <w:rsid w:val="19CD6564"/>
    <w:rsid w:val="19E06166"/>
    <w:rsid w:val="19FC2EB8"/>
    <w:rsid w:val="1A5B79AD"/>
    <w:rsid w:val="1AA04930"/>
    <w:rsid w:val="1ABE0A19"/>
    <w:rsid w:val="1ACC1768"/>
    <w:rsid w:val="1B55264E"/>
    <w:rsid w:val="1B596C47"/>
    <w:rsid w:val="1B903686"/>
    <w:rsid w:val="1BB6133F"/>
    <w:rsid w:val="1BDC3FAF"/>
    <w:rsid w:val="1BEF08D2"/>
    <w:rsid w:val="1BFE2CE6"/>
    <w:rsid w:val="1C1B5646"/>
    <w:rsid w:val="1C896A53"/>
    <w:rsid w:val="1C997298"/>
    <w:rsid w:val="1CAC14A7"/>
    <w:rsid w:val="1CBA05E8"/>
    <w:rsid w:val="1CCC20C2"/>
    <w:rsid w:val="1CD10DCE"/>
    <w:rsid w:val="1CED2FF4"/>
    <w:rsid w:val="1D2642A2"/>
    <w:rsid w:val="1D2B73AA"/>
    <w:rsid w:val="1D48682F"/>
    <w:rsid w:val="1DB775F0"/>
    <w:rsid w:val="1DBE7762"/>
    <w:rsid w:val="1DCD2970"/>
    <w:rsid w:val="1E3D568B"/>
    <w:rsid w:val="1E8A0861"/>
    <w:rsid w:val="1EDE7FB4"/>
    <w:rsid w:val="1F0257A1"/>
    <w:rsid w:val="1F037161"/>
    <w:rsid w:val="201C12FC"/>
    <w:rsid w:val="202B03B3"/>
    <w:rsid w:val="21182154"/>
    <w:rsid w:val="21244762"/>
    <w:rsid w:val="21B839F9"/>
    <w:rsid w:val="21BC52A6"/>
    <w:rsid w:val="21C83B7A"/>
    <w:rsid w:val="21D31284"/>
    <w:rsid w:val="21F93D33"/>
    <w:rsid w:val="22C62DCF"/>
    <w:rsid w:val="2335124E"/>
    <w:rsid w:val="233D7B02"/>
    <w:rsid w:val="237272D7"/>
    <w:rsid w:val="23EF2CD9"/>
    <w:rsid w:val="242037AC"/>
    <w:rsid w:val="249C3D24"/>
    <w:rsid w:val="24DE3EFC"/>
    <w:rsid w:val="25096983"/>
    <w:rsid w:val="254A39FE"/>
    <w:rsid w:val="25BB4AB6"/>
    <w:rsid w:val="26D56FC4"/>
    <w:rsid w:val="2788401F"/>
    <w:rsid w:val="278C73F8"/>
    <w:rsid w:val="279521A4"/>
    <w:rsid w:val="27A06E4B"/>
    <w:rsid w:val="27DD5EA5"/>
    <w:rsid w:val="28382960"/>
    <w:rsid w:val="28451F7F"/>
    <w:rsid w:val="288D1679"/>
    <w:rsid w:val="2895052E"/>
    <w:rsid w:val="28EB2C53"/>
    <w:rsid w:val="290B2516"/>
    <w:rsid w:val="29B0595F"/>
    <w:rsid w:val="29D357B2"/>
    <w:rsid w:val="29EB60E7"/>
    <w:rsid w:val="29FD08AE"/>
    <w:rsid w:val="2A0E67EA"/>
    <w:rsid w:val="2A1A518F"/>
    <w:rsid w:val="2A503CE6"/>
    <w:rsid w:val="2AC33130"/>
    <w:rsid w:val="2ADB491E"/>
    <w:rsid w:val="2ADD0FB6"/>
    <w:rsid w:val="2B2D17EA"/>
    <w:rsid w:val="2B4C723F"/>
    <w:rsid w:val="2B7D01D1"/>
    <w:rsid w:val="2C474D48"/>
    <w:rsid w:val="2C5C3D78"/>
    <w:rsid w:val="2CCC3B5F"/>
    <w:rsid w:val="2CD34D26"/>
    <w:rsid w:val="2D0D28AF"/>
    <w:rsid w:val="2DE72DC0"/>
    <w:rsid w:val="2E1100D7"/>
    <w:rsid w:val="2E5E5F0B"/>
    <w:rsid w:val="2EA24305"/>
    <w:rsid w:val="2EB3170E"/>
    <w:rsid w:val="2EC35DF5"/>
    <w:rsid w:val="2F1523C9"/>
    <w:rsid w:val="2F274E44"/>
    <w:rsid w:val="2F5150B6"/>
    <w:rsid w:val="2F9652B7"/>
    <w:rsid w:val="2FA7373A"/>
    <w:rsid w:val="301F34FF"/>
    <w:rsid w:val="30323FD5"/>
    <w:rsid w:val="30406876"/>
    <w:rsid w:val="30EB1F92"/>
    <w:rsid w:val="313510EA"/>
    <w:rsid w:val="313D33E3"/>
    <w:rsid w:val="31435ED1"/>
    <w:rsid w:val="31A16CA9"/>
    <w:rsid w:val="31F20683"/>
    <w:rsid w:val="32081D71"/>
    <w:rsid w:val="334E5003"/>
    <w:rsid w:val="33753391"/>
    <w:rsid w:val="33CD6DCE"/>
    <w:rsid w:val="34180991"/>
    <w:rsid w:val="34555255"/>
    <w:rsid w:val="3459143F"/>
    <w:rsid w:val="34BF705E"/>
    <w:rsid w:val="34DA3E98"/>
    <w:rsid w:val="35A87141"/>
    <w:rsid w:val="366172EF"/>
    <w:rsid w:val="371335C5"/>
    <w:rsid w:val="371837D9"/>
    <w:rsid w:val="375B31E7"/>
    <w:rsid w:val="375D2B5F"/>
    <w:rsid w:val="377351F1"/>
    <w:rsid w:val="37B16FD6"/>
    <w:rsid w:val="37B94FB3"/>
    <w:rsid w:val="38B16CBE"/>
    <w:rsid w:val="39106FA4"/>
    <w:rsid w:val="391C6C15"/>
    <w:rsid w:val="39747180"/>
    <w:rsid w:val="39A7409A"/>
    <w:rsid w:val="39AE76A2"/>
    <w:rsid w:val="39C93234"/>
    <w:rsid w:val="3A0D682B"/>
    <w:rsid w:val="3AAE2954"/>
    <w:rsid w:val="3AD76784"/>
    <w:rsid w:val="3ADF0FBB"/>
    <w:rsid w:val="3AE272FE"/>
    <w:rsid w:val="3B6F07FD"/>
    <w:rsid w:val="3C1C3809"/>
    <w:rsid w:val="3C2B6D87"/>
    <w:rsid w:val="3C5C1CF7"/>
    <w:rsid w:val="3D3E63C8"/>
    <w:rsid w:val="3D457592"/>
    <w:rsid w:val="3D6C7658"/>
    <w:rsid w:val="3D880BD0"/>
    <w:rsid w:val="3DEA430D"/>
    <w:rsid w:val="3E2E1382"/>
    <w:rsid w:val="3E367970"/>
    <w:rsid w:val="3E99633D"/>
    <w:rsid w:val="3ED25BE0"/>
    <w:rsid w:val="3F2B6A47"/>
    <w:rsid w:val="3FC61E16"/>
    <w:rsid w:val="3FFD32FC"/>
    <w:rsid w:val="403F40FB"/>
    <w:rsid w:val="404843AC"/>
    <w:rsid w:val="40955117"/>
    <w:rsid w:val="40B437EF"/>
    <w:rsid w:val="40C72698"/>
    <w:rsid w:val="41412C9A"/>
    <w:rsid w:val="416C0B05"/>
    <w:rsid w:val="41B90881"/>
    <w:rsid w:val="42415ACC"/>
    <w:rsid w:val="424C035B"/>
    <w:rsid w:val="42566E74"/>
    <w:rsid w:val="42747036"/>
    <w:rsid w:val="427767F8"/>
    <w:rsid w:val="43810CBD"/>
    <w:rsid w:val="43A36F36"/>
    <w:rsid w:val="43FE4D82"/>
    <w:rsid w:val="441460FC"/>
    <w:rsid w:val="4466554B"/>
    <w:rsid w:val="447E2532"/>
    <w:rsid w:val="44933989"/>
    <w:rsid w:val="44E4041B"/>
    <w:rsid w:val="451848C2"/>
    <w:rsid w:val="45422880"/>
    <w:rsid w:val="4545166E"/>
    <w:rsid w:val="458D394D"/>
    <w:rsid w:val="45B85B30"/>
    <w:rsid w:val="45E7547C"/>
    <w:rsid w:val="45F97A3B"/>
    <w:rsid w:val="46373C24"/>
    <w:rsid w:val="46A8456B"/>
    <w:rsid w:val="46F34907"/>
    <w:rsid w:val="47287FBD"/>
    <w:rsid w:val="47DC6BFE"/>
    <w:rsid w:val="47F36516"/>
    <w:rsid w:val="487B1097"/>
    <w:rsid w:val="491B115C"/>
    <w:rsid w:val="494C231E"/>
    <w:rsid w:val="496C6D66"/>
    <w:rsid w:val="4A007AA5"/>
    <w:rsid w:val="4A100171"/>
    <w:rsid w:val="4A8108C4"/>
    <w:rsid w:val="4A95569E"/>
    <w:rsid w:val="4B8A2CA1"/>
    <w:rsid w:val="4B9F509C"/>
    <w:rsid w:val="4BE041DA"/>
    <w:rsid w:val="4BE21F57"/>
    <w:rsid w:val="4BE95FB3"/>
    <w:rsid w:val="4BEC2AF7"/>
    <w:rsid w:val="4C1C66ED"/>
    <w:rsid w:val="4C7F3F66"/>
    <w:rsid w:val="4CB411E6"/>
    <w:rsid w:val="4CD86AB8"/>
    <w:rsid w:val="4CF60F8E"/>
    <w:rsid w:val="4D2E2B7B"/>
    <w:rsid w:val="4D3A38C2"/>
    <w:rsid w:val="4D6946C7"/>
    <w:rsid w:val="4D91401B"/>
    <w:rsid w:val="4E1954BC"/>
    <w:rsid w:val="4E24278E"/>
    <w:rsid w:val="4E2D4BE1"/>
    <w:rsid w:val="4E637A99"/>
    <w:rsid w:val="4E865406"/>
    <w:rsid w:val="4EAB0178"/>
    <w:rsid w:val="4ECF7A46"/>
    <w:rsid w:val="4EDF7086"/>
    <w:rsid w:val="4EF37BD9"/>
    <w:rsid w:val="4F4D4C30"/>
    <w:rsid w:val="4FF57980"/>
    <w:rsid w:val="50261243"/>
    <w:rsid w:val="504306EC"/>
    <w:rsid w:val="50464C3E"/>
    <w:rsid w:val="50D416FC"/>
    <w:rsid w:val="518B0578"/>
    <w:rsid w:val="51C13FBE"/>
    <w:rsid w:val="51D24959"/>
    <w:rsid w:val="520E093C"/>
    <w:rsid w:val="522B440D"/>
    <w:rsid w:val="52390188"/>
    <w:rsid w:val="52481CEB"/>
    <w:rsid w:val="526059F4"/>
    <w:rsid w:val="5269412D"/>
    <w:rsid w:val="52F45F9C"/>
    <w:rsid w:val="530060DA"/>
    <w:rsid w:val="530C2E4C"/>
    <w:rsid w:val="53940BCD"/>
    <w:rsid w:val="549172BA"/>
    <w:rsid w:val="5493442F"/>
    <w:rsid w:val="549E2395"/>
    <w:rsid w:val="549F0DC1"/>
    <w:rsid w:val="54A0725D"/>
    <w:rsid w:val="550E497C"/>
    <w:rsid w:val="551B39E5"/>
    <w:rsid w:val="55492492"/>
    <w:rsid w:val="5555355C"/>
    <w:rsid w:val="55585E24"/>
    <w:rsid w:val="5559292B"/>
    <w:rsid w:val="55870AAD"/>
    <w:rsid w:val="55C0458D"/>
    <w:rsid w:val="55C94EB3"/>
    <w:rsid w:val="55EF16AD"/>
    <w:rsid w:val="564B1A42"/>
    <w:rsid w:val="566322B7"/>
    <w:rsid w:val="5695275A"/>
    <w:rsid w:val="56962589"/>
    <w:rsid w:val="56DC068E"/>
    <w:rsid w:val="56E562A5"/>
    <w:rsid w:val="56EB3E63"/>
    <w:rsid w:val="577A573E"/>
    <w:rsid w:val="57DB4634"/>
    <w:rsid w:val="57E05863"/>
    <w:rsid w:val="583B614D"/>
    <w:rsid w:val="58441D7F"/>
    <w:rsid w:val="58B0359C"/>
    <w:rsid w:val="58EE1B24"/>
    <w:rsid w:val="596811C3"/>
    <w:rsid w:val="59A0095D"/>
    <w:rsid w:val="59AD6BD6"/>
    <w:rsid w:val="5A242FCD"/>
    <w:rsid w:val="5A6741EA"/>
    <w:rsid w:val="5A751DEA"/>
    <w:rsid w:val="5A8913F1"/>
    <w:rsid w:val="5ABC17C7"/>
    <w:rsid w:val="5AF50835"/>
    <w:rsid w:val="5B176FD5"/>
    <w:rsid w:val="5BE55F42"/>
    <w:rsid w:val="5BF83648"/>
    <w:rsid w:val="5C2A09B2"/>
    <w:rsid w:val="5C2F70EE"/>
    <w:rsid w:val="5C362294"/>
    <w:rsid w:val="5C5E339D"/>
    <w:rsid w:val="5C6F0049"/>
    <w:rsid w:val="5CA8147B"/>
    <w:rsid w:val="5D005A00"/>
    <w:rsid w:val="5D6972B8"/>
    <w:rsid w:val="5D9A5D72"/>
    <w:rsid w:val="5DF23751"/>
    <w:rsid w:val="5E0E2A29"/>
    <w:rsid w:val="5E341674"/>
    <w:rsid w:val="5E8545C5"/>
    <w:rsid w:val="5EE74938"/>
    <w:rsid w:val="5F483DFC"/>
    <w:rsid w:val="5F671615"/>
    <w:rsid w:val="5FD814A6"/>
    <w:rsid w:val="60285208"/>
    <w:rsid w:val="60E6759D"/>
    <w:rsid w:val="61035941"/>
    <w:rsid w:val="611D363A"/>
    <w:rsid w:val="61385A8C"/>
    <w:rsid w:val="614643B0"/>
    <w:rsid w:val="61A32FFC"/>
    <w:rsid w:val="61BE4076"/>
    <w:rsid w:val="6205285E"/>
    <w:rsid w:val="62D33B51"/>
    <w:rsid w:val="6367712A"/>
    <w:rsid w:val="63A137C1"/>
    <w:rsid w:val="63FA6EBC"/>
    <w:rsid w:val="644B6E92"/>
    <w:rsid w:val="64AD3017"/>
    <w:rsid w:val="64C64A92"/>
    <w:rsid w:val="651C6960"/>
    <w:rsid w:val="65393A14"/>
    <w:rsid w:val="65474A8B"/>
    <w:rsid w:val="655A2308"/>
    <w:rsid w:val="657B0FE3"/>
    <w:rsid w:val="658604D1"/>
    <w:rsid w:val="65895900"/>
    <w:rsid w:val="658C0EED"/>
    <w:rsid w:val="65BE3CC6"/>
    <w:rsid w:val="65E66E7E"/>
    <w:rsid w:val="66354CEE"/>
    <w:rsid w:val="66D232C9"/>
    <w:rsid w:val="670C66DD"/>
    <w:rsid w:val="6712022A"/>
    <w:rsid w:val="677B0314"/>
    <w:rsid w:val="68260995"/>
    <w:rsid w:val="684B418A"/>
    <w:rsid w:val="68CB5094"/>
    <w:rsid w:val="691F14DD"/>
    <w:rsid w:val="69617BA8"/>
    <w:rsid w:val="69635B77"/>
    <w:rsid w:val="69924206"/>
    <w:rsid w:val="69A11EA3"/>
    <w:rsid w:val="6A2F4CB5"/>
    <w:rsid w:val="6A4470E3"/>
    <w:rsid w:val="6A8E4F7D"/>
    <w:rsid w:val="6A8F1574"/>
    <w:rsid w:val="6AE82C77"/>
    <w:rsid w:val="6B113469"/>
    <w:rsid w:val="6B170353"/>
    <w:rsid w:val="6B287708"/>
    <w:rsid w:val="6B654945"/>
    <w:rsid w:val="6B6712DB"/>
    <w:rsid w:val="6B8268B4"/>
    <w:rsid w:val="6BBE5D8D"/>
    <w:rsid w:val="6BD61FBC"/>
    <w:rsid w:val="6C1F4432"/>
    <w:rsid w:val="6C536082"/>
    <w:rsid w:val="6CB46F61"/>
    <w:rsid w:val="6D7822E8"/>
    <w:rsid w:val="6DB602F7"/>
    <w:rsid w:val="6DE06A16"/>
    <w:rsid w:val="6DFD414D"/>
    <w:rsid w:val="6E183290"/>
    <w:rsid w:val="6EBB0B58"/>
    <w:rsid w:val="6EC07CD5"/>
    <w:rsid w:val="6EE42C42"/>
    <w:rsid w:val="6F7C1FD2"/>
    <w:rsid w:val="6FEB3533"/>
    <w:rsid w:val="700A76F4"/>
    <w:rsid w:val="7051306D"/>
    <w:rsid w:val="70572F72"/>
    <w:rsid w:val="70904E30"/>
    <w:rsid w:val="709561E8"/>
    <w:rsid w:val="70B84386"/>
    <w:rsid w:val="70C07EFC"/>
    <w:rsid w:val="70D2369A"/>
    <w:rsid w:val="70FA04FB"/>
    <w:rsid w:val="712E6A5A"/>
    <w:rsid w:val="71961ABC"/>
    <w:rsid w:val="719A0A1C"/>
    <w:rsid w:val="71B6110E"/>
    <w:rsid w:val="720A6E64"/>
    <w:rsid w:val="722A3F68"/>
    <w:rsid w:val="72A07B1B"/>
    <w:rsid w:val="72B8241C"/>
    <w:rsid w:val="72BE04F8"/>
    <w:rsid w:val="72F1190A"/>
    <w:rsid w:val="72F32867"/>
    <w:rsid w:val="730074D1"/>
    <w:rsid w:val="734819F2"/>
    <w:rsid w:val="73A42AF4"/>
    <w:rsid w:val="73EC4ED7"/>
    <w:rsid w:val="743F0682"/>
    <w:rsid w:val="745D771F"/>
    <w:rsid w:val="74981AFB"/>
    <w:rsid w:val="74A47ADB"/>
    <w:rsid w:val="74AC7D5E"/>
    <w:rsid w:val="75143CCC"/>
    <w:rsid w:val="754E5B5B"/>
    <w:rsid w:val="755D72AA"/>
    <w:rsid w:val="759233F8"/>
    <w:rsid w:val="75B07D22"/>
    <w:rsid w:val="75BF26B8"/>
    <w:rsid w:val="76257A5E"/>
    <w:rsid w:val="763224E5"/>
    <w:rsid w:val="767057D0"/>
    <w:rsid w:val="768947FB"/>
    <w:rsid w:val="769F27A5"/>
    <w:rsid w:val="76A87C95"/>
    <w:rsid w:val="76BF7B13"/>
    <w:rsid w:val="779F3D02"/>
    <w:rsid w:val="77C82A09"/>
    <w:rsid w:val="77D870BC"/>
    <w:rsid w:val="783E2D3C"/>
    <w:rsid w:val="78A85CB7"/>
    <w:rsid w:val="79507852"/>
    <w:rsid w:val="79BD2A0E"/>
    <w:rsid w:val="79E80E53"/>
    <w:rsid w:val="79FE047A"/>
    <w:rsid w:val="7A1F4886"/>
    <w:rsid w:val="7AB87465"/>
    <w:rsid w:val="7AC1208A"/>
    <w:rsid w:val="7AD06704"/>
    <w:rsid w:val="7B202DC7"/>
    <w:rsid w:val="7B42141C"/>
    <w:rsid w:val="7B542EFE"/>
    <w:rsid w:val="7B78070C"/>
    <w:rsid w:val="7BA21EBB"/>
    <w:rsid w:val="7BA93249"/>
    <w:rsid w:val="7C2B3470"/>
    <w:rsid w:val="7C3F3BAE"/>
    <w:rsid w:val="7C5F1B5A"/>
    <w:rsid w:val="7C7E738A"/>
    <w:rsid w:val="7D016E03"/>
    <w:rsid w:val="7D913F95"/>
    <w:rsid w:val="7D930D53"/>
    <w:rsid w:val="7DB4431C"/>
    <w:rsid w:val="7DBB768A"/>
    <w:rsid w:val="7E2E7DC8"/>
    <w:rsid w:val="7F13747E"/>
    <w:rsid w:val="7F281F69"/>
    <w:rsid w:val="7F5F640D"/>
    <w:rsid w:val="7F7006ED"/>
    <w:rsid w:val="7F743B6E"/>
    <w:rsid w:val="7FD90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0" w:semiHidden="0" w:name="Body Text First Indent"/>
    <w:lsdException w:qFormat="1" w:unhideWhenUsed="0" w:uiPriority="99" w:semiHidden="0" w:name="Body Text First Indent 2"/>
    <w:lsdException w:uiPriority="99" w:name="Note Heading"/>
    <w:lsdException w:qFormat="1" w:unhideWhenUsed="0" w:uiPriority="99"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80"/>
    </w:pPr>
    <w:rPr>
      <w:rFonts w:cs="宋体" w:asciiTheme="minorHAnsi" w:hAnsiTheme="minorHAnsi" w:eastAsiaTheme="minorEastAsia"/>
      <w:kern w:val="2"/>
      <w:sz w:val="21"/>
      <w:szCs w:val="21"/>
      <w:lang w:val="en-US" w:eastAsia="zh-CN" w:bidi="ar-SA"/>
      <w14:ligatures w14:val="standardContextual"/>
    </w:rPr>
  </w:style>
  <w:style w:type="paragraph" w:styleId="2">
    <w:name w:val="heading 1"/>
    <w:basedOn w:val="1"/>
    <w:next w:val="1"/>
    <w:link w:val="30"/>
    <w:qFormat/>
    <w:uiPriority w:val="9"/>
    <w:pPr>
      <w:keepNext/>
      <w:keepLines/>
      <w:spacing w:line="480" w:lineRule="auto"/>
      <w:ind w:firstLine="200" w:firstLineChars="200"/>
      <w:jc w:val="center"/>
      <w:outlineLvl w:val="0"/>
    </w:pPr>
    <w:rPr>
      <w:rFonts w:ascii="Times New Roman" w:hAnsi="Times New Roman" w:eastAsia="黑体" w:cs="Times New Roman"/>
      <w:b/>
      <w:bCs/>
      <w:kern w:val="44"/>
      <w:sz w:val="32"/>
      <w:szCs w:val="44"/>
      <w14:ligatures w14:val="none"/>
    </w:rPr>
  </w:style>
  <w:style w:type="paragraph" w:styleId="3">
    <w:name w:val="heading 2"/>
    <w:basedOn w:val="1"/>
    <w:next w:val="1"/>
    <w:link w:val="25"/>
    <w:qFormat/>
    <w:uiPriority w:val="9"/>
    <w:pPr>
      <w:keepNext/>
      <w:keepLines/>
      <w:spacing w:before="240" w:after="120" w:line="360" w:lineRule="auto"/>
      <w:ind w:firstLine="200" w:firstLineChars="200"/>
      <w:outlineLvl w:val="1"/>
    </w:pPr>
    <w:rPr>
      <w:rFonts w:ascii="Times New Roman" w:hAnsi="Times New Roman" w:eastAsia="宋体" w:cs="Times New Roman"/>
      <w:b/>
      <w:bCs/>
      <w:kern w:val="0"/>
      <w:sz w:val="32"/>
      <w:szCs w:val="28"/>
      <w14:ligatures w14:val="none"/>
    </w:rPr>
  </w:style>
  <w:style w:type="paragraph" w:styleId="4">
    <w:name w:val="heading 3"/>
    <w:basedOn w:val="1"/>
    <w:next w:val="1"/>
    <w:link w:val="28"/>
    <w:semiHidden/>
    <w:unhideWhenUsed/>
    <w:qFormat/>
    <w:uiPriority w:val="9"/>
    <w:pPr>
      <w:keepNext/>
      <w:keepLines/>
      <w:spacing w:before="260" w:after="260" w:line="416" w:lineRule="auto"/>
      <w:outlineLvl w:val="2"/>
    </w:pPr>
    <w:rPr>
      <w:b/>
      <w:bCs/>
      <w:sz w:val="32"/>
      <w:szCs w:val="32"/>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6">
    <w:name w:val="Normal Indent"/>
    <w:basedOn w:val="1"/>
    <w:next w:val="1"/>
    <w:unhideWhenUsed/>
    <w:qFormat/>
    <w:uiPriority w:val="99"/>
    <w:pPr>
      <w:ind w:firstLine="420" w:firstLineChars="200"/>
    </w:pPr>
  </w:style>
  <w:style w:type="paragraph" w:styleId="7">
    <w:name w:val="Body Text"/>
    <w:basedOn w:val="1"/>
    <w:next w:val="8"/>
    <w:link w:val="31"/>
    <w:qFormat/>
    <w:uiPriority w:val="1"/>
    <w:pPr>
      <w:spacing w:line="360" w:lineRule="auto"/>
      <w:ind w:firstLine="200" w:firstLineChars="200"/>
    </w:pPr>
    <w:rPr>
      <w:rFonts w:ascii="仿宋" w:hAnsi="仿宋" w:eastAsia="仿宋" w:cs="仿宋"/>
      <w:kern w:val="0"/>
      <w:sz w:val="28"/>
      <w:szCs w:val="28"/>
      <w:lang w:val="zh-CN" w:bidi="zh-CN"/>
      <w14:ligatures w14:val="none"/>
    </w:rPr>
  </w:style>
  <w:style w:type="paragraph" w:styleId="8">
    <w:name w:val="Body Text 2"/>
    <w:basedOn w:val="1"/>
    <w:qFormat/>
    <w:uiPriority w:val="99"/>
    <w:pPr>
      <w:adjustRightInd w:val="0"/>
      <w:spacing w:line="360" w:lineRule="auto"/>
    </w:pPr>
    <w:rPr>
      <w:rFonts w:ascii="KaiTi_GB2312" w:eastAsia="Times New Roman" w:cs="KaiTi_GB2312"/>
      <w:kern w:val="44"/>
      <w:sz w:val="28"/>
      <w:szCs w:val="28"/>
    </w:rPr>
  </w:style>
  <w:style w:type="paragraph" w:styleId="9">
    <w:name w:val="Body Text Indent"/>
    <w:basedOn w:val="1"/>
    <w:next w:val="10"/>
    <w:semiHidden/>
    <w:unhideWhenUsed/>
    <w:qFormat/>
    <w:uiPriority w:val="99"/>
    <w:pPr>
      <w:spacing w:after="120"/>
      <w:ind w:left="420" w:leftChars="200"/>
    </w:pPr>
  </w:style>
  <w:style w:type="paragraph" w:styleId="10">
    <w:name w:val="header"/>
    <w:basedOn w:val="1"/>
    <w:next w:val="11"/>
    <w:link w:val="27"/>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ind w:firstLine="200" w:firstLineChars="200"/>
    </w:pPr>
    <w:rPr>
      <w:rFonts w:ascii="宋体" w:hAnsi="宋体" w:eastAsia="宋体" w:cs="Times New Roman"/>
      <w:kern w:val="0"/>
      <w:sz w:val="18"/>
      <w14:ligatures w14:val="none"/>
    </w:rPr>
  </w:style>
  <w:style w:type="paragraph" w:customStyle="1" w:styleId="11">
    <w:name w:val="样式5"/>
    <w:basedOn w:val="12"/>
    <w:qFormat/>
    <w:uiPriority w:val="0"/>
    <w:pPr>
      <w:spacing w:before="62" w:beforeLines="20" w:after="62" w:afterLines="20" w:line="480" w:lineRule="exact"/>
      <w:ind w:firstLine="523" w:firstLineChars="218"/>
      <w:jc w:val="both"/>
    </w:pPr>
    <w:rPr>
      <w:rFonts w:cs="Times New Roman"/>
      <w:i/>
      <w:iCs/>
      <w:sz w:val="24"/>
      <w:szCs w:val="20"/>
    </w:rPr>
  </w:style>
  <w:style w:type="paragraph" w:customStyle="1" w:styleId="12">
    <w:name w:val="正文1"/>
    <w:basedOn w:val="1"/>
    <w:next w:val="1"/>
    <w:qFormat/>
    <w:uiPriority w:val="0"/>
    <w:pPr>
      <w:adjustRightInd w:val="0"/>
      <w:snapToGrid w:val="0"/>
      <w:spacing w:line="500" w:lineRule="atLeast"/>
      <w:ind w:firstLine="567"/>
    </w:pPr>
    <w:rPr>
      <w:rFonts w:ascii="Times New Roman" w:hAnsi="Times New Roman" w:eastAsia="宋体" w:cs="Angsana New"/>
      <w:sz w:val="28"/>
      <w:lang w:bidi="th-TH"/>
    </w:rPr>
  </w:style>
  <w:style w:type="paragraph" w:styleId="13">
    <w:name w:val="Body Text Indent 2"/>
    <w:basedOn w:val="1"/>
    <w:qFormat/>
    <w:uiPriority w:val="0"/>
    <w:pPr>
      <w:spacing w:after="120" w:line="480" w:lineRule="auto"/>
      <w:ind w:left="420"/>
    </w:pPr>
    <w:rPr>
      <w:rFonts w:ascii="Calibri" w:hAnsi="Calibri" w:cs="Calibri"/>
      <w:color w:val="000000"/>
      <w:kern w:val="0"/>
    </w:rPr>
  </w:style>
  <w:style w:type="paragraph" w:styleId="14">
    <w:name w:val="footer"/>
    <w:basedOn w:val="1"/>
    <w:link w:val="26"/>
    <w:qFormat/>
    <w:uiPriority w:val="0"/>
    <w:pPr>
      <w:tabs>
        <w:tab w:val="center" w:pos="4153"/>
        <w:tab w:val="right" w:pos="8306"/>
      </w:tabs>
      <w:snapToGrid w:val="0"/>
      <w:spacing w:line="360" w:lineRule="auto"/>
      <w:ind w:firstLine="200" w:firstLineChars="200"/>
    </w:pPr>
    <w:rPr>
      <w:rFonts w:ascii="宋体" w:hAnsi="宋体" w:eastAsia="宋体" w:cs="Times New Roman"/>
      <w:kern w:val="0"/>
      <w:sz w:val="18"/>
      <w14:ligatures w14:val="none"/>
    </w:rPr>
  </w:style>
  <w:style w:type="paragraph" w:styleId="15">
    <w:name w:val="footnote text"/>
    <w:basedOn w:val="1"/>
    <w:qFormat/>
    <w:uiPriority w:val="0"/>
    <w:pPr>
      <w:snapToGrid w:val="0"/>
    </w:pPr>
    <w:rPr>
      <w:sz w:val="18"/>
    </w:rPr>
  </w:style>
  <w:style w:type="paragraph" w:styleId="16">
    <w:name w:val="Normal (Web)"/>
    <w:basedOn w:val="1"/>
    <w:unhideWhenUsed/>
    <w:qFormat/>
    <w:uiPriority w:val="99"/>
    <w:pPr>
      <w:spacing w:before="100" w:beforeAutospacing="1" w:after="100" w:afterAutospacing="1"/>
    </w:pPr>
    <w:rPr>
      <w:rFonts w:ascii="宋体" w:hAnsi="宋体" w:eastAsia="宋体"/>
      <w:kern w:val="0"/>
      <w:sz w:val="24"/>
      <w:szCs w:val="24"/>
      <w14:ligatures w14:val="none"/>
    </w:rPr>
  </w:style>
  <w:style w:type="paragraph" w:styleId="17">
    <w:name w:val="Body Text First Indent"/>
    <w:basedOn w:val="7"/>
    <w:unhideWhenUsed/>
    <w:qFormat/>
    <w:uiPriority w:val="0"/>
    <w:pPr>
      <w:ind w:firstLine="420" w:firstLineChars="100"/>
    </w:pPr>
  </w:style>
  <w:style w:type="paragraph" w:styleId="18">
    <w:name w:val="Body Text First Indent 2"/>
    <w:basedOn w:val="9"/>
    <w:next w:val="1"/>
    <w:qFormat/>
    <w:uiPriority w:val="99"/>
    <w:pPr>
      <w:ind w:firstLine="420"/>
    </w:p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22"/>
    <w:rPr>
      <w:b/>
    </w:rPr>
  </w:style>
  <w:style w:type="character" w:styleId="23">
    <w:name w:val="Hyperlink"/>
    <w:basedOn w:val="21"/>
    <w:semiHidden/>
    <w:unhideWhenUsed/>
    <w:qFormat/>
    <w:uiPriority w:val="99"/>
    <w:rPr>
      <w:color w:val="0000FF"/>
      <w:u w:val="single"/>
    </w:rPr>
  </w:style>
  <w:style w:type="paragraph" w:customStyle="1" w:styleId="24">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25">
    <w:name w:val="标题 2 字符"/>
    <w:basedOn w:val="21"/>
    <w:link w:val="3"/>
    <w:qFormat/>
    <w:uiPriority w:val="9"/>
    <w:rPr>
      <w:rFonts w:ascii="Times New Roman" w:hAnsi="Times New Roman" w:eastAsia="宋体" w:cs="Times New Roman"/>
      <w:b/>
      <w:bCs/>
      <w:kern w:val="0"/>
      <w:sz w:val="32"/>
      <w:szCs w:val="28"/>
      <w14:ligatures w14:val="none"/>
    </w:rPr>
  </w:style>
  <w:style w:type="character" w:customStyle="1" w:styleId="26">
    <w:name w:val="页脚 字符"/>
    <w:basedOn w:val="21"/>
    <w:link w:val="14"/>
    <w:qFormat/>
    <w:uiPriority w:val="0"/>
    <w:rPr>
      <w:rFonts w:ascii="宋体" w:hAnsi="宋体" w:eastAsia="宋体" w:cs="Times New Roman"/>
      <w:kern w:val="0"/>
      <w:sz w:val="18"/>
      <w14:ligatures w14:val="none"/>
    </w:rPr>
  </w:style>
  <w:style w:type="character" w:customStyle="1" w:styleId="27">
    <w:name w:val="页眉 字符"/>
    <w:basedOn w:val="21"/>
    <w:link w:val="10"/>
    <w:qFormat/>
    <w:uiPriority w:val="0"/>
    <w:rPr>
      <w:rFonts w:ascii="宋体" w:hAnsi="宋体" w:eastAsia="宋体" w:cs="Times New Roman"/>
      <w:kern w:val="0"/>
      <w:sz w:val="18"/>
      <w14:ligatures w14:val="none"/>
    </w:rPr>
  </w:style>
  <w:style w:type="character" w:customStyle="1" w:styleId="28">
    <w:name w:val="标题 3 字符"/>
    <w:basedOn w:val="21"/>
    <w:link w:val="4"/>
    <w:semiHidden/>
    <w:qFormat/>
    <w:uiPriority w:val="9"/>
    <w:rPr>
      <w:b/>
      <w:bCs/>
      <w:sz w:val="32"/>
      <w:szCs w:val="32"/>
    </w:rPr>
  </w:style>
  <w:style w:type="paragraph" w:styleId="29">
    <w:name w:val="List Paragraph"/>
    <w:basedOn w:val="1"/>
    <w:qFormat/>
    <w:uiPriority w:val="34"/>
    <w:pPr>
      <w:ind w:firstLine="420" w:firstLineChars="200"/>
    </w:pPr>
  </w:style>
  <w:style w:type="character" w:customStyle="1" w:styleId="30">
    <w:name w:val="标题 1 字符"/>
    <w:basedOn w:val="21"/>
    <w:link w:val="2"/>
    <w:qFormat/>
    <w:uiPriority w:val="9"/>
    <w:rPr>
      <w:rFonts w:ascii="Times New Roman" w:hAnsi="Times New Roman" w:eastAsia="黑体" w:cs="Times New Roman"/>
      <w:b/>
      <w:bCs/>
      <w:kern w:val="44"/>
      <w:sz w:val="32"/>
      <w:szCs w:val="44"/>
      <w14:ligatures w14:val="none"/>
    </w:rPr>
  </w:style>
  <w:style w:type="character" w:customStyle="1" w:styleId="31">
    <w:name w:val="正文文本 字符"/>
    <w:basedOn w:val="21"/>
    <w:link w:val="7"/>
    <w:qFormat/>
    <w:uiPriority w:val="1"/>
    <w:rPr>
      <w:rFonts w:ascii="仿宋" w:hAnsi="仿宋" w:eastAsia="仿宋" w:cs="仿宋"/>
      <w:kern w:val="0"/>
      <w:sz w:val="28"/>
      <w:szCs w:val="28"/>
      <w:lang w:val="zh-CN" w:bidi="zh-CN"/>
      <w14:ligatures w14:val="none"/>
    </w:rPr>
  </w:style>
  <w:style w:type="paragraph" w:customStyle="1" w:styleId="32">
    <w:name w:val="页眉1"/>
    <w:qFormat/>
    <w:uiPriority w:val="0"/>
    <w:pPr>
      <w:widowControl w:val="0"/>
      <w:tabs>
        <w:tab w:val="center" w:pos="4153"/>
        <w:tab w:val="right" w:pos="8306"/>
      </w:tabs>
      <w:jc w:val="center"/>
    </w:pPr>
    <w:rPr>
      <w:rFonts w:ascii="Trebuchet MS" w:hAnsi="Trebuchet MS" w:eastAsia="ヒラギノ角ゴ Pro W3" w:cs="Times New Roman"/>
      <w:color w:val="000000"/>
      <w:kern w:val="2"/>
      <w:sz w:val="18"/>
      <w:lang w:val="en-US" w:eastAsia="zh-CN" w:bidi="ar-SA"/>
    </w:rPr>
  </w:style>
  <w:style w:type="paragraph" w:customStyle="1" w:styleId="33">
    <w:name w:val="li_正文"/>
    <w:basedOn w:val="1"/>
    <w:qFormat/>
    <w:uiPriority w:val="0"/>
    <w:pPr>
      <w:ind w:firstLine="200" w:firstLineChars="200"/>
    </w:pPr>
    <w:rPr>
      <w:rFonts w:ascii="Calibri" w:hAnsi="Calibri" w:eastAsia="宋体" w:cs="Times New Roman"/>
      <w:sz w:val="28"/>
      <w:szCs w:val="28"/>
    </w:rPr>
  </w:style>
  <w:style w:type="character" w:customStyle="1" w:styleId="34">
    <w:name w:val="楷体标题"/>
    <w:qFormat/>
    <w:uiPriority w:val="0"/>
    <w:rPr>
      <w:rFonts w:eastAsia="方正楷体简体"/>
      <w:b/>
      <w:spacing w:val="6"/>
      <w:kern w:val="36"/>
      <w:sz w:val="44"/>
    </w:rPr>
  </w:style>
  <w:style w:type="paragraph" w:customStyle="1" w:styleId="35">
    <w:name w:val="文件格式"/>
    <w:qFormat/>
    <w:uiPriority w:val="99"/>
    <w:pPr>
      <w:spacing w:line="460" w:lineRule="atLeast"/>
      <w:ind w:left="1" w:firstLine="419"/>
      <w:jc w:val="both"/>
      <w:textAlignment w:val="bottom"/>
    </w:pPr>
    <w:rPr>
      <w:rFonts w:ascii="Times New Roman" w:hAnsi="Times New Roman" w:eastAsia="仿宋_GB2312" w:cs="Times New Roman"/>
      <w:sz w:val="32"/>
      <w:szCs w:val="22"/>
      <w:lang w:val="en-US" w:eastAsia="zh-CN" w:bidi="ar-SA"/>
    </w:rPr>
  </w:style>
  <w:style w:type="paragraph" w:customStyle="1" w:styleId="36">
    <w:name w:val="WPSOffice手动目录 1"/>
    <w:qFormat/>
    <w:uiPriority w:val="0"/>
    <w:rPr>
      <w:rFonts w:ascii="Calibri" w:hAnsi="Calibri" w:eastAsia="宋体" w:cs="Times New Roman"/>
      <w:lang w:val="en-US" w:eastAsia="zh-CN" w:bidi="ar-SA"/>
    </w:rPr>
  </w:style>
  <w:style w:type="paragraph" w:customStyle="1" w:styleId="37">
    <w:name w:val="WPSOffice手动目录 2"/>
    <w:qFormat/>
    <w:uiPriority w:val="0"/>
    <w:pPr>
      <w:ind w:left="200" w:leftChars="200"/>
    </w:pPr>
    <w:rPr>
      <w:rFonts w:ascii="Calibri" w:hAnsi="Calibri"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A97ECF-9C5F-4545-A9E0-DD0C4D97AAE2}">
  <ds:schemaRefs/>
</ds:datastoreItem>
</file>

<file path=docProps/app.xml><?xml version="1.0" encoding="utf-8"?>
<Properties xmlns="http://schemas.openxmlformats.org/officeDocument/2006/extended-properties" xmlns:vt="http://schemas.openxmlformats.org/officeDocument/2006/docPropsVTypes">
  <Template>Normal</Template>
  <Pages>84</Pages>
  <Words>39420</Words>
  <Characters>41084</Characters>
  <Lines>315</Lines>
  <Paragraphs>88</Paragraphs>
  <TotalTime>60</TotalTime>
  <ScaleCrop>false</ScaleCrop>
  <LinksUpToDate>false</LinksUpToDate>
  <CharactersWithSpaces>41287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2023-06-06T06:29:00Z</dcterms:created>
  <dc:creator>一 孙</dc:creator>
  <cp:lastModifiedBy>Ahout  time !</cp:lastModifiedBy>
  <dcterms:modified xsi:type="dcterms:W3CDTF">2023-12-18T06:45:58Z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5AEC7DBB2F2B4258A9DA90746C3612AB_13</vt:lpwstr>
  </property>
</Properties>
</file>